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72" w:line="223" w:lineRule="auto"/>
        <w:jc w:val="center"/>
        <w:outlineLvl w:val="0"/>
        <w:rPr>
          <w:rFonts w:hint="eastAsia" w:ascii="宋体" w:hAnsi="宋体" w:eastAsia="宋体" w:cs="宋体"/>
          <w:sz w:val="40"/>
          <w:szCs w:val="40"/>
          <w:lang w:val="en-US" w:eastAsia="zh-CN"/>
        </w:rPr>
      </w:pPr>
      <w:r>
        <w:rPr>
          <w:rFonts w:hint="eastAsia" w:ascii="宋体" w:hAnsi="宋体" w:cs="宋体"/>
          <w:spacing w:val="1"/>
          <w:sz w:val="40"/>
          <w:szCs w:val="40"/>
          <w:lang w:val="en-US" w:eastAsia="zh-CN"/>
        </w:rPr>
        <w:t>2023年度温县番田镇粮食烘干仓储采购设备项目</w:t>
      </w:r>
    </w:p>
    <w:p>
      <w:pPr>
        <w:widowControl/>
        <w:kinsoku w:val="0"/>
        <w:autoSpaceDE w:val="0"/>
        <w:autoSpaceDN w:val="0"/>
        <w:adjustRightInd w:val="0"/>
        <w:snapToGrid w:val="0"/>
        <w:spacing w:before="140" w:line="223" w:lineRule="auto"/>
        <w:ind w:left="2985"/>
        <w:jc w:val="left"/>
        <w:textAlignment w:val="baseline"/>
        <w:rPr>
          <w:rFonts w:hint="eastAsia" w:ascii="宋体" w:hAnsi="宋体" w:eastAsia="宋体" w:cs="宋体"/>
          <w:snapToGrid w:val="0"/>
          <w:color w:val="000000"/>
          <w:spacing w:val="8"/>
          <w:kern w:val="0"/>
          <w:sz w:val="43"/>
          <w:szCs w:val="43"/>
        </w:rPr>
      </w:pPr>
      <w:r>
        <w:rPr>
          <w:rFonts w:hint="eastAsia" w:ascii="宋体" w:hAnsi="宋体" w:eastAsia="宋体" w:cs="宋体"/>
          <w:snapToGrid w:val="0"/>
          <w:color w:val="000000"/>
          <w:spacing w:val="8"/>
          <w:kern w:val="0"/>
          <w:sz w:val="43"/>
          <w:szCs w:val="43"/>
        </w:rPr>
        <w:t>竞争性磋商文件</w:t>
      </w:r>
    </w:p>
    <w:p>
      <w:pPr>
        <w:spacing w:line="560" w:lineRule="exact"/>
        <w:jc w:val="center"/>
        <w:rPr>
          <w:rFonts w:hint="eastAsia" w:ascii="宋体" w:hAnsi="宋体" w:eastAsia="宋体" w:cs="宋体"/>
          <w:b/>
          <w:bCs/>
          <w:color w:val="auto"/>
          <w:sz w:val="28"/>
          <w:szCs w:val="28"/>
          <w:highlight w:val="none"/>
          <w:lang w:val="en-US" w:eastAsia="zh-CN"/>
        </w:rPr>
      </w:pPr>
    </w:p>
    <w:p>
      <w:pPr>
        <w:spacing w:line="296" w:lineRule="auto"/>
        <w:jc w:val="center"/>
        <w:rPr>
          <w:rFonts w:ascii="Arial"/>
          <w:sz w:val="21"/>
        </w:rPr>
      </w:pPr>
    </w:p>
    <w:p>
      <w:pPr>
        <w:spacing w:line="297" w:lineRule="auto"/>
        <w:rPr>
          <w:rFonts w:ascii="Arial"/>
          <w:sz w:val="21"/>
        </w:rPr>
      </w:pPr>
    </w:p>
    <w:p>
      <w:pPr>
        <w:pStyle w:val="6"/>
      </w:pPr>
      <w:r>
        <w:rPr>
          <w:rFonts w:hint="eastAsia" w:ascii="宋体" w:hAnsi="宋体" w:cs="宋体"/>
          <w:spacing w:val="-6"/>
          <w:sz w:val="36"/>
          <w:szCs w:val="36"/>
          <w:highlight w:val="none"/>
        </w:rPr>
        <w:drawing>
          <wp:anchor distT="0" distB="0" distL="114300" distR="114300" simplePos="0" relativeHeight="251659264" behindDoc="1" locked="0" layoutInCell="1" allowOverlap="1">
            <wp:simplePos x="0" y="0"/>
            <wp:positionH relativeFrom="column">
              <wp:posOffset>1958975</wp:posOffset>
            </wp:positionH>
            <wp:positionV relativeFrom="paragraph">
              <wp:posOffset>132080</wp:posOffset>
            </wp:positionV>
            <wp:extent cx="1800225" cy="1439545"/>
            <wp:effectExtent l="0" t="0" r="9525" b="8255"/>
            <wp:wrapTight wrapText="bothSides">
              <wp:wrapPolygon>
                <wp:start x="0" y="0"/>
                <wp:lineTo x="0" y="21438"/>
                <wp:lineTo x="21486" y="21438"/>
                <wp:lineTo x="21486" y="0"/>
                <wp:lineTo x="0" y="0"/>
              </wp:wrapPolygon>
            </wp:wrapTight>
            <wp:docPr id="2" name="图片 5"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图片2"/>
                    <pic:cNvPicPr>
                      <a:picLocks noChangeAspect="1"/>
                    </pic:cNvPicPr>
                  </pic:nvPicPr>
                  <pic:blipFill>
                    <a:blip r:embed="rId11"/>
                    <a:stretch>
                      <a:fillRect/>
                    </a:stretch>
                  </pic:blipFill>
                  <pic:spPr>
                    <a:xfrm>
                      <a:off x="0" y="0"/>
                      <a:ext cx="1800225" cy="1439545"/>
                    </a:xfrm>
                    <a:prstGeom prst="rect">
                      <a:avLst/>
                    </a:prstGeom>
                    <a:noFill/>
                    <a:ln>
                      <a:noFill/>
                    </a:ln>
                  </pic:spPr>
                </pic:pic>
              </a:graphicData>
            </a:graphic>
          </wp:anchor>
        </w:drawing>
      </w:r>
    </w:p>
    <w:p>
      <w:pPr>
        <w:spacing w:before="91" w:line="562" w:lineRule="exact"/>
        <w:ind w:left="2441"/>
        <w:rPr>
          <w:rFonts w:ascii="宋体" w:hAnsi="宋体" w:eastAsia="宋体" w:cs="宋体"/>
          <w:spacing w:val="-4"/>
          <w:position w:val="21"/>
          <w:sz w:val="28"/>
          <w:szCs w:val="28"/>
        </w:rPr>
      </w:pPr>
    </w:p>
    <w:p>
      <w:pPr>
        <w:spacing w:before="91" w:line="562" w:lineRule="exact"/>
        <w:ind w:left="2441"/>
        <w:rPr>
          <w:rFonts w:ascii="宋体" w:hAnsi="宋体" w:eastAsia="宋体" w:cs="宋体"/>
          <w:spacing w:val="-4"/>
          <w:position w:val="21"/>
          <w:sz w:val="28"/>
          <w:szCs w:val="28"/>
        </w:rPr>
      </w:pPr>
    </w:p>
    <w:p>
      <w:pPr>
        <w:spacing w:line="220" w:lineRule="auto"/>
        <w:ind w:left="2447"/>
        <w:rPr>
          <w:rFonts w:ascii="宋体" w:hAnsi="宋体" w:eastAsia="宋体" w:cs="宋体"/>
          <w:spacing w:val="-4"/>
          <w:sz w:val="28"/>
          <w:szCs w:val="28"/>
        </w:rPr>
      </w:pPr>
    </w:p>
    <w:p>
      <w:pPr>
        <w:spacing w:line="220" w:lineRule="auto"/>
        <w:ind w:left="2447"/>
        <w:rPr>
          <w:rFonts w:ascii="宋体" w:hAnsi="宋体" w:eastAsia="宋体" w:cs="宋体"/>
          <w:spacing w:val="-4"/>
          <w:sz w:val="28"/>
          <w:szCs w:val="28"/>
        </w:rPr>
      </w:pPr>
    </w:p>
    <w:p>
      <w:pPr>
        <w:spacing w:line="220" w:lineRule="auto"/>
        <w:ind w:left="2447"/>
        <w:rPr>
          <w:rFonts w:ascii="宋体" w:hAnsi="宋体" w:eastAsia="宋体" w:cs="宋体"/>
          <w:spacing w:val="-4"/>
          <w:position w:val="21"/>
          <w:sz w:val="28"/>
          <w:szCs w:val="28"/>
        </w:rPr>
      </w:pPr>
      <w:r>
        <w:rPr>
          <w:rFonts w:ascii="宋体" w:hAnsi="宋体" w:eastAsia="宋体" w:cs="宋体"/>
          <w:spacing w:val="-4"/>
          <w:sz w:val="28"/>
          <w:szCs w:val="28"/>
        </w:rPr>
        <w:t>项目编号</w:t>
      </w:r>
      <w:r>
        <w:rPr>
          <w:rFonts w:ascii="宋体" w:hAnsi="宋体" w:eastAsia="宋体" w:cs="宋体"/>
          <w:spacing w:val="-2"/>
          <w:sz w:val="28"/>
          <w:szCs w:val="28"/>
        </w:rPr>
        <w:t>：温交易</w:t>
      </w:r>
      <w:r>
        <w:rPr>
          <w:rFonts w:hint="eastAsia" w:ascii="宋体" w:hAnsi="宋体" w:eastAsia="宋体" w:cs="宋体"/>
          <w:spacing w:val="-2"/>
          <w:sz w:val="28"/>
          <w:szCs w:val="28"/>
          <w:lang w:val="en-US" w:eastAsia="zh-CN"/>
        </w:rPr>
        <w:t>【2023】</w:t>
      </w:r>
      <w:r>
        <w:rPr>
          <w:rFonts w:hint="eastAsia" w:ascii="宋体" w:hAnsi="宋体" w:cs="宋体"/>
          <w:spacing w:val="-2"/>
          <w:sz w:val="28"/>
          <w:szCs w:val="28"/>
          <w:lang w:val="en-US" w:eastAsia="zh-CN"/>
        </w:rPr>
        <w:t>75</w:t>
      </w:r>
      <w:r>
        <w:rPr>
          <w:rFonts w:ascii="宋体" w:hAnsi="宋体" w:eastAsia="宋体" w:cs="宋体"/>
          <w:spacing w:val="-2"/>
          <w:sz w:val="28"/>
          <w:szCs w:val="28"/>
        </w:rPr>
        <w:t>号</w:t>
      </w:r>
    </w:p>
    <w:p>
      <w:pPr>
        <w:spacing w:before="91" w:line="562" w:lineRule="exact"/>
        <w:ind w:firstLine="2448" w:firstLineChars="900"/>
        <w:rPr>
          <w:rFonts w:ascii="宋体" w:hAnsi="宋体" w:eastAsia="宋体" w:cs="宋体"/>
          <w:sz w:val="28"/>
          <w:szCs w:val="28"/>
        </w:rPr>
      </w:pPr>
      <w:r>
        <w:rPr>
          <w:rFonts w:ascii="宋体" w:hAnsi="宋体" w:eastAsia="宋体" w:cs="宋体"/>
          <w:spacing w:val="-4"/>
          <w:position w:val="21"/>
          <w:sz w:val="28"/>
          <w:szCs w:val="28"/>
        </w:rPr>
        <w:t>采</w:t>
      </w:r>
      <w:r>
        <w:rPr>
          <w:rFonts w:ascii="宋体" w:hAnsi="宋体" w:eastAsia="宋体" w:cs="宋体"/>
          <w:spacing w:val="-2"/>
          <w:position w:val="21"/>
          <w:sz w:val="28"/>
          <w:szCs w:val="28"/>
        </w:rPr>
        <w:t>购编号：温政采</w:t>
      </w:r>
      <w:r>
        <w:rPr>
          <w:rFonts w:hint="eastAsia" w:ascii="宋体" w:hAnsi="宋体" w:eastAsia="宋体" w:cs="宋体"/>
          <w:spacing w:val="-2"/>
          <w:position w:val="21"/>
          <w:sz w:val="28"/>
          <w:szCs w:val="28"/>
          <w:lang w:eastAsia="zh-CN"/>
        </w:rPr>
        <w:t>【</w:t>
      </w:r>
      <w:r>
        <w:rPr>
          <w:rFonts w:hint="eastAsia" w:ascii="宋体" w:hAnsi="宋体" w:eastAsia="宋体" w:cs="宋体"/>
          <w:spacing w:val="-2"/>
          <w:position w:val="21"/>
          <w:sz w:val="28"/>
          <w:szCs w:val="28"/>
          <w:lang w:val="en-US" w:eastAsia="zh-CN"/>
        </w:rPr>
        <w:t>2023】</w:t>
      </w:r>
      <w:r>
        <w:rPr>
          <w:rFonts w:hint="eastAsia" w:ascii="宋体" w:hAnsi="宋体" w:cs="宋体"/>
          <w:spacing w:val="-2"/>
          <w:position w:val="21"/>
          <w:sz w:val="28"/>
          <w:szCs w:val="28"/>
          <w:lang w:val="en-US" w:eastAsia="zh-CN"/>
        </w:rPr>
        <w:t>08-27</w:t>
      </w:r>
      <w:r>
        <w:rPr>
          <w:rFonts w:ascii="宋体" w:hAnsi="宋体" w:eastAsia="宋体" w:cs="宋体"/>
          <w:spacing w:val="-2"/>
          <w:position w:val="21"/>
          <w:sz w:val="28"/>
          <w:szCs w:val="28"/>
        </w:rPr>
        <w:t>号</w:t>
      </w: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
      <w:pPr>
        <w:pStyle w:val="2"/>
      </w:pPr>
    </w:p>
    <w:p>
      <w:pPr>
        <w:spacing w:line="219" w:lineRule="exact"/>
      </w:pPr>
    </w:p>
    <w:p>
      <w:pPr>
        <w:spacing w:line="360" w:lineRule="auto"/>
        <w:ind w:firstLine="1285" w:firstLineChars="400"/>
        <w:rPr>
          <w:rFonts w:hint="eastAsia" w:ascii="宋体" w:hAnsi="宋体"/>
          <w:b/>
          <w:color w:val="000000"/>
          <w:sz w:val="32"/>
          <w:szCs w:val="32"/>
          <w:lang w:eastAsia="zh-CN"/>
        </w:rPr>
      </w:pPr>
    </w:p>
    <w:p>
      <w:pPr>
        <w:spacing w:line="360" w:lineRule="auto"/>
        <w:ind w:firstLine="1285" w:firstLineChars="400"/>
        <w:rPr>
          <w:rFonts w:hint="eastAsia" w:ascii="宋体" w:hAnsi="宋体"/>
          <w:b/>
          <w:color w:val="000000"/>
          <w:sz w:val="32"/>
          <w:szCs w:val="32"/>
          <w:lang w:eastAsia="zh-CN"/>
        </w:rPr>
      </w:pPr>
      <w:r>
        <w:rPr>
          <w:rFonts w:hint="eastAsia" w:ascii="宋体" w:hAnsi="宋体"/>
          <w:b/>
          <w:color w:val="000000"/>
          <w:sz w:val="32"/>
          <w:szCs w:val="32"/>
          <w:lang w:eastAsia="zh-CN"/>
        </w:rPr>
        <w:t>采   购  人：</w:t>
      </w:r>
      <w:r>
        <w:rPr>
          <w:rFonts w:hint="eastAsia" w:ascii="宋体" w:hAnsi="宋体"/>
          <w:b/>
          <w:color w:val="000000"/>
          <w:sz w:val="32"/>
          <w:szCs w:val="32"/>
          <w:lang w:val="en-US" w:eastAsia="zh-CN"/>
        </w:rPr>
        <w:t>温县番田镇人民政府</w:t>
      </w:r>
    </w:p>
    <w:p>
      <w:pPr>
        <w:spacing w:line="360" w:lineRule="auto"/>
        <w:ind w:firstLine="1179" w:firstLineChars="367"/>
        <w:rPr>
          <w:rFonts w:hint="eastAsia" w:ascii="宋体" w:hAnsi="宋体"/>
          <w:b/>
          <w:color w:val="000000"/>
          <w:sz w:val="32"/>
          <w:szCs w:val="32"/>
          <w:lang w:val="en-US" w:eastAsia="zh-CN"/>
        </w:rPr>
      </w:pPr>
      <w:r>
        <w:rPr>
          <w:rFonts w:hint="eastAsia" w:ascii="宋体" w:hAnsi="宋体"/>
          <w:b/>
          <w:color w:val="000000"/>
          <w:sz w:val="32"/>
          <w:szCs w:val="32"/>
          <w:lang w:eastAsia="zh-CN"/>
        </w:rPr>
        <w:t>采购代理机构：正信伟业工程咨询管理有限公司</w:t>
      </w:r>
    </w:p>
    <w:p>
      <w:pPr>
        <w:spacing w:line="360" w:lineRule="auto"/>
        <w:ind w:firstLine="1179" w:firstLineChars="367"/>
        <w:rPr>
          <w:rFonts w:hint="eastAsia" w:ascii="宋体" w:hAnsi="宋体"/>
          <w:b/>
          <w:color w:val="000000"/>
          <w:sz w:val="32"/>
          <w:szCs w:val="32"/>
          <w:lang w:eastAsia="zh-CN"/>
        </w:rPr>
      </w:pPr>
      <w:r>
        <w:rPr>
          <w:rFonts w:hint="eastAsia" w:ascii="宋体" w:hAnsi="宋体"/>
          <w:b/>
          <w:color w:val="000000"/>
          <w:sz w:val="32"/>
          <w:szCs w:val="32"/>
          <w:lang w:eastAsia="zh-CN"/>
        </w:rPr>
        <w:t>日        期：二〇二三年</w:t>
      </w:r>
      <w:r>
        <w:rPr>
          <w:rFonts w:hint="eastAsia" w:ascii="宋体" w:hAnsi="宋体"/>
          <w:b/>
          <w:color w:val="000000"/>
          <w:sz w:val="32"/>
          <w:szCs w:val="32"/>
          <w:lang w:val="en-US" w:eastAsia="zh-CN"/>
        </w:rPr>
        <w:t>八</w:t>
      </w:r>
      <w:r>
        <w:rPr>
          <w:rFonts w:hint="eastAsia" w:ascii="宋体" w:hAnsi="宋体"/>
          <w:b/>
          <w:color w:val="000000"/>
          <w:sz w:val="32"/>
          <w:szCs w:val="32"/>
          <w:lang w:eastAsia="zh-CN"/>
        </w:rPr>
        <w:t>月</w:t>
      </w:r>
    </w:p>
    <w:p>
      <w:pPr>
        <w:spacing w:line="560" w:lineRule="exact"/>
        <w:ind w:firstLine="2570" w:firstLineChars="800"/>
        <w:rPr>
          <w:rFonts w:hint="eastAsia" w:ascii="仿宋_GB2312" w:eastAsia="仿宋_GB2312"/>
          <w:b/>
          <w:color w:val="auto"/>
          <w:sz w:val="32"/>
          <w:szCs w:val="32"/>
          <w:highlight w:val="none"/>
        </w:rPr>
        <w:sectPr>
          <w:headerReference r:id="rId3" w:type="default"/>
          <w:pgSz w:w="11907" w:h="16840"/>
          <w:pgMar w:top="2098" w:right="1417" w:bottom="1984" w:left="1417" w:header="851" w:footer="992" w:gutter="0"/>
          <w:pgNumType w:fmt="decimal"/>
          <w:cols w:space="720" w:num="1"/>
          <w:rtlGutter w:val="0"/>
          <w:docGrid w:type="lines" w:linePitch="312" w:charSpace="0"/>
        </w:sectPr>
      </w:pPr>
    </w:p>
    <w:p>
      <w:pPr>
        <w:jc w:val="center"/>
        <w:rPr>
          <w:rFonts w:hint="eastAsia"/>
          <w:b/>
          <w:bCs/>
          <w:color w:val="auto"/>
          <w:highlight w:val="none"/>
        </w:rPr>
      </w:pPr>
      <w:r>
        <w:rPr>
          <w:rFonts w:hint="eastAsia" w:ascii="宋体" w:hAnsi="宋体" w:eastAsia="宋体" w:cs="宋体"/>
          <w:b/>
          <w:bCs/>
          <w:color w:val="auto"/>
          <w:sz w:val="32"/>
          <w:szCs w:val="32"/>
          <w:highlight w:val="none"/>
        </w:rPr>
        <w:t>政府采购合同融资政策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为充分发挥政府采购合同资金支付有保障的优势，进一步优化我县营商环境，针对中小微企业融资难、融资贵问题，焦作市财政局联合有关部门推出了以政府采购合同预期支付能力为信用的融资政策。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政府采购合同融资，是指参与政府采购并中标（成交）的中小微企业供应商，凭借政府采购合同向开展融资业务的服务机构申请融资贷款，融资服务机构以信贷政策为基础提供无抵押、免担保、低利率的融资产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政府采购项目中标（成交）的供应商，有融资意向的，可登陆“焦作市政府采购网”（网址：http：/jiaozuo.hng</w:t>
      </w:r>
      <w:r>
        <w:rPr>
          <w:rFonts w:hint="eastAsia" w:ascii="宋体" w:hAnsi="宋体" w:eastAsia="宋体" w:cs="宋体"/>
          <w:color w:val="auto"/>
          <w:highlight w:val="none"/>
          <w:lang w:val="en-US" w:eastAsia="zh-CN"/>
        </w:rPr>
        <w:t>p.</w:t>
      </w:r>
      <w:r>
        <w:rPr>
          <w:rFonts w:hint="eastAsia" w:ascii="宋体" w:hAnsi="宋体" w:eastAsia="宋体" w:cs="宋体"/>
          <w:color w:val="auto"/>
          <w:highlight w:val="none"/>
        </w:rPr>
        <w:t>gov.cn)的政府采购合同融资平台，查看各融资服务机构的融资产品，同时可在线向融资服务机构申请贷款，融资服务机构按照程序向您提供便捷、高效、优惠的贷款服务。</w:t>
      </w:r>
    </w:p>
    <w:p>
      <w:pPr>
        <w:spacing w:line="480" w:lineRule="auto"/>
        <w:jc w:val="center"/>
        <w:rPr>
          <w:rFonts w:hint="eastAsia" w:ascii="宋体" w:hAnsi="宋体" w:eastAsia="宋体" w:cs="宋体"/>
          <w:b/>
          <w:color w:val="auto"/>
          <w:kern w:val="44"/>
          <w:sz w:val="36"/>
          <w:szCs w:val="36"/>
          <w:highlight w:val="none"/>
          <w:lang w:val="zh-CN"/>
        </w:rPr>
      </w:pPr>
    </w:p>
    <w:p>
      <w:pPr>
        <w:spacing w:line="340" w:lineRule="exact"/>
        <w:jc w:val="center"/>
        <w:rPr>
          <w:rFonts w:hint="eastAsia" w:ascii="宋体" w:hAnsi="宋体" w:cs="宋体"/>
          <w:b/>
          <w:color w:val="auto"/>
          <w:kern w:val="44"/>
          <w:sz w:val="30"/>
          <w:szCs w:val="30"/>
          <w:highlight w:val="none"/>
          <w:lang w:val="zh-CN"/>
        </w:rPr>
        <w:sectPr>
          <w:headerReference r:id="rId5" w:type="first"/>
          <w:footerReference r:id="rId7" w:type="first"/>
          <w:headerReference r:id="rId4" w:type="default"/>
          <w:footerReference r:id="rId6" w:type="default"/>
          <w:pgSz w:w="11906" w:h="16838"/>
          <w:pgMar w:top="1440" w:right="1417" w:bottom="1440" w:left="1417" w:header="851" w:footer="992" w:gutter="0"/>
          <w:pgNumType w:fmt="numberInDash"/>
          <w:cols w:space="720" w:num="1"/>
          <w:titlePg/>
          <w:docGrid w:type="lines" w:linePitch="312" w:charSpace="0"/>
        </w:sectPr>
      </w:pPr>
    </w:p>
    <w:p>
      <w:pPr>
        <w:pStyle w:val="2"/>
        <w:rPr>
          <w:rFonts w:hint="eastAsia"/>
          <w:lang w:val="zh-CN"/>
        </w:rPr>
      </w:pPr>
    </w:p>
    <w:p>
      <w:pPr>
        <w:spacing w:line="340" w:lineRule="exact"/>
        <w:jc w:val="center"/>
        <w:rPr>
          <w:rFonts w:hint="eastAsia" w:ascii="宋体" w:hAnsi="宋体" w:cs="宋体"/>
          <w:b/>
          <w:color w:val="auto"/>
          <w:kern w:val="44"/>
          <w:sz w:val="30"/>
          <w:szCs w:val="30"/>
          <w:highlight w:val="none"/>
          <w:lang w:val="zh-CN"/>
        </w:rPr>
      </w:pPr>
    </w:p>
    <w:p>
      <w:pPr>
        <w:spacing w:line="340" w:lineRule="exact"/>
        <w:jc w:val="center"/>
        <w:rPr>
          <w:rFonts w:ascii="宋体" w:hAnsi="宋体" w:eastAsia="宋体" w:cs="宋体"/>
          <w:bCs/>
          <w:color w:val="auto"/>
          <w:kern w:val="2"/>
          <w:sz w:val="21"/>
          <w:szCs w:val="21"/>
          <w:highlight w:val="none"/>
          <w:lang w:val="en-US" w:eastAsia="zh-CN" w:bidi="ar-SA"/>
        </w:rPr>
      </w:pPr>
      <w:r>
        <w:rPr>
          <w:rFonts w:hint="eastAsia" w:ascii="宋体" w:hAnsi="宋体" w:cs="宋体"/>
          <w:b/>
          <w:color w:val="auto"/>
          <w:kern w:val="44"/>
          <w:sz w:val="30"/>
          <w:szCs w:val="30"/>
          <w:highlight w:val="none"/>
          <w:lang w:val="zh-CN"/>
        </w:rPr>
        <w:t>目</w:t>
      </w:r>
      <w:r>
        <w:rPr>
          <w:rFonts w:ascii="宋体" w:hAnsi="宋体" w:cs="宋体"/>
          <w:b/>
          <w:color w:val="auto"/>
          <w:kern w:val="44"/>
          <w:sz w:val="30"/>
          <w:szCs w:val="30"/>
          <w:highlight w:val="none"/>
        </w:rPr>
        <w:t xml:space="preserve">  </w:t>
      </w:r>
      <w:r>
        <w:rPr>
          <w:rFonts w:hint="eastAsia" w:ascii="宋体" w:hAnsi="宋体" w:cs="宋体"/>
          <w:b/>
          <w:color w:val="auto"/>
          <w:kern w:val="44"/>
          <w:sz w:val="30"/>
          <w:szCs w:val="30"/>
          <w:highlight w:val="none"/>
          <w:lang w:val="zh-CN"/>
        </w:rPr>
        <w:t>录</w:t>
      </w:r>
      <w:r>
        <w:rPr>
          <w:rFonts w:ascii="宋体" w:hAnsi="宋体" w:cs="宋体"/>
          <w:bCs/>
          <w:color w:val="auto"/>
          <w:szCs w:val="21"/>
          <w:highlight w:val="none"/>
        </w:rPr>
        <w:fldChar w:fldCharType="begin"/>
      </w:r>
      <w:r>
        <w:rPr>
          <w:rFonts w:ascii="宋体" w:hAnsi="宋体" w:cs="宋体"/>
          <w:bCs/>
          <w:color w:val="auto"/>
          <w:szCs w:val="21"/>
          <w:highlight w:val="none"/>
        </w:rPr>
        <w:instrText xml:space="preserve"> TOC \o "1-3" \h \z \u </w:instrText>
      </w:r>
      <w:r>
        <w:rPr>
          <w:rFonts w:ascii="宋体" w:hAnsi="宋体" w:cs="宋体"/>
          <w:bCs/>
          <w:color w:val="auto"/>
          <w:szCs w:val="21"/>
          <w:highlight w:val="none"/>
        </w:rPr>
        <w:fldChar w:fldCharType="separate"/>
      </w:r>
    </w:p>
    <w:p>
      <w:pPr>
        <w:pStyle w:val="17"/>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_Toc16418 </w:instrText>
      </w:r>
      <w:r>
        <w:rPr>
          <w:rFonts w:ascii="宋体" w:hAnsi="宋体" w:cs="宋体"/>
          <w:bCs/>
          <w:szCs w:val="21"/>
          <w:highlight w:val="none"/>
        </w:rPr>
        <w:fldChar w:fldCharType="separate"/>
      </w:r>
      <w:r>
        <w:rPr>
          <w:rFonts w:hint="eastAsia"/>
          <w:kern w:val="44"/>
          <w:highlight w:val="none"/>
        </w:rPr>
        <w:t>第一章</w:t>
      </w:r>
      <w:r>
        <w:rPr>
          <w:kern w:val="44"/>
          <w:highlight w:val="none"/>
        </w:rPr>
        <w:t xml:space="preserve">  </w:t>
      </w:r>
      <w:r>
        <w:rPr>
          <w:rFonts w:hint="eastAsia"/>
          <w:kern w:val="44"/>
          <w:highlight w:val="none"/>
        </w:rPr>
        <w:t>竞争性磋商公告</w:t>
      </w:r>
      <w:r>
        <w:tab/>
      </w:r>
      <w:r>
        <w:fldChar w:fldCharType="begin"/>
      </w:r>
      <w:r>
        <w:instrText xml:space="preserve"> PAGEREF _Toc16418 \h </w:instrText>
      </w:r>
      <w:r>
        <w:fldChar w:fldCharType="separate"/>
      </w:r>
      <w:r>
        <w:t>2</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_Toc8043 </w:instrText>
      </w:r>
      <w:r>
        <w:rPr>
          <w:rFonts w:ascii="宋体" w:hAnsi="宋体" w:cs="宋体"/>
          <w:bCs/>
          <w:szCs w:val="21"/>
          <w:highlight w:val="none"/>
        </w:rPr>
        <w:fldChar w:fldCharType="separate"/>
      </w:r>
      <w:r>
        <w:rPr>
          <w:rFonts w:hint="eastAsia" w:ascii="宋体" w:hAnsi="宋体" w:cs="宋体"/>
          <w:highlight w:val="none"/>
        </w:rPr>
        <w:t>第二章</w:t>
      </w:r>
      <w:r>
        <w:rPr>
          <w:rFonts w:ascii="宋体" w:hAnsi="宋体" w:cs="宋体"/>
          <w:highlight w:val="none"/>
        </w:rPr>
        <w:t xml:space="preserve"> </w:t>
      </w:r>
      <w:r>
        <w:rPr>
          <w:rFonts w:hint="eastAsia" w:ascii="宋体" w:hAnsi="宋体" w:cs="宋体"/>
          <w:highlight w:val="none"/>
        </w:rPr>
        <w:t>供应商须知</w:t>
      </w:r>
      <w:r>
        <w:tab/>
      </w:r>
      <w:r>
        <w:fldChar w:fldCharType="begin"/>
      </w:r>
      <w:r>
        <w:instrText xml:space="preserve"> PAGEREF _Toc8043 \h </w:instrText>
      </w:r>
      <w:r>
        <w:fldChar w:fldCharType="separate"/>
      </w:r>
      <w:r>
        <w:t>5</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_Toc12145 </w:instrText>
      </w:r>
      <w:r>
        <w:rPr>
          <w:rFonts w:ascii="宋体" w:hAnsi="宋体" w:cs="宋体"/>
          <w:bCs/>
          <w:szCs w:val="21"/>
          <w:highlight w:val="none"/>
        </w:rPr>
        <w:fldChar w:fldCharType="separate"/>
      </w:r>
      <w:r>
        <w:rPr>
          <w:rFonts w:hint="eastAsia" w:ascii="宋体" w:hAnsi="宋体" w:cs="宋体"/>
          <w:highlight w:val="none"/>
        </w:rPr>
        <w:t>供应商须知前附表</w:t>
      </w:r>
      <w:r>
        <w:tab/>
      </w:r>
      <w:r>
        <w:fldChar w:fldCharType="begin"/>
      </w:r>
      <w:r>
        <w:instrText xml:space="preserve"> PAGEREF _Toc12145 \h </w:instrText>
      </w:r>
      <w:r>
        <w:fldChar w:fldCharType="separate"/>
      </w:r>
      <w:r>
        <w:t>5</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_Toc10092 </w:instrText>
      </w:r>
      <w:r>
        <w:rPr>
          <w:rFonts w:ascii="宋体" w:hAnsi="宋体" w:cs="宋体"/>
          <w:bCs/>
          <w:szCs w:val="21"/>
          <w:highlight w:val="none"/>
        </w:rPr>
        <w:fldChar w:fldCharType="separate"/>
      </w:r>
      <w:r>
        <w:rPr>
          <w:rFonts w:hint="default" w:ascii="宋体" w:hAnsi="宋体" w:eastAsia="宋体" w:cs="宋体"/>
          <w:bCs/>
        </w:rPr>
        <w:t xml:space="preserve">1. </w:t>
      </w:r>
      <w:r>
        <w:rPr>
          <w:rFonts w:hint="eastAsia" w:ascii="宋体" w:hAnsi="宋体" w:eastAsia="宋体" w:cs="宋体"/>
          <w:bCs/>
          <w:highlight w:val="none"/>
        </w:rPr>
        <w:t>总则</w:t>
      </w:r>
      <w:r>
        <w:tab/>
      </w:r>
      <w:r>
        <w:fldChar w:fldCharType="begin"/>
      </w:r>
      <w:r>
        <w:instrText xml:space="preserve"> PAGEREF _Toc10092 \h </w:instrText>
      </w:r>
      <w:r>
        <w:fldChar w:fldCharType="separate"/>
      </w:r>
      <w:r>
        <w:t>9</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_Toc29249 </w:instrText>
      </w:r>
      <w:r>
        <w:rPr>
          <w:rFonts w:ascii="宋体" w:hAnsi="宋体" w:cs="宋体"/>
          <w:bCs/>
          <w:szCs w:val="21"/>
          <w:highlight w:val="none"/>
        </w:rPr>
        <w:fldChar w:fldCharType="separate"/>
      </w:r>
      <w:r>
        <w:rPr>
          <w:rFonts w:ascii="宋体" w:hAnsi="宋体" w:eastAsia="宋体" w:cs="宋体"/>
          <w:bCs/>
          <w:highlight w:val="none"/>
        </w:rPr>
        <w:t>2.</w:t>
      </w:r>
      <w:r>
        <w:rPr>
          <w:rFonts w:hint="eastAsia" w:ascii="宋体" w:hAnsi="宋体" w:eastAsia="宋体" w:cs="宋体"/>
          <w:bCs/>
          <w:highlight w:val="none"/>
        </w:rPr>
        <w:t>磋商文件</w:t>
      </w:r>
      <w:r>
        <w:tab/>
      </w:r>
      <w:r>
        <w:fldChar w:fldCharType="begin"/>
      </w:r>
      <w:r>
        <w:instrText xml:space="preserve"> PAGEREF _Toc29249 \h </w:instrText>
      </w:r>
      <w:r>
        <w:fldChar w:fldCharType="separate"/>
      </w:r>
      <w:r>
        <w:t>10</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_Toc14496 </w:instrText>
      </w:r>
      <w:r>
        <w:rPr>
          <w:rFonts w:ascii="宋体" w:hAnsi="宋体" w:cs="宋体"/>
          <w:bCs/>
          <w:szCs w:val="21"/>
          <w:highlight w:val="none"/>
        </w:rPr>
        <w:fldChar w:fldCharType="separate"/>
      </w:r>
      <w:r>
        <w:rPr>
          <w:rFonts w:ascii="宋体" w:hAnsi="宋体" w:eastAsia="宋体" w:cs="宋体"/>
          <w:bCs/>
          <w:highlight w:val="none"/>
        </w:rPr>
        <w:t>3.</w:t>
      </w:r>
      <w:r>
        <w:rPr>
          <w:rFonts w:hint="eastAsia" w:ascii="宋体" w:hAnsi="宋体" w:eastAsia="宋体" w:cs="宋体"/>
          <w:bCs/>
          <w:highlight w:val="none"/>
        </w:rPr>
        <w:t>响应文件</w:t>
      </w:r>
      <w:r>
        <w:tab/>
      </w:r>
      <w:r>
        <w:fldChar w:fldCharType="begin"/>
      </w:r>
      <w:r>
        <w:instrText xml:space="preserve"> PAGEREF _Toc14496 \h </w:instrText>
      </w:r>
      <w:r>
        <w:fldChar w:fldCharType="separate"/>
      </w:r>
      <w:r>
        <w:t>11</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_Toc29530 </w:instrText>
      </w:r>
      <w:r>
        <w:rPr>
          <w:rFonts w:ascii="宋体" w:hAnsi="宋体" w:cs="宋体"/>
          <w:bCs/>
          <w:szCs w:val="21"/>
          <w:highlight w:val="none"/>
        </w:rPr>
        <w:fldChar w:fldCharType="separate"/>
      </w:r>
      <w:r>
        <w:rPr>
          <w:rFonts w:ascii="宋体" w:hAnsi="宋体" w:eastAsia="宋体" w:cs="Times New Roman"/>
          <w:bCs/>
        </w:rPr>
        <w:t xml:space="preserve">4. </w:t>
      </w:r>
      <w:r>
        <w:rPr>
          <w:rFonts w:hint="eastAsia" w:ascii="宋体" w:hAnsi="宋体" w:eastAsia="宋体" w:cs="宋体"/>
          <w:bCs/>
          <w:highlight w:val="none"/>
        </w:rPr>
        <w:t>响应</w:t>
      </w:r>
      <w:r>
        <w:tab/>
      </w:r>
      <w:r>
        <w:fldChar w:fldCharType="begin"/>
      </w:r>
      <w:r>
        <w:instrText xml:space="preserve"> PAGEREF _Toc29530 \h </w:instrText>
      </w:r>
      <w:r>
        <w:fldChar w:fldCharType="separate"/>
      </w:r>
      <w:r>
        <w:t>12</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_Toc21081 </w:instrText>
      </w:r>
      <w:r>
        <w:rPr>
          <w:rFonts w:ascii="宋体" w:hAnsi="宋体" w:cs="宋体"/>
          <w:bCs/>
          <w:szCs w:val="21"/>
          <w:highlight w:val="none"/>
        </w:rPr>
        <w:fldChar w:fldCharType="separate"/>
      </w:r>
      <w:r>
        <w:rPr>
          <w:rFonts w:ascii="宋体" w:hAnsi="宋体" w:eastAsia="宋体" w:cs="Times New Roman"/>
          <w:bCs/>
        </w:rPr>
        <w:t xml:space="preserve">5. </w:t>
      </w:r>
      <w:r>
        <w:rPr>
          <w:rFonts w:hint="eastAsia" w:ascii="宋体" w:hAnsi="宋体" w:eastAsia="宋体" w:cs="宋体"/>
          <w:bCs/>
          <w:highlight w:val="none"/>
        </w:rPr>
        <w:t>磋商开始</w:t>
      </w:r>
      <w:r>
        <w:tab/>
      </w:r>
      <w:r>
        <w:fldChar w:fldCharType="begin"/>
      </w:r>
      <w:r>
        <w:instrText xml:space="preserve"> PAGEREF _Toc21081 \h </w:instrText>
      </w:r>
      <w:r>
        <w:fldChar w:fldCharType="separate"/>
      </w:r>
      <w:r>
        <w:t>13</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_Toc7623 </w:instrText>
      </w:r>
      <w:r>
        <w:rPr>
          <w:rFonts w:ascii="宋体" w:hAnsi="宋体" w:cs="宋体"/>
          <w:bCs/>
          <w:szCs w:val="21"/>
          <w:highlight w:val="none"/>
        </w:rPr>
        <w:fldChar w:fldCharType="separate"/>
      </w:r>
      <w:r>
        <w:rPr>
          <w:rFonts w:ascii="宋体" w:hAnsi="宋体" w:eastAsia="宋体" w:cs="Times New Roman"/>
          <w:bCs/>
        </w:rPr>
        <w:t xml:space="preserve">6. </w:t>
      </w:r>
      <w:r>
        <w:rPr>
          <w:rFonts w:hint="eastAsia" w:ascii="宋体" w:hAnsi="宋体" w:eastAsia="宋体" w:cs="宋体"/>
          <w:bCs/>
          <w:highlight w:val="none"/>
        </w:rPr>
        <w:t>磋商</w:t>
      </w:r>
      <w:r>
        <w:tab/>
      </w:r>
      <w:r>
        <w:fldChar w:fldCharType="begin"/>
      </w:r>
      <w:r>
        <w:instrText xml:space="preserve"> PAGEREF _Toc7623 \h </w:instrText>
      </w:r>
      <w:r>
        <w:fldChar w:fldCharType="separate"/>
      </w:r>
      <w:r>
        <w:t>14</w:t>
      </w:r>
      <w:r>
        <w:fldChar w:fldCharType="end"/>
      </w:r>
      <w:r>
        <w:rPr>
          <w:rFonts w:ascii="宋体" w:hAnsi="宋体" w:cs="宋体"/>
          <w:bCs/>
          <w:color w:val="auto"/>
          <w:szCs w:val="21"/>
          <w:highlight w:val="none"/>
        </w:rPr>
        <w:fldChar w:fldCharType="end"/>
      </w:r>
    </w:p>
    <w:p>
      <w:pPr>
        <w:pStyle w:val="17"/>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_Toc111 </w:instrText>
      </w:r>
      <w:r>
        <w:rPr>
          <w:rFonts w:ascii="宋体" w:hAnsi="宋体" w:cs="宋体"/>
          <w:bCs/>
          <w:szCs w:val="21"/>
          <w:highlight w:val="none"/>
        </w:rPr>
        <w:fldChar w:fldCharType="separate"/>
      </w:r>
      <w:r>
        <w:rPr>
          <w:rFonts w:ascii="宋体" w:hAnsi="宋体" w:eastAsia="宋体" w:cs="宋体"/>
          <w:bCs/>
          <w:highlight w:val="none"/>
        </w:rPr>
        <w:t>7.</w:t>
      </w:r>
      <w:r>
        <w:rPr>
          <w:rFonts w:hint="eastAsia" w:ascii="宋体" w:hAnsi="宋体" w:eastAsia="宋体" w:cs="宋体"/>
          <w:bCs/>
          <w:highlight w:val="none"/>
        </w:rPr>
        <w:t>合同授予</w:t>
      </w:r>
      <w:r>
        <w:tab/>
      </w:r>
      <w:r>
        <w:fldChar w:fldCharType="begin"/>
      </w:r>
      <w:r>
        <w:instrText xml:space="preserve"> PAGEREF _Toc111 \h </w:instrText>
      </w:r>
      <w:r>
        <w:fldChar w:fldCharType="separate"/>
      </w:r>
      <w:r>
        <w:t>14</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_Toc20238 </w:instrText>
      </w:r>
      <w:r>
        <w:rPr>
          <w:rFonts w:ascii="宋体" w:hAnsi="宋体" w:cs="宋体"/>
          <w:bCs/>
          <w:szCs w:val="21"/>
          <w:highlight w:val="none"/>
        </w:rPr>
        <w:fldChar w:fldCharType="separate"/>
      </w:r>
      <w:r>
        <w:rPr>
          <w:rFonts w:ascii="宋体" w:hAnsi="宋体" w:eastAsia="宋体" w:cs="宋体"/>
          <w:bCs/>
          <w:highlight w:val="none"/>
        </w:rPr>
        <w:t>8.</w:t>
      </w:r>
      <w:r>
        <w:rPr>
          <w:rFonts w:hint="eastAsia" w:ascii="宋体" w:hAnsi="宋体" w:eastAsia="宋体" w:cs="宋体"/>
          <w:bCs/>
          <w:highlight w:val="none"/>
        </w:rPr>
        <w:t>重新招标</w:t>
      </w:r>
      <w:r>
        <w:tab/>
      </w:r>
      <w:r>
        <w:fldChar w:fldCharType="begin"/>
      </w:r>
      <w:r>
        <w:instrText xml:space="preserve"> PAGEREF _Toc20238 \h </w:instrText>
      </w:r>
      <w:r>
        <w:fldChar w:fldCharType="separate"/>
      </w:r>
      <w:r>
        <w:t>15</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_Toc28442 </w:instrText>
      </w:r>
      <w:r>
        <w:rPr>
          <w:rFonts w:ascii="宋体" w:hAnsi="宋体" w:cs="宋体"/>
          <w:bCs/>
          <w:szCs w:val="21"/>
          <w:highlight w:val="none"/>
        </w:rPr>
        <w:fldChar w:fldCharType="separate"/>
      </w:r>
      <w:r>
        <w:rPr>
          <w:rFonts w:ascii="宋体" w:hAnsi="宋体" w:eastAsia="宋体" w:cs="宋体"/>
          <w:bCs/>
          <w:szCs w:val="22"/>
          <w:highlight w:val="none"/>
        </w:rPr>
        <w:t>9.</w:t>
      </w:r>
      <w:r>
        <w:rPr>
          <w:rFonts w:hint="eastAsia" w:ascii="宋体" w:hAnsi="宋体" w:eastAsia="宋体" w:cs="宋体"/>
          <w:bCs/>
          <w:szCs w:val="22"/>
          <w:highlight w:val="none"/>
        </w:rPr>
        <w:t>纪律和监督</w:t>
      </w:r>
      <w:r>
        <w:tab/>
      </w:r>
      <w:r>
        <w:fldChar w:fldCharType="begin"/>
      </w:r>
      <w:r>
        <w:instrText xml:space="preserve"> PAGEREF _Toc28442 \h </w:instrText>
      </w:r>
      <w:r>
        <w:fldChar w:fldCharType="separate"/>
      </w:r>
      <w:r>
        <w:t>15</w:t>
      </w:r>
      <w:r>
        <w:fldChar w:fldCharType="end"/>
      </w:r>
      <w:r>
        <w:rPr>
          <w:rFonts w:ascii="宋体" w:hAnsi="宋体" w:cs="宋体"/>
          <w:bCs/>
          <w:color w:val="auto"/>
          <w:szCs w:val="21"/>
          <w:highlight w:val="none"/>
        </w:rPr>
        <w:fldChar w:fldCharType="end"/>
      </w:r>
    </w:p>
    <w:p>
      <w:pPr>
        <w:pStyle w:val="17"/>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_Toc23599 </w:instrText>
      </w:r>
      <w:r>
        <w:rPr>
          <w:rFonts w:ascii="宋体" w:hAnsi="宋体" w:cs="宋体"/>
          <w:bCs/>
          <w:szCs w:val="21"/>
          <w:highlight w:val="none"/>
        </w:rPr>
        <w:fldChar w:fldCharType="separate"/>
      </w:r>
      <w:r>
        <w:rPr>
          <w:rFonts w:ascii="宋体" w:hAnsi="宋体" w:eastAsia="宋体" w:cs="宋体"/>
          <w:highlight w:val="none"/>
        </w:rPr>
        <w:t>10.</w:t>
      </w:r>
      <w:r>
        <w:rPr>
          <w:rFonts w:hint="eastAsia" w:ascii="宋体" w:hAnsi="宋体" w:eastAsia="宋体" w:cs="宋体"/>
          <w:highlight w:val="none"/>
        </w:rPr>
        <w:t>需要补充的其他内容</w:t>
      </w:r>
      <w:r>
        <w:tab/>
      </w:r>
      <w:r>
        <w:fldChar w:fldCharType="begin"/>
      </w:r>
      <w:r>
        <w:instrText xml:space="preserve"> PAGEREF _Toc23599 \h </w:instrText>
      </w:r>
      <w:r>
        <w:fldChar w:fldCharType="separate"/>
      </w:r>
      <w:r>
        <w:t>15</w:t>
      </w:r>
      <w:r>
        <w:fldChar w:fldCharType="end"/>
      </w:r>
      <w:r>
        <w:rPr>
          <w:rFonts w:ascii="宋体" w:hAnsi="宋体" w:cs="宋体"/>
          <w:bCs/>
          <w:color w:val="auto"/>
          <w:szCs w:val="21"/>
          <w:highlight w:val="none"/>
        </w:rPr>
        <w:fldChar w:fldCharType="end"/>
      </w:r>
    </w:p>
    <w:p>
      <w:pPr>
        <w:pStyle w:val="17"/>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_Toc6770 </w:instrText>
      </w:r>
      <w:r>
        <w:rPr>
          <w:rFonts w:ascii="宋体" w:hAnsi="宋体" w:cs="宋体"/>
          <w:bCs/>
          <w:szCs w:val="21"/>
          <w:highlight w:val="none"/>
        </w:rPr>
        <w:fldChar w:fldCharType="separate"/>
      </w:r>
      <w:r>
        <w:rPr>
          <w:rFonts w:ascii="宋体" w:hAnsi="宋体" w:eastAsia="宋体" w:cs="宋体"/>
          <w:highlight w:val="none"/>
        </w:rPr>
        <w:t>11.</w:t>
      </w:r>
      <w:r>
        <w:rPr>
          <w:rFonts w:hint="eastAsia" w:ascii="宋体" w:hAnsi="宋体" w:eastAsia="宋体" w:cs="宋体"/>
          <w:highlight w:val="none"/>
        </w:rPr>
        <w:t>政策功能</w:t>
      </w:r>
      <w:r>
        <w:tab/>
      </w:r>
      <w:r>
        <w:fldChar w:fldCharType="begin"/>
      </w:r>
      <w:r>
        <w:instrText xml:space="preserve"> PAGEREF _Toc6770 \h </w:instrText>
      </w:r>
      <w:r>
        <w:fldChar w:fldCharType="separate"/>
      </w:r>
      <w:r>
        <w:t>16</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_Toc18319 </w:instrText>
      </w:r>
      <w:r>
        <w:rPr>
          <w:rFonts w:ascii="宋体" w:hAnsi="宋体" w:cs="宋体"/>
          <w:bCs/>
          <w:szCs w:val="21"/>
          <w:highlight w:val="none"/>
        </w:rPr>
        <w:fldChar w:fldCharType="separate"/>
      </w:r>
      <w:r>
        <w:rPr>
          <w:rFonts w:hint="eastAsia" w:asciiTheme="majorEastAsia" w:hAnsiTheme="majorEastAsia" w:eastAsiaTheme="majorEastAsia"/>
          <w:szCs w:val="28"/>
          <w:highlight w:val="none"/>
        </w:rPr>
        <w:t>第三章  评标标准和评标方法</w:t>
      </w:r>
      <w:r>
        <w:tab/>
      </w:r>
      <w:r>
        <w:fldChar w:fldCharType="begin"/>
      </w:r>
      <w:r>
        <w:instrText xml:space="preserve"> PAGEREF _Toc18319 \h </w:instrText>
      </w:r>
      <w:r>
        <w:fldChar w:fldCharType="separate"/>
      </w:r>
      <w:r>
        <w:t>18</w:t>
      </w:r>
      <w:r>
        <w:fldChar w:fldCharType="end"/>
      </w:r>
      <w:r>
        <w:rPr>
          <w:rFonts w:ascii="宋体" w:hAnsi="宋体" w:cs="宋体"/>
          <w:bCs/>
          <w:color w:val="auto"/>
          <w:szCs w:val="21"/>
          <w:highlight w:val="none"/>
        </w:rPr>
        <w:fldChar w:fldCharType="end"/>
      </w:r>
    </w:p>
    <w:p>
      <w:pPr>
        <w:pStyle w:val="17"/>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_Toc24375 </w:instrText>
      </w:r>
      <w:r>
        <w:rPr>
          <w:rFonts w:ascii="宋体" w:hAnsi="宋体" w:cs="宋体"/>
          <w:bCs/>
          <w:szCs w:val="21"/>
          <w:highlight w:val="none"/>
        </w:rPr>
        <w:fldChar w:fldCharType="separate"/>
      </w:r>
      <w:r>
        <w:rPr>
          <w:rFonts w:hint="eastAsia" w:ascii="宋体" w:hAnsi="宋体" w:cs="宋体"/>
          <w:szCs w:val="36"/>
        </w:rPr>
        <w:t xml:space="preserve">第四章 </w:t>
      </w:r>
      <w:r>
        <w:rPr>
          <w:rFonts w:hint="eastAsia" w:ascii="宋体" w:hAnsi="宋体" w:cs="宋体"/>
          <w:szCs w:val="36"/>
          <w:highlight w:val="none"/>
          <w:lang w:val="en-US" w:eastAsia="zh-CN"/>
        </w:rPr>
        <w:t>采购需求</w:t>
      </w:r>
      <w:r>
        <w:rPr>
          <w:rFonts w:hint="eastAsia" w:ascii="宋体" w:hAnsi="宋体" w:cs="宋体"/>
          <w:szCs w:val="36"/>
          <w:highlight w:val="none"/>
        </w:rPr>
        <w:t>及</w:t>
      </w:r>
      <w:r>
        <w:rPr>
          <w:rFonts w:hint="eastAsia" w:ascii="宋体" w:hAnsi="宋体" w:cs="宋体"/>
          <w:szCs w:val="36"/>
          <w:highlight w:val="none"/>
          <w:lang w:eastAsia="zh-CN"/>
        </w:rPr>
        <w:t>内容</w:t>
      </w:r>
      <w:r>
        <w:tab/>
      </w:r>
      <w:r>
        <w:fldChar w:fldCharType="begin"/>
      </w:r>
      <w:r>
        <w:instrText xml:space="preserve"> PAGEREF _Toc24375 \h </w:instrText>
      </w:r>
      <w:r>
        <w:fldChar w:fldCharType="separate"/>
      </w:r>
      <w:r>
        <w:t>22</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_Toc30517 </w:instrText>
      </w:r>
      <w:r>
        <w:rPr>
          <w:rFonts w:ascii="宋体" w:hAnsi="宋体" w:cs="宋体"/>
          <w:bCs/>
          <w:szCs w:val="21"/>
          <w:highlight w:val="none"/>
        </w:rPr>
        <w:fldChar w:fldCharType="separate"/>
      </w:r>
      <w:r>
        <w:rPr>
          <w:rFonts w:hint="eastAsia" w:asciiTheme="majorEastAsia" w:hAnsiTheme="majorEastAsia" w:eastAsiaTheme="majorEastAsia"/>
          <w:szCs w:val="32"/>
          <w:highlight w:val="none"/>
        </w:rPr>
        <w:t>第五章</w:t>
      </w:r>
      <w:r>
        <w:rPr>
          <w:rFonts w:hint="eastAsia" w:asciiTheme="majorEastAsia" w:hAnsiTheme="majorEastAsia" w:eastAsiaTheme="majorEastAsia"/>
          <w:szCs w:val="28"/>
          <w:highlight w:val="none"/>
        </w:rPr>
        <w:t xml:space="preserve">  </w:t>
      </w:r>
      <w:r>
        <w:rPr>
          <w:rFonts w:hint="eastAsia" w:asciiTheme="majorEastAsia" w:hAnsiTheme="majorEastAsia" w:eastAsiaTheme="majorEastAsia"/>
          <w:szCs w:val="32"/>
          <w:highlight w:val="none"/>
        </w:rPr>
        <w:t>合同签订及条款</w:t>
      </w:r>
      <w:r>
        <w:tab/>
      </w:r>
      <w:r>
        <w:fldChar w:fldCharType="begin"/>
      </w:r>
      <w:r>
        <w:instrText xml:space="preserve"> PAGEREF _Toc30517 \h </w:instrText>
      </w:r>
      <w:r>
        <w:fldChar w:fldCharType="separate"/>
      </w:r>
      <w:r>
        <w:t>24</w:t>
      </w:r>
      <w:r>
        <w:fldChar w:fldCharType="end"/>
      </w:r>
      <w:r>
        <w:rPr>
          <w:rFonts w:ascii="宋体" w:hAnsi="宋体" w:cs="宋体"/>
          <w:bCs/>
          <w:color w:val="auto"/>
          <w:szCs w:val="21"/>
          <w:highlight w:val="none"/>
        </w:rPr>
        <w:fldChar w:fldCharType="end"/>
      </w:r>
    </w:p>
    <w:p>
      <w:pPr>
        <w:pStyle w:val="17"/>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_Toc7819 </w:instrText>
      </w:r>
      <w:r>
        <w:rPr>
          <w:rFonts w:ascii="宋体" w:hAnsi="宋体" w:cs="宋体"/>
          <w:bCs/>
          <w:szCs w:val="21"/>
          <w:highlight w:val="none"/>
        </w:rPr>
        <w:fldChar w:fldCharType="separate"/>
      </w:r>
      <w:r>
        <w:rPr>
          <w:rFonts w:hint="eastAsia" w:ascii="宋体" w:hAnsi="宋体" w:cs="宋体"/>
          <w:highlight w:val="none"/>
        </w:rPr>
        <w:t>第六章</w:t>
      </w:r>
      <w:r>
        <w:rPr>
          <w:rFonts w:ascii="宋体" w:hAnsi="宋体" w:cs="宋体"/>
          <w:highlight w:val="none"/>
        </w:rPr>
        <w:t xml:space="preserve">  </w:t>
      </w:r>
      <w:r>
        <w:rPr>
          <w:rFonts w:hint="eastAsia" w:ascii="宋体" w:hAnsi="宋体" w:cs="宋体"/>
          <w:highlight w:val="none"/>
        </w:rPr>
        <w:t>响应文件格式</w:t>
      </w:r>
      <w:r>
        <w:tab/>
      </w:r>
      <w:r>
        <w:fldChar w:fldCharType="begin"/>
      </w:r>
      <w:r>
        <w:instrText xml:space="preserve"> PAGEREF _Toc7819 \h </w:instrText>
      </w:r>
      <w:r>
        <w:fldChar w:fldCharType="separate"/>
      </w:r>
      <w:r>
        <w:t>29</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_Toc30216 </w:instrText>
      </w:r>
      <w:r>
        <w:rPr>
          <w:rFonts w:ascii="宋体" w:hAnsi="宋体" w:cs="宋体"/>
          <w:bCs/>
          <w:szCs w:val="21"/>
          <w:highlight w:val="none"/>
        </w:rPr>
        <w:fldChar w:fldCharType="separate"/>
      </w:r>
      <w:r>
        <w:rPr>
          <w:rFonts w:hint="eastAsia" w:ascii="宋体" w:hAnsi="宋体" w:cs="宋体"/>
          <w:highlight w:val="none"/>
        </w:rPr>
        <w:t>一、磋商函及磋商函附录</w:t>
      </w:r>
      <w:r>
        <w:tab/>
      </w:r>
      <w:r>
        <w:fldChar w:fldCharType="begin"/>
      </w:r>
      <w:r>
        <w:instrText xml:space="preserve"> PAGEREF _Toc30216 \h </w:instrText>
      </w:r>
      <w:r>
        <w:fldChar w:fldCharType="separate"/>
      </w:r>
      <w:r>
        <w:t>31</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_Toc29890 </w:instrText>
      </w:r>
      <w:r>
        <w:rPr>
          <w:rFonts w:ascii="宋体" w:hAnsi="宋体" w:cs="宋体"/>
          <w:bCs/>
          <w:szCs w:val="21"/>
          <w:highlight w:val="none"/>
        </w:rPr>
        <w:fldChar w:fldCharType="separate"/>
      </w:r>
      <w:r>
        <w:rPr>
          <w:rFonts w:hint="eastAsia" w:ascii="宋体" w:hAnsi="宋体" w:cs="宋体"/>
          <w:highlight w:val="none"/>
        </w:rPr>
        <w:t>（一）磋商函</w:t>
      </w:r>
      <w:r>
        <w:tab/>
      </w:r>
      <w:r>
        <w:fldChar w:fldCharType="begin"/>
      </w:r>
      <w:r>
        <w:instrText xml:space="preserve"> PAGEREF _Toc29890 \h </w:instrText>
      </w:r>
      <w:r>
        <w:fldChar w:fldCharType="separate"/>
      </w:r>
      <w:r>
        <w:t>31</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_Toc24563 </w:instrText>
      </w:r>
      <w:r>
        <w:rPr>
          <w:rFonts w:ascii="宋体" w:hAnsi="宋体" w:cs="宋体"/>
          <w:bCs/>
          <w:szCs w:val="21"/>
          <w:highlight w:val="none"/>
        </w:rPr>
        <w:fldChar w:fldCharType="separate"/>
      </w:r>
      <w:r>
        <w:rPr>
          <w:rFonts w:hint="eastAsia" w:ascii="宋体" w:hAnsi="宋体" w:cs="宋体"/>
        </w:rPr>
        <w:t xml:space="preserve">（二） </w:t>
      </w:r>
      <w:r>
        <w:rPr>
          <w:rFonts w:hint="eastAsia" w:ascii="宋体" w:hAnsi="宋体" w:cs="宋体"/>
          <w:highlight w:val="none"/>
        </w:rPr>
        <w:t>磋商函附录</w:t>
      </w:r>
      <w:r>
        <w:tab/>
      </w:r>
      <w:r>
        <w:fldChar w:fldCharType="begin"/>
      </w:r>
      <w:r>
        <w:instrText xml:space="preserve"> PAGEREF _Toc24563 \h </w:instrText>
      </w:r>
      <w:r>
        <w:fldChar w:fldCharType="separate"/>
      </w:r>
      <w:r>
        <w:t>32</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_Toc17272 </w:instrText>
      </w:r>
      <w:r>
        <w:rPr>
          <w:rFonts w:ascii="宋体" w:hAnsi="宋体" w:cs="宋体"/>
          <w:bCs/>
          <w:szCs w:val="21"/>
          <w:highlight w:val="none"/>
        </w:rPr>
        <w:fldChar w:fldCharType="separate"/>
      </w:r>
      <w:r>
        <w:rPr>
          <w:rFonts w:hint="eastAsia" w:ascii="宋体" w:hAnsi="宋体" w:cs="宋体"/>
          <w:highlight w:val="none"/>
          <w:lang w:eastAsia="zh-CN"/>
        </w:rPr>
        <w:t>二</w:t>
      </w:r>
      <w:r>
        <w:rPr>
          <w:rFonts w:hint="eastAsia" w:ascii="宋体" w:hAnsi="宋体" w:cs="宋体"/>
          <w:highlight w:val="none"/>
        </w:rPr>
        <w:t>、</w:t>
      </w:r>
      <w:r>
        <w:rPr>
          <w:rFonts w:hint="eastAsia" w:ascii="宋体" w:hAnsi="宋体" w:cs="宋体"/>
          <w:highlight w:val="none"/>
          <w:lang w:eastAsia="zh-CN"/>
        </w:rPr>
        <w:t>（</w:t>
      </w:r>
      <w:r>
        <w:rPr>
          <w:rFonts w:hint="eastAsia" w:ascii="宋体" w:hAnsi="宋体" w:cs="宋体"/>
          <w:highlight w:val="none"/>
          <w:lang w:val="en-US" w:eastAsia="zh-CN"/>
        </w:rPr>
        <w:t>1</w:t>
      </w:r>
      <w:r>
        <w:rPr>
          <w:rFonts w:hint="eastAsia" w:ascii="宋体" w:hAnsi="宋体" w:cs="宋体"/>
          <w:highlight w:val="none"/>
          <w:lang w:eastAsia="zh-CN"/>
        </w:rPr>
        <w:t>）</w:t>
      </w:r>
      <w:r>
        <w:rPr>
          <w:rFonts w:hint="eastAsia" w:ascii="宋体" w:hAnsi="宋体" w:cs="宋体"/>
          <w:highlight w:val="none"/>
        </w:rPr>
        <w:t>法定代表人（负责人）身份证明</w:t>
      </w:r>
      <w:r>
        <w:tab/>
      </w:r>
      <w:r>
        <w:fldChar w:fldCharType="begin"/>
      </w:r>
      <w:r>
        <w:instrText xml:space="preserve"> PAGEREF _Toc17272 \h </w:instrText>
      </w:r>
      <w:r>
        <w:fldChar w:fldCharType="separate"/>
      </w:r>
      <w:r>
        <w:t>33</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_Toc22543 </w:instrText>
      </w:r>
      <w:r>
        <w:rPr>
          <w:rFonts w:ascii="宋体" w:hAnsi="宋体" w:cs="宋体"/>
          <w:bCs/>
          <w:szCs w:val="21"/>
          <w:highlight w:val="none"/>
        </w:rPr>
        <w:fldChar w:fldCharType="separate"/>
      </w:r>
      <w:r>
        <w:rPr>
          <w:rFonts w:hint="eastAsia" w:ascii="宋体" w:cs="宋体"/>
          <w:highlight w:val="none"/>
          <w:lang w:eastAsia="zh-CN"/>
        </w:rPr>
        <w:t>（</w:t>
      </w:r>
      <w:r>
        <w:rPr>
          <w:rFonts w:hint="eastAsia" w:ascii="宋体" w:cs="宋体"/>
          <w:highlight w:val="none"/>
          <w:lang w:val="en-US" w:eastAsia="zh-CN"/>
        </w:rPr>
        <w:t>2）</w:t>
      </w:r>
      <w:r>
        <w:rPr>
          <w:rFonts w:hint="eastAsia" w:ascii="宋体" w:hAnsi="宋体" w:cs="宋体"/>
          <w:highlight w:val="none"/>
        </w:rPr>
        <w:t>授权委托书</w:t>
      </w:r>
      <w:r>
        <w:tab/>
      </w:r>
      <w:r>
        <w:fldChar w:fldCharType="begin"/>
      </w:r>
      <w:r>
        <w:instrText xml:space="preserve"> PAGEREF _Toc22543 \h </w:instrText>
      </w:r>
      <w:r>
        <w:fldChar w:fldCharType="separate"/>
      </w:r>
      <w:r>
        <w:t>35</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_Toc4490 </w:instrText>
      </w:r>
      <w:r>
        <w:rPr>
          <w:rFonts w:ascii="宋体" w:hAnsi="宋体" w:cs="宋体"/>
          <w:bCs/>
          <w:szCs w:val="21"/>
          <w:highlight w:val="none"/>
        </w:rPr>
        <w:fldChar w:fldCharType="separate"/>
      </w:r>
      <w:r>
        <w:rPr>
          <w:rFonts w:hint="eastAsia" w:ascii="宋体" w:hAnsi="宋体" w:cs="宋体"/>
          <w:highlight w:val="none"/>
          <w:lang w:eastAsia="zh-CN"/>
        </w:rPr>
        <w:t>三</w:t>
      </w:r>
      <w:r>
        <w:rPr>
          <w:rFonts w:hint="eastAsia" w:ascii="宋体" w:hAnsi="宋体" w:cs="宋体"/>
          <w:highlight w:val="none"/>
        </w:rPr>
        <w:t>、供应商基本情况表</w:t>
      </w:r>
      <w:r>
        <w:tab/>
      </w:r>
      <w:r>
        <w:fldChar w:fldCharType="begin"/>
      </w:r>
      <w:r>
        <w:instrText xml:space="preserve"> PAGEREF _Toc4490 \h </w:instrText>
      </w:r>
      <w:r>
        <w:fldChar w:fldCharType="separate"/>
      </w:r>
      <w:r>
        <w:t>36</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_Toc8522 </w:instrText>
      </w:r>
      <w:r>
        <w:rPr>
          <w:rFonts w:ascii="宋体" w:hAnsi="宋体" w:cs="宋体"/>
          <w:bCs/>
          <w:szCs w:val="21"/>
          <w:highlight w:val="none"/>
        </w:rPr>
        <w:fldChar w:fldCharType="separate"/>
      </w:r>
      <w:r>
        <w:rPr>
          <w:rFonts w:hint="eastAsia" w:ascii="Times New Roman" w:hAnsi="Times New Roman"/>
          <w:szCs w:val="28"/>
          <w:highlight w:val="none"/>
          <w:lang w:eastAsia="zh-CN"/>
        </w:rPr>
        <w:t>四</w:t>
      </w:r>
      <w:r>
        <w:rPr>
          <w:rFonts w:ascii="Times New Roman" w:hAnsi="Times New Roman" w:eastAsia="宋体"/>
          <w:szCs w:val="28"/>
          <w:highlight w:val="none"/>
        </w:rPr>
        <w:t>．</w:t>
      </w:r>
      <w:r>
        <w:rPr>
          <w:rFonts w:hint="eastAsia" w:ascii="宋体" w:hAnsi="宋体" w:cs="宋体"/>
          <w:szCs w:val="30"/>
          <w:highlight w:val="none"/>
        </w:rPr>
        <w:t>企业业绩</w:t>
      </w:r>
      <w:r>
        <w:tab/>
      </w:r>
      <w:r>
        <w:fldChar w:fldCharType="begin"/>
      </w:r>
      <w:r>
        <w:instrText xml:space="preserve"> PAGEREF _Toc8522 \h </w:instrText>
      </w:r>
      <w:r>
        <w:fldChar w:fldCharType="separate"/>
      </w:r>
      <w:r>
        <w:t>37</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_Toc6055 </w:instrText>
      </w:r>
      <w:r>
        <w:rPr>
          <w:rFonts w:ascii="宋体" w:hAnsi="宋体" w:cs="宋体"/>
          <w:bCs/>
          <w:szCs w:val="21"/>
          <w:highlight w:val="none"/>
        </w:rPr>
        <w:fldChar w:fldCharType="separate"/>
      </w:r>
      <w:r>
        <w:rPr>
          <w:rFonts w:hint="eastAsia" w:ascii="Times New Roman" w:hAnsi="Times New Roman"/>
          <w:szCs w:val="28"/>
          <w:highlight w:val="none"/>
          <w:lang w:eastAsia="zh-CN"/>
        </w:rPr>
        <w:t>五</w:t>
      </w:r>
      <w:r>
        <w:rPr>
          <w:rFonts w:ascii="Times New Roman" w:hAnsi="Times New Roman"/>
          <w:szCs w:val="28"/>
          <w:highlight w:val="none"/>
        </w:rPr>
        <w:t>．</w:t>
      </w:r>
      <w:r>
        <w:rPr>
          <w:rFonts w:hint="eastAsia" w:ascii="宋体" w:hAnsi="宋体" w:cs="宋体"/>
          <w:highlight w:val="none"/>
          <w:lang w:eastAsia="zh-CN"/>
        </w:rPr>
        <w:t>技术及综合部分</w:t>
      </w:r>
      <w:r>
        <w:tab/>
      </w:r>
      <w:r>
        <w:fldChar w:fldCharType="begin"/>
      </w:r>
      <w:r>
        <w:instrText xml:space="preserve"> PAGEREF _Toc6055 \h </w:instrText>
      </w:r>
      <w:r>
        <w:fldChar w:fldCharType="separate"/>
      </w:r>
      <w:r>
        <w:t>38</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_Toc29991 </w:instrText>
      </w:r>
      <w:r>
        <w:rPr>
          <w:rFonts w:ascii="宋体" w:hAnsi="宋体" w:cs="宋体"/>
          <w:bCs/>
          <w:szCs w:val="21"/>
          <w:highlight w:val="none"/>
        </w:rPr>
        <w:fldChar w:fldCharType="separate"/>
      </w:r>
      <w:r>
        <w:rPr>
          <w:rFonts w:hint="eastAsia" w:ascii="宋体" w:hAnsi="宋体" w:cs="宋体"/>
          <w:highlight w:val="none"/>
          <w:lang w:eastAsia="zh-CN"/>
        </w:rPr>
        <w:t>六</w:t>
      </w:r>
      <w:r>
        <w:rPr>
          <w:rFonts w:hint="eastAsia" w:ascii="宋体" w:hAnsi="宋体" w:cs="宋体"/>
          <w:highlight w:val="none"/>
        </w:rPr>
        <w:t>、反商业贿赂承诺书</w:t>
      </w:r>
      <w:r>
        <w:tab/>
      </w:r>
      <w:r>
        <w:fldChar w:fldCharType="begin"/>
      </w:r>
      <w:r>
        <w:instrText xml:space="preserve"> PAGEREF _Toc29991 \h </w:instrText>
      </w:r>
      <w:r>
        <w:fldChar w:fldCharType="separate"/>
      </w:r>
      <w:r>
        <w:t>39</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_Toc18065 </w:instrText>
      </w:r>
      <w:r>
        <w:rPr>
          <w:rFonts w:ascii="宋体" w:hAnsi="宋体" w:cs="宋体"/>
          <w:bCs/>
          <w:szCs w:val="21"/>
          <w:highlight w:val="none"/>
        </w:rPr>
        <w:fldChar w:fldCharType="separate"/>
      </w:r>
      <w:r>
        <w:rPr>
          <w:rFonts w:hint="eastAsia" w:ascii="宋体" w:hAnsi="宋体" w:cs="宋体"/>
          <w:highlight w:val="none"/>
          <w:lang w:eastAsia="zh-CN"/>
        </w:rPr>
        <w:t>七</w:t>
      </w:r>
      <w:r>
        <w:rPr>
          <w:rFonts w:hint="eastAsia" w:ascii="宋体" w:hAnsi="宋体" w:cs="宋体"/>
          <w:highlight w:val="none"/>
        </w:rPr>
        <w:t>、无行贿犯罪记录承诺书</w:t>
      </w:r>
      <w:r>
        <w:tab/>
      </w:r>
      <w:r>
        <w:fldChar w:fldCharType="begin"/>
      </w:r>
      <w:r>
        <w:instrText xml:space="preserve"> PAGEREF _Toc18065 \h </w:instrText>
      </w:r>
      <w:r>
        <w:fldChar w:fldCharType="separate"/>
      </w:r>
      <w:r>
        <w:t>40</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_Toc20867 </w:instrText>
      </w:r>
      <w:r>
        <w:rPr>
          <w:rFonts w:ascii="宋体" w:hAnsi="宋体" w:cs="宋体"/>
          <w:bCs/>
          <w:szCs w:val="21"/>
          <w:highlight w:val="none"/>
        </w:rPr>
        <w:fldChar w:fldCharType="separate"/>
      </w:r>
      <w:r>
        <w:rPr>
          <w:rFonts w:hint="eastAsia" w:ascii="宋体" w:hAnsi="宋体" w:cs="宋体"/>
          <w:highlight w:val="none"/>
          <w:lang w:eastAsia="zh-CN"/>
        </w:rPr>
        <w:t>八</w:t>
      </w:r>
      <w:r>
        <w:rPr>
          <w:rFonts w:hint="eastAsia" w:ascii="宋体" w:hAnsi="宋体" w:cs="宋体"/>
          <w:highlight w:val="none"/>
        </w:rPr>
        <w:t>、</w:t>
      </w:r>
      <w:r>
        <w:rPr>
          <w:rFonts w:ascii="宋体" w:hAnsi="宋体" w:cs="宋体"/>
          <w:highlight w:val="none"/>
        </w:rPr>
        <w:t xml:space="preserve"> </w:t>
      </w:r>
      <w:r>
        <w:rPr>
          <w:rFonts w:hint="eastAsia" w:ascii="宋体" w:hAnsi="宋体" w:cs="宋体"/>
          <w:highlight w:val="none"/>
        </w:rPr>
        <w:t>资</w:t>
      </w:r>
      <w:r>
        <w:rPr>
          <w:rFonts w:ascii="宋体" w:hAnsi="宋体" w:cs="宋体"/>
          <w:highlight w:val="none"/>
        </w:rPr>
        <w:t xml:space="preserve"> </w:t>
      </w:r>
      <w:r>
        <w:rPr>
          <w:rFonts w:hint="eastAsia" w:ascii="宋体" w:hAnsi="宋体" w:cs="宋体"/>
          <w:highlight w:val="none"/>
        </w:rPr>
        <w:t>格</w:t>
      </w:r>
      <w:r>
        <w:rPr>
          <w:rFonts w:ascii="宋体" w:hAnsi="宋体" w:cs="宋体"/>
          <w:highlight w:val="none"/>
        </w:rPr>
        <w:t xml:space="preserve"> </w:t>
      </w:r>
      <w:r>
        <w:rPr>
          <w:rFonts w:hint="eastAsia" w:ascii="宋体" w:hAnsi="宋体" w:cs="宋体"/>
          <w:highlight w:val="none"/>
        </w:rPr>
        <w:t>证</w:t>
      </w:r>
      <w:r>
        <w:rPr>
          <w:rFonts w:ascii="宋体" w:hAnsi="宋体" w:cs="宋体"/>
          <w:highlight w:val="none"/>
        </w:rPr>
        <w:t xml:space="preserve"> </w:t>
      </w:r>
      <w:r>
        <w:rPr>
          <w:rFonts w:hint="eastAsia" w:ascii="宋体" w:hAnsi="宋体" w:cs="宋体"/>
          <w:highlight w:val="none"/>
        </w:rPr>
        <w:t>明</w:t>
      </w:r>
      <w:r>
        <w:rPr>
          <w:rFonts w:ascii="宋体" w:hAnsi="宋体" w:cs="宋体"/>
          <w:highlight w:val="none"/>
        </w:rPr>
        <w:t xml:space="preserve"> </w:t>
      </w:r>
      <w:r>
        <w:rPr>
          <w:rFonts w:hint="eastAsia" w:ascii="宋体" w:hAnsi="宋体" w:cs="宋体"/>
          <w:highlight w:val="none"/>
        </w:rPr>
        <w:t>文</w:t>
      </w:r>
      <w:r>
        <w:rPr>
          <w:rFonts w:ascii="宋体" w:hAnsi="宋体" w:cs="宋体"/>
          <w:highlight w:val="none"/>
        </w:rPr>
        <w:t xml:space="preserve"> </w:t>
      </w:r>
      <w:r>
        <w:rPr>
          <w:rFonts w:hint="eastAsia" w:ascii="宋体" w:hAnsi="宋体" w:cs="宋体"/>
          <w:highlight w:val="none"/>
        </w:rPr>
        <w:t>件</w:t>
      </w:r>
      <w:r>
        <w:tab/>
      </w:r>
      <w:r>
        <w:fldChar w:fldCharType="begin"/>
      </w:r>
      <w:r>
        <w:instrText xml:space="preserve"> PAGEREF _Toc20867 \h </w:instrText>
      </w:r>
      <w:r>
        <w:fldChar w:fldCharType="separate"/>
      </w:r>
      <w:r>
        <w:t>41</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_Toc15435 </w:instrText>
      </w:r>
      <w:r>
        <w:rPr>
          <w:rFonts w:ascii="宋体" w:hAnsi="宋体" w:cs="宋体"/>
          <w:bCs/>
          <w:szCs w:val="21"/>
          <w:highlight w:val="none"/>
        </w:rPr>
        <w:fldChar w:fldCharType="separate"/>
      </w:r>
      <w:r>
        <w:rPr>
          <w:rFonts w:hint="eastAsia" w:ascii="宋体" w:hAnsi="宋体" w:cs="宋体"/>
          <w:bCs/>
          <w:kern w:val="28"/>
          <w:szCs w:val="32"/>
          <w:highlight w:val="none"/>
        </w:rPr>
        <w:t>十、投标承诺函</w:t>
      </w:r>
      <w:r>
        <w:tab/>
      </w:r>
      <w:r>
        <w:fldChar w:fldCharType="begin"/>
      </w:r>
      <w:r>
        <w:instrText xml:space="preserve"> PAGEREF _Toc15435 \h </w:instrText>
      </w:r>
      <w:r>
        <w:fldChar w:fldCharType="separate"/>
      </w:r>
      <w:r>
        <w:t>43</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_Toc32137 </w:instrText>
      </w:r>
      <w:r>
        <w:rPr>
          <w:rFonts w:ascii="宋体" w:hAnsi="宋体" w:cs="宋体"/>
          <w:bCs/>
          <w:szCs w:val="21"/>
          <w:highlight w:val="none"/>
        </w:rPr>
        <w:fldChar w:fldCharType="separate"/>
      </w:r>
      <w:r>
        <w:rPr>
          <w:rFonts w:hint="eastAsia" w:ascii="宋体" w:hAnsi="宋体" w:cs="宋体"/>
          <w:kern w:val="0"/>
          <w:szCs w:val="32"/>
          <w:highlight w:val="none"/>
        </w:rPr>
        <w:t>十</w:t>
      </w:r>
      <w:r>
        <w:rPr>
          <w:rFonts w:hint="eastAsia" w:ascii="宋体" w:hAnsi="宋体" w:cs="宋体"/>
          <w:kern w:val="0"/>
          <w:szCs w:val="32"/>
          <w:highlight w:val="none"/>
          <w:lang w:eastAsia="zh-CN"/>
        </w:rPr>
        <w:t>一</w:t>
      </w:r>
      <w:r>
        <w:rPr>
          <w:rFonts w:hint="eastAsia" w:ascii="宋体" w:hAnsi="宋体" w:cs="宋体"/>
          <w:kern w:val="0"/>
          <w:szCs w:val="32"/>
          <w:highlight w:val="none"/>
        </w:rPr>
        <w:t>、温县政府采购供应商资格信用承</w:t>
      </w:r>
      <w:r>
        <w:rPr>
          <w:rFonts w:hint="eastAsia" w:ascii="宋体" w:hAnsi="宋体" w:cs="宋体"/>
          <w:kern w:val="0"/>
          <w:szCs w:val="32"/>
          <w:highlight w:val="none"/>
          <w:lang w:eastAsia="zh-CN"/>
        </w:rPr>
        <w:t>诺</w:t>
      </w:r>
      <w:r>
        <w:rPr>
          <w:rFonts w:hint="eastAsia" w:ascii="宋体" w:hAnsi="宋体" w:cs="宋体"/>
          <w:kern w:val="0"/>
          <w:szCs w:val="32"/>
          <w:highlight w:val="none"/>
        </w:rPr>
        <w:t>函</w:t>
      </w:r>
      <w:r>
        <w:tab/>
      </w:r>
      <w:r>
        <w:fldChar w:fldCharType="begin"/>
      </w:r>
      <w:r>
        <w:instrText xml:space="preserve"> PAGEREF _Toc32137 \h </w:instrText>
      </w:r>
      <w:r>
        <w:fldChar w:fldCharType="separate"/>
      </w:r>
      <w:r>
        <w:t>44</w:t>
      </w:r>
      <w:r>
        <w:fldChar w:fldCharType="end"/>
      </w:r>
      <w:r>
        <w:rPr>
          <w:rFonts w:ascii="宋体" w:hAnsi="宋体" w:cs="宋体"/>
          <w:bCs/>
          <w:color w:val="auto"/>
          <w:szCs w:val="21"/>
          <w:highlight w:val="none"/>
        </w:rPr>
        <w:fldChar w:fldCharType="end"/>
      </w:r>
    </w:p>
    <w:p>
      <w:pPr>
        <w:pStyle w:val="21"/>
        <w:tabs>
          <w:tab w:val="right" w:leader="dot" w:pos="9072"/>
        </w:tabs>
      </w:pPr>
      <w:r>
        <w:rPr>
          <w:rFonts w:ascii="宋体" w:hAnsi="宋体" w:cs="宋体"/>
          <w:bCs/>
          <w:color w:val="auto"/>
          <w:szCs w:val="21"/>
          <w:highlight w:val="none"/>
        </w:rPr>
        <w:fldChar w:fldCharType="begin"/>
      </w:r>
      <w:r>
        <w:rPr>
          <w:rFonts w:ascii="宋体" w:hAnsi="宋体" w:cs="宋体"/>
          <w:bCs/>
          <w:szCs w:val="21"/>
          <w:highlight w:val="none"/>
        </w:rPr>
        <w:instrText xml:space="preserve"> HYPERLINK \l _Toc1984 </w:instrText>
      </w:r>
      <w:r>
        <w:rPr>
          <w:rFonts w:ascii="宋体" w:hAnsi="宋体" w:cs="宋体"/>
          <w:bCs/>
          <w:szCs w:val="21"/>
          <w:highlight w:val="none"/>
        </w:rPr>
        <w:fldChar w:fldCharType="separate"/>
      </w:r>
      <w:r>
        <w:rPr>
          <w:rFonts w:hint="eastAsia" w:ascii="宋体" w:hAnsi="宋体" w:cs="宋体"/>
          <w:highlight w:val="none"/>
        </w:rPr>
        <w:t>十</w:t>
      </w:r>
      <w:r>
        <w:rPr>
          <w:rFonts w:hint="eastAsia" w:ascii="宋体" w:hAnsi="宋体" w:cs="宋体"/>
          <w:highlight w:val="none"/>
          <w:lang w:eastAsia="zh-CN"/>
        </w:rPr>
        <w:t>二</w:t>
      </w:r>
      <w:r>
        <w:rPr>
          <w:rFonts w:hint="eastAsia" w:ascii="宋体" w:hAnsi="宋体" w:cs="宋体"/>
          <w:highlight w:val="none"/>
        </w:rPr>
        <w:t>、供应商认为需要提供的其它材料</w:t>
      </w:r>
      <w:r>
        <w:tab/>
      </w:r>
      <w:r>
        <w:fldChar w:fldCharType="begin"/>
      </w:r>
      <w:r>
        <w:instrText xml:space="preserve"> PAGEREF _Toc1984 \h </w:instrText>
      </w:r>
      <w:r>
        <w:fldChar w:fldCharType="separate"/>
      </w:r>
      <w:r>
        <w:t>45</w:t>
      </w:r>
      <w:r>
        <w:fldChar w:fldCharType="end"/>
      </w:r>
      <w:r>
        <w:rPr>
          <w:rFonts w:ascii="宋体" w:hAnsi="宋体" w:cs="宋体"/>
          <w:bCs/>
          <w:color w:val="auto"/>
          <w:szCs w:val="21"/>
          <w:highlight w:val="none"/>
        </w:rPr>
        <w:fldChar w:fldCharType="end"/>
      </w:r>
    </w:p>
    <w:p>
      <w:pPr>
        <w:spacing w:line="340" w:lineRule="exact"/>
        <w:jc w:val="center"/>
        <w:rPr>
          <w:color w:val="auto"/>
          <w:highlight w:val="none"/>
        </w:rPr>
      </w:pPr>
      <w:r>
        <w:rPr>
          <w:rFonts w:ascii="宋体" w:hAnsi="宋体" w:cs="宋体"/>
          <w:bCs/>
          <w:color w:val="auto"/>
          <w:szCs w:val="21"/>
          <w:highlight w:val="none"/>
        </w:rPr>
        <w:fldChar w:fldCharType="end"/>
      </w:r>
    </w:p>
    <w:p>
      <w:pPr>
        <w:tabs>
          <w:tab w:val="left" w:pos="7671"/>
        </w:tabs>
        <w:rPr>
          <w:rFonts w:hint="eastAsia" w:eastAsia="宋体"/>
          <w:color w:val="auto"/>
          <w:highlight w:val="none"/>
          <w:lang w:eastAsia="zh-CN"/>
        </w:rPr>
      </w:pPr>
      <w:r>
        <w:rPr>
          <w:rFonts w:hint="eastAsia"/>
          <w:color w:val="auto"/>
          <w:highlight w:val="none"/>
          <w:lang w:eastAsia="zh-CN"/>
        </w:rPr>
        <w:tab/>
      </w:r>
    </w:p>
    <w:p>
      <w:pPr>
        <w:pStyle w:val="9"/>
        <w:rPr>
          <w:color w:val="auto"/>
          <w:highlight w:val="none"/>
        </w:rPr>
      </w:pPr>
    </w:p>
    <w:p>
      <w:pPr>
        <w:rPr>
          <w:color w:val="auto"/>
          <w:highlight w:val="none"/>
        </w:rPr>
      </w:pPr>
    </w:p>
    <w:p>
      <w:pPr>
        <w:pStyle w:val="25"/>
        <w:rPr>
          <w:rFonts w:hint="eastAsia"/>
          <w:color w:val="auto"/>
          <w:kern w:val="44"/>
          <w:highlight w:val="none"/>
        </w:rPr>
      </w:pPr>
    </w:p>
    <w:p>
      <w:pPr>
        <w:pStyle w:val="25"/>
        <w:rPr>
          <w:rFonts w:ascii="宋体" w:cs="宋体"/>
          <w:color w:val="auto"/>
          <w:kern w:val="44"/>
          <w:highlight w:val="none"/>
        </w:rPr>
      </w:pPr>
      <w:bookmarkStart w:id="0" w:name="_Toc16418"/>
      <w:r>
        <w:rPr>
          <w:rFonts w:hint="eastAsia"/>
          <w:color w:val="auto"/>
          <w:kern w:val="44"/>
          <w:highlight w:val="none"/>
        </w:rPr>
        <w:t>第一章</w:t>
      </w:r>
      <w:r>
        <w:rPr>
          <w:color w:val="auto"/>
          <w:kern w:val="44"/>
          <w:highlight w:val="none"/>
        </w:rPr>
        <w:t xml:space="preserve">  </w:t>
      </w:r>
      <w:r>
        <w:rPr>
          <w:rFonts w:hint="eastAsia"/>
          <w:color w:val="auto"/>
          <w:kern w:val="44"/>
          <w:highlight w:val="none"/>
        </w:rPr>
        <w:t>竞争性磋商公告</w:t>
      </w:r>
      <w:bookmarkEnd w:id="0"/>
    </w:p>
    <w:p>
      <w:pPr>
        <w:spacing w:line="440" w:lineRule="exact"/>
        <w:ind w:firstLine="643" w:firstLineChars="200"/>
        <w:jc w:val="center"/>
        <w:rPr>
          <w:rFonts w:hint="eastAsia" w:ascii="宋体" w:hAnsi="宋体" w:cs="宋体"/>
          <w:color w:val="auto"/>
          <w:szCs w:val="21"/>
          <w:highlight w:val="none"/>
          <w:lang w:val="en-US" w:eastAsia="zh-CN"/>
        </w:rPr>
      </w:pPr>
      <w:r>
        <w:rPr>
          <w:rFonts w:hint="eastAsia" w:ascii="宋体" w:hAnsi="宋体" w:cs="宋体"/>
          <w:b/>
          <w:bCs/>
          <w:color w:val="auto"/>
          <w:sz w:val="32"/>
          <w:szCs w:val="32"/>
          <w:highlight w:val="none"/>
          <w:lang w:val="en-US" w:eastAsia="zh-CN"/>
        </w:rPr>
        <w:t>2023年度温县番田镇粮食烘干仓储采购设备项目</w:t>
      </w:r>
    </w:p>
    <w:p>
      <w:pPr>
        <w:spacing w:line="440" w:lineRule="exact"/>
        <w:ind w:firstLine="643" w:firstLineChars="20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竞争性磋商公告</w:t>
      </w:r>
    </w:p>
    <w:p>
      <w:pPr>
        <w:spacing w:line="44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项目概况:</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2023年度温县番田镇粮食烘干仓储采购设备项目</w:t>
      </w:r>
      <w:r>
        <w:rPr>
          <w:rFonts w:hint="eastAsia" w:ascii="宋体" w:hAnsi="宋体" w:eastAsia="宋体" w:cs="宋体"/>
          <w:color w:val="auto"/>
          <w:szCs w:val="21"/>
          <w:highlight w:val="none"/>
        </w:rPr>
        <w:t>的潜</w:t>
      </w:r>
      <w:r>
        <w:rPr>
          <w:rFonts w:hint="eastAsia" w:ascii="宋体" w:hAnsi="宋体" w:cs="宋体"/>
          <w:color w:val="auto"/>
          <w:szCs w:val="21"/>
          <w:highlight w:val="none"/>
        </w:rPr>
        <w:t>在</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应在焦作市公共资源交易中心网站会员系统获取磋商文件，并于</w:t>
      </w:r>
      <w:r>
        <w:rPr>
          <w:rFonts w:hint="eastAsia" w:ascii="宋体" w:hAnsi="宋体" w:cs="宋体"/>
          <w:color w:val="auto"/>
          <w:szCs w:val="21"/>
          <w:highlight w:val="none"/>
          <w:u w:val="single"/>
          <w:lang w:val="en-US" w:eastAsia="zh-CN"/>
        </w:rPr>
        <w:t xml:space="preserve"> 2023 </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 xml:space="preserve"> 8 </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 xml:space="preserve"> 25 </w:t>
      </w:r>
      <w:r>
        <w:rPr>
          <w:rFonts w:hint="eastAsia" w:ascii="宋体" w:hAnsi="宋体" w:cs="宋体"/>
          <w:color w:val="auto"/>
          <w:szCs w:val="21"/>
          <w:highlight w:val="none"/>
          <w:u w:val="single"/>
        </w:rPr>
        <w:t>日</w:t>
      </w:r>
      <w:r>
        <w:rPr>
          <w:rFonts w:hint="eastAsia" w:ascii="宋体" w:hAnsi="宋体" w:cs="宋体"/>
          <w:color w:val="auto"/>
          <w:szCs w:val="21"/>
          <w:highlight w:val="none"/>
          <w:u w:val="single"/>
          <w:lang w:val="en-US" w:eastAsia="zh-CN"/>
        </w:rPr>
        <w:t xml:space="preserve"> 9 </w:t>
      </w:r>
      <w:r>
        <w:rPr>
          <w:rFonts w:hint="eastAsia" w:ascii="宋体" w:hAnsi="宋体" w:cs="宋体"/>
          <w:color w:val="auto"/>
          <w:szCs w:val="21"/>
          <w:highlight w:val="none"/>
          <w:u w:val="single"/>
        </w:rPr>
        <w:t>时</w:t>
      </w:r>
      <w:r>
        <w:rPr>
          <w:rFonts w:hint="eastAsia" w:ascii="宋体" w:hAnsi="宋体" w:cs="宋体"/>
          <w:color w:val="auto"/>
          <w:szCs w:val="21"/>
          <w:highlight w:val="none"/>
          <w:u w:val="single"/>
          <w:lang w:val="en-US" w:eastAsia="zh-CN"/>
        </w:rPr>
        <w:t xml:space="preserve"> 00 </w:t>
      </w:r>
      <w:r>
        <w:rPr>
          <w:rFonts w:hint="eastAsia" w:ascii="宋体" w:hAnsi="宋体" w:cs="宋体"/>
          <w:color w:val="auto"/>
          <w:szCs w:val="21"/>
          <w:highlight w:val="none"/>
          <w:u w:val="single"/>
        </w:rPr>
        <w:t>分</w:t>
      </w:r>
      <w:r>
        <w:rPr>
          <w:rFonts w:hint="eastAsia" w:ascii="宋体" w:hAnsi="宋体" w:cs="宋体"/>
          <w:color w:val="auto"/>
          <w:szCs w:val="21"/>
          <w:highlight w:val="none"/>
        </w:rPr>
        <w:t>（北京时间）前递交磋商响应文件。</w:t>
      </w:r>
    </w:p>
    <w:p>
      <w:pPr>
        <w:spacing w:line="44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一、项目基本情况:</w:t>
      </w:r>
    </w:p>
    <w:p>
      <w:pPr>
        <w:spacing w:line="440" w:lineRule="exact"/>
        <w:ind w:firstLine="420" w:firstLineChars="20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1.项目编号：</w:t>
      </w:r>
      <w:r>
        <w:rPr>
          <w:rFonts w:hint="eastAsia" w:ascii="宋体" w:hAnsi="宋体" w:cs="宋体"/>
          <w:color w:val="auto"/>
          <w:szCs w:val="21"/>
          <w:highlight w:val="none"/>
          <w:lang w:eastAsia="zh-CN"/>
        </w:rPr>
        <w:t>温政采【</w:t>
      </w:r>
      <w:r>
        <w:rPr>
          <w:rFonts w:hint="eastAsia" w:ascii="宋体" w:hAnsi="宋体" w:cs="宋体"/>
          <w:color w:val="auto"/>
          <w:szCs w:val="21"/>
          <w:highlight w:val="none"/>
          <w:lang w:val="en-US" w:eastAsia="zh-CN"/>
        </w:rPr>
        <w:t>2023】08-27</w:t>
      </w:r>
    </w:p>
    <w:p>
      <w:pPr>
        <w:spacing w:line="440" w:lineRule="exact"/>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rPr>
        <w:t>2.项目名称：</w:t>
      </w:r>
      <w:r>
        <w:rPr>
          <w:rFonts w:hint="eastAsia" w:ascii="宋体" w:hAnsi="宋体" w:cs="宋体"/>
          <w:color w:val="auto"/>
          <w:szCs w:val="21"/>
          <w:highlight w:val="none"/>
          <w:lang w:val="en-US" w:eastAsia="zh-CN"/>
        </w:rPr>
        <w:t>2023年度温县番田镇粮食烘干仓储采购设备项目</w:t>
      </w:r>
    </w:p>
    <w:p>
      <w:pPr>
        <w:spacing w:line="440" w:lineRule="exact"/>
        <w:ind w:firstLine="420" w:firstLineChars="200"/>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color w:val="auto"/>
          <w:sz w:val="21"/>
          <w:szCs w:val="21"/>
          <w:highlight w:val="none"/>
          <w:lang w:val="en-US" w:eastAsia="zh-CN"/>
        </w:rPr>
        <w:t>3.采购方式：竞争性磋商</w:t>
      </w:r>
    </w:p>
    <w:p>
      <w:pPr>
        <w:spacing w:line="440" w:lineRule="exact"/>
        <w:ind w:firstLine="420" w:firstLineChars="200"/>
        <w:rPr>
          <w:rFonts w:hint="eastAsia" w:ascii="宋体" w:hAnsi="宋体" w:cs="宋体"/>
          <w:szCs w:val="21"/>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.预算金额：</w:t>
      </w:r>
      <w:r>
        <w:rPr>
          <w:rFonts w:hint="eastAsia" w:ascii="宋体" w:hAnsi="宋体" w:cs="宋体"/>
          <w:szCs w:val="21"/>
          <w:lang w:val="en-US" w:eastAsia="zh-CN"/>
        </w:rPr>
        <w:t>942000</w:t>
      </w:r>
      <w:r>
        <w:rPr>
          <w:rFonts w:hint="eastAsia" w:ascii="宋体" w:hAnsi="宋体" w:cs="宋体"/>
          <w:szCs w:val="21"/>
        </w:rPr>
        <w:t>元</w:t>
      </w:r>
    </w:p>
    <w:p>
      <w:pPr>
        <w:spacing w:line="440" w:lineRule="exact"/>
        <w:ind w:firstLine="630" w:firstLineChars="300"/>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lang w:val="en-US" w:eastAsia="zh-CN"/>
        </w:rPr>
        <w:t>最高限价：942000元</w:t>
      </w:r>
    </w:p>
    <w:tbl>
      <w:tblPr>
        <w:tblStyle w:val="27"/>
        <w:tblW w:w="10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1560"/>
        <w:gridCol w:w="2865"/>
        <w:gridCol w:w="1005"/>
        <w:gridCol w:w="1320"/>
        <w:gridCol w:w="1515"/>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7" w:type="dxa"/>
            <w:noWrap w:val="0"/>
            <w:vAlign w:val="center"/>
          </w:tcPr>
          <w:p>
            <w:pPr>
              <w:widowControl/>
              <w:spacing w:line="560" w:lineRule="exact"/>
              <w:jc w:val="center"/>
              <w:rPr>
                <w:rFonts w:hint="eastAsia" w:ascii="宋体" w:hAnsi="宋体" w:cs="宋体"/>
                <w:szCs w:val="21"/>
              </w:rPr>
            </w:pPr>
            <w:r>
              <w:rPr>
                <w:rFonts w:hint="eastAsia" w:ascii="宋体" w:hAnsi="宋体" w:cs="宋体"/>
                <w:kern w:val="0"/>
                <w:szCs w:val="21"/>
                <w:lang w:bidi="ar"/>
              </w:rPr>
              <w:t>序号</w:t>
            </w:r>
          </w:p>
        </w:tc>
        <w:tc>
          <w:tcPr>
            <w:tcW w:w="1560" w:type="dxa"/>
            <w:noWrap w:val="0"/>
            <w:vAlign w:val="center"/>
          </w:tcPr>
          <w:p>
            <w:pPr>
              <w:widowControl/>
              <w:spacing w:line="560" w:lineRule="exact"/>
              <w:jc w:val="center"/>
              <w:rPr>
                <w:rFonts w:hint="eastAsia" w:ascii="宋体" w:hAnsi="宋体" w:cs="宋体"/>
                <w:szCs w:val="21"/>
              </w:rPr>
            </w:pPr>
            <w:r>
              <w:rPr>
                <w:rFonts w:hint="eastAsia" w:ascii="宋体" w:hAnsi="宋体" w:cs="宋体"/>
                <w:kern w:val="0"/>
                <w:szCs w:val="21"/>
                <w:lang w:bidi="ar"/>
              </w:rPr>
              <w:t>包号</w:t>
            </w:r>
          </w:p>
        </w:tc>
        <w:tc>
          <w:tcPr>
            <w:tcW w:w="2865" w:type="dxa"/>
            <w:noWrap w:val="0"/>
            <w:vAlign w:val="center"/>
          </w:tcPr>
          <w:p>
            <w:pPr>
              <w:widowControl/>
              <w:spacing w:line="560" w:lineRule="exact"/>
              <w:jc w:val="center"/>
              <w:rPr>
                <w:rFonts w:hint="eastAsia" w:ascii="宋体" w:hAnsi="宋体" w:cs="宋体"/>
                <w:szCs w:val="21"/>
              </w:rPr>
            </w:pPr>
            <w:r>
              <w:rPr>
                <w:rFonts w:hint="eastAsia" w:ascii="宋体" w:hAnsi="宋体" w:cs="宋体"/>
                <w:kern w:val="0"/>
                <w:szCs w:val="21"/>
                <w:lang w:bidi="ar"/>
              </w:rPr>
              <w:t>包名称</w:t>
            </w:r>
          </w:p>
        </w:tc>
        <w:tc>
          <w:tcPr>
            <w:tcW w:w="1005" w:type="dxa"/>
            <w:noWrap w:val="0"/>
            <w:vAlign w:val="center"/>
          </w:tcPr>
          <w:p>
            <w:pPr>
              <w:widowControl/>
              <w:spacing w:line="560" w:lineRule="exact"/>
              <w:jc w:val="center"/>
              <w:rPr>
                <w:rFonts w:hint="eastAsia" w:ascii="宋体" w:hAnsi="宋体" w:cs="宋体"/>
                <w:szCs w:val="21"/>
              </w:rPr>
            </w:pPr>
            <w:r>
              <w:rPr>
                <w:rFonts w:hint="eastAsia" w:ascii="宋体" w:hAnsi="宋体" w:cs="宋体"/>
                <w:kern w:val="0"/>
                <w:szCs w:val="21"/>
                <w:lang w:bidi="ar"/>
              </w:rPr>
              <w:t>包预算（元）</w:t>
            </w:r>
          </w:p>
        </w:tc>
        <w:tc>
          <w:tcPr>
            <w:tcW w:w="1320" w:type="dxa"/>
            <w:noWrap w:val="0"/>
            <w:vAlign w:val="center"/>
          </w:tcPr>
          <w:p>
            <w:pPr>
              <w:widowControl/>
              <w:spacing w:line="560" w:lineRule="exact"/>
              <w:jc w:val="center"/>
              <w:rPr>
                <w:rFonts w:hint="eastAsia" w:ascii="宋体" w:hAnsi="宋体" w:cs="宋体"/>
                <w:szCs w:val="21"/>
              </w:rPr>
            </w:pPr>
            <w:r>
              <w:rPr>
                <w:rFonts w:hint="eastAsia" w:ascii="宋体" w:hAnsi="宋体" w:cs="宋体"/>
                <w:kern w:val="0"/>
                <w:szCs w:val="21"/>
                <w:lang w:bidi="ar"/>
              </w:rPr>
              <w:t>包最高限价（元）</w:t>
            </w:r>
          </w:p>
        </w:tc>
        <w:tc>
          <w:tcPr>
            <w:tcW w:w="1515" w:type="dxa"/>
            <w:noWrap w:val="0"/>
            <w:vAlign w:val="center"/>
          </w:tcPr>
          <w:p>
            <w:pPr>
              <w:widowControl/>
              <w:spacing w:line="560" w:lineRule="exact"/>
              <w:jc w:val="center"/>
              <w:rPr>
                <w:rFonts w:hint="eastAsia" w:ascii="宋体" w:hAnsi="宋体" w:cs="宋体"/>
                <w:kern w:val="0"/>
                <w:szCs w:val="21"/>
                <w:lang w:bidi="ar"/>
              </w:rPr>
            </w:pPr>
            <w:r>
              <w:rPr>
                <w:rFonts w:hint="eastAsia" w:ascii="宋体" w:hAnsi="宋体" w:cs="宋体"/>
                <w:color w:val="auto"/>
                <w:kern w:val="0"/>
                <w:szCs w:val="21"/>
                <w:lang w:eastAsia="zh-CN" w:bidi="ar"/>
              </w:rPr>
              <w:t>是否专门面向中小企业</w:t>
            </w:r>
          </w:p>
        </w:tc>
        <w:tc>
          <w:tcPr>
            <w:tcW w:w="1515" w:type="dxa"/>
            <w:noWrap w:val="0"/>
            <w:vAlign w:val="center"/>
          </w:tcPr>
          <w:p>
            <w:pPr>
              <w:widowControl/>
              <w:spacing w:line="560" w:lineRule="exact"/>
              <w:jc w:val="center"/>
              <w:rPr>
                <w:rFonts w:hint="eastAsia" w:ascii="宋体" w:hAnsi="宋体" w:cs="宋体"/>
                <w:color w:val="auto"/>
                <w:kern w:val="0"/>
                <w:szCs w:val="21"/>
                <w:lang w:eastAsia="zh-CN" w:bidi="ar"/>
              </w:rPr>
            </w:pPr>
            <w:r>
              <w:rPr>
                <w:rFonts w:hint="eastAsia" w:ascii="宋体" w:hAnsi="宋体" w:cs="宋体"/>
                <w:color w:val="auto"/>
                <w:kern w:val="0"/>
                <w:szCs w:val="21"/>
                <w:lang w:eastAsia="zh-CN" w:bidi="ar"/>
              </w:rPr>
              <w:t>采购预留金额（元）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747" w:type="dxa"/>
            <w:noWrap w:val="0"/>
            <w:vAlign w:val="center"/>
          </w:tcPr>
          <w:p>
            <w:pPr>
              <w:widowControl/>
              <w:jc w:val="center"/>
              <w:rPr>
                <w:rFonts w:hint="eastAsia" w:ascii="宋体" w:hAnsi="宋体" w:cs="宋体"/>
                <w:szCs w:val="21"/>
              </w:rPr>
            </w:pPr>
            <w:r>
              <w:rPr>
                <w:rFonts w:hint="eastAsia" w:ascii="宋体" w:hAnsi="宋体" w:cs="宋体"/>
                <w:szCs w:val="21"/>
              </w:rPr>
              <w:t>1</w:t>
            </w:r>
          </w:p>
        </w:tc>
        <w:tc>
          <w:tcPr>
            <w:tcW w:w="1560" w:type="dxa"/>
            <w:noWrap w:val="0"/>
            <w:vAlign w:val="center"/>
          </w:tcPr>
          <w:p>
            <w:pPr>
              <w:spacing w:line="44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温</w:t>
            </w:r>
            <w:r>
              <w:rPr>
                <w:rFonts w:hint="eastAsia" w:ascii="宋体" w:hAnsi="宋体" w:cs="宋体"/>
                <w:color w:val="auto"/>
                <w:szCs w:val="21"/>
                <w:highlight w:val="none"/>
                <w:lang w:val="en-US" w:eastAsia="zh-CN"/>
              </w:rPr>
              <w:t>交易</w:t>
            </w: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 xml:space="preserve">    75</w:t>
            </w:r>
            <w:r>
              <w:rPr>
                <w:rFonts w:hint="eastAsia" w:ascii="宋体" w:hAnsi="宋体" w:cs="宋体"/>
                <w:color w:val="auto"/>
                <w:szCs w:val="21"/>
                <w:highlight w:val="none"/>
              </w:rPr>
              <w:t>号</w:t>
            </w:r>
            <w:r>
              <w:rPr>
                <w:rFonts w:hint="eastAsia" w:ascii="宋体" w:hAnsi="宋体" w:cs="宋体"/>
                <w:color w:val="auto"/>
                <w:szCs w:val="21"/>
                <w:highlight w:val="none"/>
                <w:lang w:val="en-US" w:eastAsia="zh-CN"/>
              </w:rPr>
              <w:t>-1</w:t>
            </w:r>
          </w:p>
          <w:p>
            <w:pPr>
              <w:widowControl/>
              <w:jc w:val="center"/>
              <w:rPr>
                <w:rFonts w:hint="eastAsia" w:ascii="宋体" w:hAnsi="宋体" w:cs="宋体"/>
                <w:szCs w:val="21"/>
              </w:rPr>
            </w:pPr>
          </w:p>
        </w:tc>
        <w:tc>
          <w:tcPr>
            <w:tcW w:w="2865" w:type="dxa"/>
            <w:noWrap w:val="0"/>
            <w:vAlign w:val="center"/>
          </w:tcPr>
          <w:p>
            <w:pPr>
              <w:keepNext w:val="0"/>
              <w:keepLines w:val="0"/>
              <w:pageBreakBefore w:val="0"/>
              <w:kinsoku/>
              <w:wordWrap/>
              <w:overflowPunct/>
              <w:topLinePunct w:val="0"/>
              <w:autoSpaceDE/>
              <w:autoSpaceDN/>
              <w:bidi w:val="0"/>
              <w:adjustRightInd/>
              <w:spacing w:line="480" w:lineRule="exact"/>
              <w:jc w:val="center"/>
              <w:textAlignment w:val="auto"/>
              <w:rPr>
                <w:rFonts w:hint="eastAsia" w:ascii="宋体" w:hAnsi="宋体" w:cs="宋体"/>
                <w:szCs w:val="21"/>
              </w:rPr>
            </w:pPr>
            <w:r>
              <w:rPr>
                <w:rFonts w:hint="eastAsia" w:ascii="宋体" w:hAnsi="宋体" w:cs="宋体"/>
                <w:color w:val="auto"/>
                <w:szCs w:val="21"/>
                <w:highlight w:val="none"/>
                <w:lang w:val="en-US" w:eastAsia="zh-CN"/>
              </w:rPr>
              <w:t>2023年度温县番田镇粮食烘干仓储采购设备项目</w:t>
            </w:r>
          </w:p>
        </w:tc>
        <w:tc>
          <w:tcPr>
            <w:tcW w:w="1005" w:type="dxa"/>
            <w:noWrap w:val="0"/>
            <w:vAlign w:val="center"/>
          </w:tcPr>
          <w:p>
            <w:pPr>
              <w:widowControl/>
              <w:jc w:val="center"/>
              <w:rPr>
                <w:rFonts w:hint="default" w:ascii="宋体" w:hAnsi="宋体" w:eastAsia="宋体" w:cs="宋体"/>
                <w:szCs w:val="21"/>
                <w:lang w:val="en-US" w:eastAsia="zh-CN"/>
              </w:rPr>
            </w:pPr>
            <w:r>
              <w:rPr>
                <w:rFonts w:hint="eastAsia" w:asciiTheme="minorEastAsia" w:hAnsiTheme="minorEastAsia" w:eastAsiaTheme="minorEastAsia" w:cstheme="minorEastAsia"/>
                <w:b w:val="0"/>
                <w:bCs/>
                <w:sz w:val="21"/>
                <w:szCs w:val="21"/>
                <w:lang w:val="en-US" w:eastAsia="zh-CN"/>
              </w:rPr>
              <w:t>942000</w:t>
            </w:r>
          </w:p>
        </w:tc>
        <w:tc>
          <w:tcPr>
            <w:tcW w:w="1320" w:type="dxa"/>
            <w:noWrap w:val="0"/>
            <w:vAlign w:val="center"/>
          </w:tcPr>
          <w:p>
            <w:pPr>
              <w:widowControl/>
              <w:jc w:val="center"/>
              <w:rPr>
                <w:rFonts w:hint="eastAsia" w:ascii="宋体" w:hAnsi="宋体" w:cs="宋体"/>
                <w:szCs w:val="21"/>
              </w:rPr>
            </w:pPr>
            <w:r>
              <w:rPr>
                <w:rFonts w:hint="eastAsia" w:asciiTheme="minorEastAsia" w:hAnsiTheme="minorEastAsia" w:eastAsiaTheme="minorEastAsia" w:cstheme="minorEastAsia"/>
                <w:b w:val="0"/>
                <w:bCs/>
                <w:sz w:val="21"/>
                <w:szCs w:val="21"/>
                <w:lang w:val="en-US" w:eastAsia="zh-CN"/>
              </w:rPr>
              <w:t>942000</w:t>
            </w:r>
          </w:p>
        </w:tc>
        <w:tc>
          <w:tcPr>
            <w:tcW w:w="1515" w:type="dxa"/>
            <w:noWrap w:val="0"/>
            <w:vAlign w:val="center"/>
          </w:tcPr>
          <w:p>
            <w:pPr>
              <w:widowControl/>
              <w:jc w:val="center"/>
              <w:rPr>
                <w:rFonts w:hint="eastAsia" w:asciiTheme="minorEastAsia" w:hAnsiTheme="minorEastAsia" w:eastAsiaTheme="minorEastAsia" w:cstheme="minorEastAsia"/>
                <w:b w:val="0"/>
                <w:bCs/>
                <w:sz w:val="21"/>
                <w:szCs w:val="21"/>
                <w:lang w:val="en-US" w:eastAsia="zh-CN"/>
              </w:rPr>
            </w:pPr>
            <w:r>
              <w:rPr>
                <w:rFonts w:hint="eastAsia" w:ascii="宋体" w:hAnsi="宋体" w:cs="宋体"/>
                <w:color w:val="auto"/>
                <w:szCs w:val="21"/>
                <w:highlight w:val="none"/>
                <w:lang w:val="en-US" w:eastAsia="zh-CN"/>
              </w:rPr>
              <w:t>是</w:t>
            </w:r>
          </w:p>
        </w:tc>
        <w:tc>
          <w:tcPr>
            <w:tcW w:w="1515" w:type="dxa"/>
            <w:noWrap w:val="0"/>
            <w:vAlign w:val="center"/>
          </w:tcPr>
          <w:p>
            <w:pPr>
              <w:widowControl/>
              <w:jc w:val="center"/>
              <w:rPr>
                <w:rFonts w:hint="eastAsia" w:asciiTheme="minorEastAsia" w:hAnsiTheme="minorEastAsia" w:eastAsiaTheme="minorEastAsia" w:cstheme="minorEastAsia"/>
                <w:b w:val="0"/>
                <w:bCs/>
                <w:sz w:val="21"/>
                <w:szCs w:val="21"/>
                <w:lang w:val="en-US" w:eastAsia="zh-CN"/>
              </w:rPr>
            </w:pPr>
            <w:r>
              <w:rPr>
                <w:rFonts w:hint="eastAsia" w:asciiTheme="minorEastAsia" w:hAnsiTheme="minorEastAsia" w:eastAsiaTheme="minorEastAsia" w:cstheme="minorEastAsia"/>
                <w:b w:val="0"/>
                <w:bCs/>
                <w:sz w:val="21"/>
                <w:szCs w:val="21"/>
                <w:lang w:val="en-US" w:eastAsia="zh-CN"/>
              </w:rPr>
              <w:t>942000</w:t>
            </w:r>
          </w:p>
        </w:tc>
      </w:tr>
    </w:tbl>
    <w:p>
      <w:pPr>
        <w:keepNext w:val="0"/>
        <w:keepLines w:val="0"/>
        <w:pageBreakBefore w:val="0"/>
        <w:numPr>
          <w:ilvl w:val="0"/>
          <w:numId w:val="0"/>
        </w:numPr>
        <w:kinsoku/>
        <w:wordWrap/>
        <w:overflowPunct/>
        <w:topLinePunct w:val="0"/>
        <w:autoSpaceDE/>
        <w:autoSpaceDN/>
        <w:bidi w:val="0"/>
        <w:adjustRightInd/>
        <w:spacing w:line="340" w:lineRule="exact"/>
        <w:jc w:val="left"/>
        <w:textAlignment w:val="auto"/>
        <w:rPr>
          <w:rFonts w:hint="eastAsia" w:ascii="宋体" w:hAnsi="宋体" w:cs="宋体"/>
          <w:color w:val="auto"/>
          <w:szCs w:val="21"/>
          <w:highlight w:val="none"/>
        </w:rPr>
      </w:pPr>
    </w:p>
    <w:p>
      <w:pPr>
        <w:keepNext w:val="0"/>
        <w:keepLines w:val="0"/>
        <w:pageBreakBefore w:val="0"/>
        <w:numPr>
          <w:ilvl w:val="0"/>
          <w:numId w:val="1"/>
        </w:numPr>
        <w:kinsoku/>
        <w:wordWrap/>
        <w:overflowPunct/>
        <w:topLinePunct w:val="0"/>
        <w:autoSpaceDE/>
        <w:autoSpaceDN/>
        <w:bidi w:val="0"/>
        <w:adjustRightInd/>
        <w:spacing w:line="360" w:lineRule="exact"/>
        <w:ind w:firstLine="440" w:firstLineChars="200"/>
        <w:textAlignment w:val="auto"/>
        <w:rPr>
          <w:rFonts w:hint="eastAsia" w:ascii="宋体" w:hAnsi="宋体" w:cs="宋体"/>
          <w:color w:val="auto"/>
          <w:sz w:val="22"/>
          <w:szCs w:val="22"/>
        </w:rPr>
      </w:pPr>
      <w:r>
        <w:rPr>
          <w:rFonts w:hint="eastAsia" w:ascii="宋体" w:hAnsi="宋体" w:cs="宋体"/>
          <w:color w:val="auto"/>
          <w:sz w:val="22"/>
          <w:szCs w:val="22"/>
        </w:rPr>
        <w:t>采购需求：</w:t>
      </w:r>
      <w:r>
        <w:rPr>
          <w:rFonts w:hint="eastAsia" w:ascii="宋体" w:hAnsi="宋体" w:cs="宋体"/>
          <w:szCs w:val="21"/>
          <w:lang w:eastAsia="zh-CN"/>
        </w:rPr>
        <w:t>（包括但不限于标的的名称、数量、简要技术需求或服务要求等）</w:t>
      </w:r>
    </w:p>
    <w:p>
      <w:pPr>
        <w:keepNext w:val="0"/>
        <w:keepLines w:val="0"/>
        <w:pageBreakBefore w:val="0"/>
        <w:kinsoku/>
        <w:wordWrap/>
        <w:overflowPunct/>
        <w:topLinePunct w:val="0"/>
        <w:autoSpaceDE/>
        <w:autoSpaceDN/>
        <w:bidi w:val="0"/>
        <w:adjustRightInd/>
        <w:spacing w:line="360" w:lineRule="exact"/>
        <w:ind w:firstLine="440" w:firstLineChars="200"/>
        <w:textAlignment w:val="auto"/>
        <w:outlineLvl w:val="9"/>
        <w:rPr>
          <w:rFonts w:hint="eastAsia" w:ascii="宋体" w:hAnsi="宋体" w:cs="宋体"/>
          <w:color w:val="auto"/>
          <w:sz w:val="22"/>
          <w:szCs w:val="22"/>
        </w:rPr>
      </w:pPr>
      <w:r>
        <w:rPr>
          <w:rFonts w:hint="eastAsia" w:ascii="宋体" w:hAnsi="宋体" w:cs="宋体"/>
          <w:color w:val="auto"/>
          <w:sz w:val="22"/>
          <w:szCs w:val="22"/>
          <w:lang w:val="en-US" w:eastAsia="zh-CN"/>
        </w:rPr>
        <w:t>5.1采购内容：</w:t>
      </w:r>
      <w:r>
        <w:rPr>
          <w:rFonts w:hint="eastAsia" w:ascii="宋体" w:hAnsi="宋体" w:cs="宋体"/>
          <w:szCs w:val="21"/>
          <w:lang w:val="en-US" w:eastAsia="zh-CN"/>
        </w:rPr>
        <w:t>2吨铲车1辆、100吨地磅1台、200吨烘干塔1座及相应配套设施等。</w:t>
      </w:r>
      <w:r>
        <w:rPr>
          <w:rFonts w:hint="eastAsia" w:ascii="宋体" w:hAnsi="宋体" w:cs="宋体"/>
          <w:color w:val="auto"/>
          <w:sz w:val="22"/>
          <w:szCs w:val="22"/>
        </w:rPr>
        <w:t xml:space="preserve">  </w:t>
      </w:r>
    </w:p>
    <w:p>
      <w:pPr>
        <w:keepNext w:val="0"/>
        <w:keepLines w:val="0"/>
        <w:pageBreakBefore w:val="0"/>
        <w:numPr>
          <w:ilvl w:val="0"/>
          <w:numId w:val="0"/>
        </w:numPr>
        <w:kinsoku/>
        <w:wordWrap/>
        <w:overflowPunct/>
        <w:topLinePunct w:val="0"/>
        <w:autoSpaceDE/>
        <w:autoSpaceDN/>
        <w:bidi w:val="0"/>
        <w:adjustRightInd/>
        <w:spacing w:line="360" w:lineRule="exact"/>
        <w:ind w:firstLine="440" w:firstLineChars="200"/>
        <w:jc w:val="left"/>
        <w:textAlignment w:val="auto"/>
        <w:rPr>
          <w:rFonts w:hint="eastAsia" w:ascii="宋体" w:hAnsi="宋体" w:cs="宋体"/>
          <w:color w:val="auto"/>
          <w:szCs w:val="21"/>
          <w:highlight w:val="none"/>
          <w:lang w:val="en-US" w:eastAsia="zh-CN"/>
        </w:rPr>
      </w:pPr>
      <w:r>
        <w:rPr>
          <w:rFonts w:hint="eastAsia" w:ascii="宋体" w:hAnsi="宋体" w:cs="宋体"/>
          <w:color w:val="auto"/>
          <w:sz w:val="22"/>
          <w:szCs w:val="22"/>
        </w:rPr>
        <w:t>5</w:t>
      </w:r>
      <w:r>
        <w:rPr>
          <w:rFonts w:hint="eastAsia" w:ascii="宋体" w:hAnsi="宋体" w:cs="宋体"/>
          <w:color w:val="auto"/>
          <w:sz w:val="22"/>
          <w:szCs w:val="22"/>
          <w:lang w:val="en-US" w:eastAsia="zh-CN"/>
        </w:rPr>
        <w:t xml:space="preserve">.2 </w:t>
      </w:r>
      <w:r>
        <w:rPr>
          <w:rFonts w:hint="eastAsia" w:ascii="宋体" w:hAnsi="宋体" w:cs="宋体"/>
          <w:color w:val="auto"/>
          <w:sz w:val="22"/>
          <w:szCs w:val="22"/>
        </w:rPr>
        <w:t xml:space="preserve">质量要求：合格 </w:t>
      </w:r>
    </w:p>
    <w:p>
      <w:pPr>
        <w:keepNext w:val="0"/>
        <w:keepLines w:val="0"/>
        <w:pageBreakBefore w:val="0"/>
        <w:kinsoku/>
        <w:wordWrap/>
        <w:overflowPunct/>
        <w:topLinePunct w:val="0"/>
        <w:autoSpaceDE/>
        <w:autoSpaceDN/>
        <w:bidi w:val="0"/>
        <w:adjustRightInd/>
        <w:spacing w:line="360" w:lineRule="exact"/>
        <w:ind w:firstLine="440" w:firstLineChars="200"/>
        <w:textAlignment w:val="auto"/>
        <w:rPr>
          <w:rFonts w:hint="eastAsia" w:ascii="宋体" w:hAnsi="宋体" w:cs="宋体"/>
          <w:color w:val="auto"/>
          <w:sz w:val="22"/>
          <w:szCs w:val="22"/>
        </w:rPr>
      </w:pPr>
      <w:r>
        <w:rPr>
          <w:rFonts w:hint="eastAsia" w:ascii="宋体" w:hAnsi="宋体" w:cs="宋体"/>
          <w:color w:val="auto"/>
          <w:sz w:val="22"/>
          <w:szCs w:val="22"/>
        </w:rPr>
        <w:t>6、合同履行期限：</w:t>
      </w:r>
      <w:r>
        <w:rPr>
          <w:rFonts w:hint="eastAsia" w:ascii="宋体" w:hAnsi="宋体" w:cs="宋体"/>
          <w:color w:val="auto"/>
          <w:sz w:val="22"/>
          <w:szCs w:val="22"/>
          <w:lang w:val="en-US" w:eastAsia="zh-CN"/>
        </w:rPr>
        <w:t>60</w:t>
      </w:r>
      <w:r>
        <w:rPr>
          <w:rFonts w:hint="eastAsia" w:ascii="宋体" w:hAnsi="宋体" w:cs="宋体"/>
          <w:color w:val="auto"/>
          <w:sz w:val="22"/>
          <w:szCs w:val="22"/>
        </w:rPr>
        <w:t>日历天</w:t>
      </w:r>
    </w:p>
    <w:p>
      <w:pPr>
        <w:keepNext w:val="0"/>
        <w:keepLines w:val="0"/>
        <w:pageBreakBefore w:val="0"/>
        <w:kinsoku/>
        <w:wordWrap/>
        <w:overflowPunct/>
        <w:topLinePunct w:val="0"/>
        <w:autoSpaceDE/>
        <w:autoSpaceDN/>
        <w:bidi w:val="0"/>
        <w:adjustRightInd/>
        <w:spacing w:line="360" w:lineRule="exact"/>
        <w:ind w:firstLine="440" w:firstLineChars="200"/>
        <w:textAlignment w:val="auto"/>
        <w:rPr>
          <w:rFonts w:hint="eastAsia" w:ascii="宋体" w:hAnsi="宋体" w:cs="宋体"/>
          <w:color w:val="auto"/>
          <w:sz w:val="22"/>
          <w:szCs w:val="22"/>
        </w:rPr>
      </w:pPr>
      <w:r>
        <w:rPr>
          <w:rFonts w:hint="eastAsia" w:ascii="宋体" w:hAnsi="宋体" w:cs="宋体"/>
          <w:color w:val="auto"/>
          <w:sz w:val="22"/>
          <w:szCs w:val="22"/>
        </w:rPr>
        <w:t>7、本项目是否接受联合体</w:t>
      </w:r>
      <w:r>
        <w:rPr>
          <w:rFonts w:hint="eastAsia" w:ascii="宋体" w:hAnsi="宋体" w:cs="宋体"/>
          <w:color w:val="auto"/>
          <w:sz w:val="22"/>
          <w:szCs w:val="22"/>
          <w:lang w:eastAsia="zh-CN"/>
        </w:rPr>
        <w:t>投标</w:t>
      </w:r>
      <w:r>
        <w:rPr>
          <w:rFonts w:hint="eastAsia" w:ascii="宋体" w:hAnsi="宋体" w:cs="宋体"/>
          <w:color w:val="auto"/>
          <w:sz w:val="22"/>
          <w:szCs w:val="22"/>
        </w:rPr>
        <w:t>：否</w:t>
      </w:r>
    </w:p>
    <w:p>
      <w:pPr>
        <w:keepNext w:val="0"/>
        <w:keepLines w:val="0"/>
        <w:pageBreakBefore w:val="0"/>
        <w:kinsoku/>
        <w:wordWrap/>
        <w:overflowPunct/>
        <w:topLinePunct w:val="0"/>
        <w:autoSpaceDE/>
        <w:autoSpaceDN/>
        <w:bidi w:val="0"/>
        <w:adjustRightInd/>
        <w:spacing w:line="360" w:lineRule="exact"/>
        <w:ind w:firstLine="440" w:firstLineChars="200"/>
        <w:textAlignment w:val="auto"/>
        <w:rPr>
          <w:rFonts w:hint="eastAsia" w:ascii="宋体" w:hAnsi="宋体" w:cs="宋体"/>
          <w:szCs w:val="21"/>
          <w:lang w:val="en-US" w:eastAsia="zh-CN"/>
        </w:rPr>
      </w:pPr>
      <w:r>
        <w:rPr>
          <w:rFonts w:hint="eastAsia" w:ascii="宋体" w:hAnsi="宋体" w:cs="宋体"/>
          <w:color w:val="auto"/>
          <w:sz w:val="22"/>
          <w:szCs w:val="22"/>
        </w:rPr>
        <w:t>8、</w:t>
      </w:r>
      <w:r>
        <w:rPr>
          <w:rFonts w:hint="eastAsia" w:ascii="宋体" w:hAnsi="宋体" w:cs="宋体"/>
          <w:szCs w:val="21"/>
          <w:lang w:val="en-US" w:eastAsia="zh-CN"/>
        </w:rPr>
        <w:t>是否接受进口产品：否</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hint="eastAsia" w:ascii="宋体" w:hAnsi="宋体" w:cs="宋体"/>
          <w:szCs w:val="21"/>
          <w:lang w:val="en-US" w:eastAsia="zh-CN"/>
        </w:rPr>
      </w:pPr>
      <w:r>
        <w:rPr>
          <w:rFonts w:hint="eastAsia" w:ascii="宋体" w:hAnsi="宋体" w:cs="宋体"/>
          <w:szCs w:val="21"/>
          <w:lang w:val="en-US" w:eastAsia="zh-CN"/>
        </w:rPr>
        <w:t>9、是否专门面向中小企业：是</w:t>
      </w:r>
    </w:p>
    <w:p>
      <w:pPr>
        <w:keepNext w:val="0"/>
        <w:keepLines w:val="0"/>
        <w:pageBreakBefore w:val="0"/>
        <w:kinsoku/>
        <w:wordWrap/>
        <w:overflowPunct/>
        <w:topLinePunct w:val="0"/>
        <w:autoSpaceDE/>
        <w:autoSpaceDN/>
        <w:bidi w:val="0"/>
        <w:adjustRightInd/>
        <w:spacing w:line="36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二、申请人的资格要求：</w:t>
      </w:r>
    </w:p>
    <w:p>
      <w:pPr>
        <w:keepNext w:val="0"/>
        <w:keepLines w:val="0"/>
        <w:pageBreakBefore w:val="0"/>
        <w:kinsoku/>
        <w:wordWrap/>
        <w:overflowPunct/>
        <w:topLinePunct w:val="0"/>
        <w:autoSpaceDE/>
        <w:autoSpaceDN/>
        <w:bidi w:val="0"/>
        <w:adjustRightInd/>
        <w:spacing w:before="174" w:line="360" w:lineRule="exact"/>
        <w:ind w:left="461"/>
        <w:textAlignment w:val="auto"/>
        <w:rPr>
          <w:rFonts w:hint="eastAsia" w:ascii="宋体" w:hAnsi="宋体" w:cs="宋体"/>
          <w:color w:val="auto"/>
          <w:sz w:val="22"/>
          <w:szCs w:val="22"/>
        </w:rPr>
      </w:pPr>
      <w:r>
        <w:rPr>
          <w:rFonts w:hint="eastAsia" w:ascii="宋体" w:hAnsi="宋体" w:cs="宋体"/>
          <w:color w:val="auto"/>
          <w:sz w:val="22"/>
          <w:szCs w:val="22"/>
        </w:rPr>
        <w:t>1、满足《中华人民共和国政府采购法》第二十二条规定；</w:t>
      </w:r>
    </w:p>
    <w:p>
      <w:pPr>
        <w:keepNext w:val="0"/>
        <w:keepLines w:val="0"/>
        <w:pageBreakBefore w:val="0"/>
        <w:kinsoku/>
        <w:wordWrap/>
        <w:overflowPunct/>
        <w:topLinePunct w:val="0"/>
        <w:autoSpaceDE/>
        <w:autoSpaceDN/>
        <w:bidi w:val="0"/>
        <w:adjustRightInd/>
        <w:spacing w:line="360" w:lineRule="exact"/>
        <w:ind w:firstLine="440" w:firstLineChars="200"/>
        <w:textAlignment w:val="auto"/>
        <w:rPr>
          <w:rFonts w:hint="eastAsia" w:ascii="宋体" w:hAnsi="宋体" w:cs="宋体"/>
          <w:color w:val="auto"/>
          <w:sz w:val="22"/>
          <w:szCs w:val="22"/>
        </w:rPr>
      </w:pPr>
      <w:r>
        <w:rPr>
          <w:rFonts w:hint="eastAsia" w:ascii="宋体" w:hAnsi="宋体" w:cs="宋体"/>
          <w:color w:val="auto"/>
          <w:sz w:val="22"/>
          <w:szCs w:val="22"/>
        </w:rPr>
        <w:t>2、</w:t>
      </w:r>
      <w:r>
        <w:rPr>
          <w:rFonts w:hint="eastAsia" w:ascii="宋体" w:hAnsi="宋体" w:cs="宋体"/>
          <w:szCs w:val="21"/>
        </w:rPr>
        <w:t>落实政府采购政策需满足的资格要求</w:t>
      </w:r>
      <w:r>
        <w:rPr>
          <w:rFonts w:hint="eastAsia" w:ascii="宋体" w:hAnsi="宋体" w:cs="宋体"/>
          <w:color w:val="auto"/>
          <w:sz w:val="22"/>
          <w:szCs w:val="22"/>
        </w:rPr>
        <w:t>：本项目属于专门面向中小企业采购的项目，供应</w:t>
      </w:r>
    </w:p>
    <w:p>
      <w:pPr>
        <w:keepNext w:val="0"/>
        <w:keepLines w:val="0"/>
        <w:pageBreakBefore w:val="0"/>
        <w:kinsoku/>
        <w:wordWrap/>
        <w:overflowPunct/>
        <w:topLinePunct w:val="0"/>
        <w:autoSpaceDE/>
        <w:autoSpaceDN/>
        <w:bidi w:val="0"/>
        <w:adjustRightInd/>
        <w:spacing w:line="360" w:lineRule="exact"/>
        <w:ind w:firstLine="440" w:firstLineChars="200"/>
        <w:textAlignment w:val="auto"/>
        <w:rPr>
          <w:rFonts w:hint="eastAsia" w:ascii="宋体" w:hAnsi="宋体" w:cs="宋体"/>
          <w:color w:val="auto"/>
          <w:sz w:val="22"/>
          <w:szCs w:val="22"/>
        </w:rPr>
      </w:pPr>
      <w:r>
        <w:rPr>
          <w:rFonts w:hint="eastAsia" w:ascii="宋体" w:hAnsi="宋体" w:cs="宋体"/>
          <w:color w:val="auto"/>
          <w:sz w:val="22"/>
          <w:szCs w:val="22"/>
        </w:rPr>
        <w:t>商应为中小微企业、监狱企业、残疾人福利性单位。</w:t>
      </w:r>
    </w:p>
    <w:p>
      <w:pPr>
        <w:keepNext w:val="0"/>
        <w:keepLines w:val="0"/>
        <w:pageBreakBefore w:val="0"/>
        <w:numPr>
          <w:ilvl w:val="0"/>
          <w:numId w:val="0"/>
        </w:numPr>
        <w:kinsoku/>
        <w:wordWrap/>
        <w:overflowPunct/>
        <w:topLinePunct w:val="0"/>
        <w:autoSpaceDE/>
        <w:autoSpaceDN/>
        <w:bidi w:val="0"/>
        <w:adjustRightInd/>
        <w:spacing w:line="360" w:lineRule="exact"/>
        <w:ind w:firstLine="420" w:firstLineChars="200"/>
        <w:textAlignment w:val="auto"/>
        <w:rPr>
          <w:rFonts w:hint="eastAsia" w:ascii="宋体" w:hAnsi="宋体" w:cs="宋体"/>
          <w:color w:val="auto"/>
          <w:sz w:val="22"/>
          <w:szCs w:val="22"/>
        </w:rPr>
      </w:pPr>
      <w:r>
        <w:rPr>
          <w:rFonts w:hint="eastAsia" w:ascii="宋体" w:hAnsi="宋体" w:cs="宋体"/>
          <w:color w:val="auto"/>
          <w:szCs w:val="21"/>
          <w:highlight w:val="none"/>
        </w:rPr>
        <w:t>3.本项目资格要求：</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hint="eastAsia" w:ascii="宋体" w:hAnsi="宋体" w:cs="宋体"/>
          <w:color w:val="auto"/>
          <w:szCs w:val="21"/>
          <w:highlight w:val="none"/>
          <w:lang w:eastAsia="zh-CN"/>
        </w:rPr>
      </w:pPr>
      <w:r>
        <w:rPr>
          <w:rFonts w:hint="eastAsia" w:ascii="宋体" w:hAnsi="宋体" w:cs="宋体"/>
          <w:color w:val="auto"/>
          <w:szCs w:val="21"/>
          <w:highlight w:val="none"/>
        </w:rPr>
        <w:t>3.1</w:t>
      </w:r>
      <w:r>
        <w:rPr>
          <w:rFonts w:hint="eastAsia" w:ascii="宋体" w:hAnsi="宋体" w:cs="宋体"/>
          <w:color w:val="auto"/>
          <w:szCs w:val="21"/>
          <w:highlight w:val="none"/>
          <w:lang w:eastAsia="zh-CN"/>
        </w:rPr>
        <w:t>供应商应具有有效的营业执照等；并在人员、设备、资金等方面具有相应的能力；</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信誉要求：根据《关于在政府采购活动中查询及使用信用记录有关问题的通知》(财库[2016]125号)的规定，</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通过“信用中国”网（www.creditchina.gov.cn）、中国政府采购网（www.ccgp.gov.cn）等渠道在资格审查环节查询投标人信用记录，被列入失信被执行人、</w:t>
      </w:r>
      <w:r>
        <w:rPr>
          <w:rFonts w:hint="eastAsia" w:ascii="宋体" w:hAnsi="宋体" w:cs="宋体"/>
          <w:color w:val="auto"/>
          <w:szCs w:val="21"/>
          <w:highlight w:val="none"/>
          <w:lang w:eastAsia="zh-CN"/>
        </w:rPr>
        <w:t>重大税收违法失信主体</w:t>
      </w:r>
      <w:r>
        <w:rPr>
          <w:rFonts w:hint="eastAsia" w:ascii="宋体" w:hAnsi="宋体" w:cs="宋体"/>
          <w:color w:val="auto"/>
          <w:szCs w:val="21"/>
          <w:highlight w:val="none"/>
        </w:rPr>
        <w:t>、政府采购严重违法失信行为记录名单的单位将被拒绝参与本项目政府采购活动；信用信息查询记录和证据将同采购文件等资料一同归档保存。（</w:t>
      </w:r>
      <w:r>
        <w:rPr>
          <w:rFonts w:hint="eastAsia" w:ascii="宋体" w:hAnsi="宋体" w:cs="宋体"/>
          <w:szCs w:val="21"/>
          <w:lang w:eastAsia="zh-CN"/>
        </w:rPr>
        <w:t>供应商</w:t>
      </w:r>
      <w:r>
        <w:rPr>
          <w:rFonts w:hint="eastAsia" w:ascii="宋体" w:hAnsi="宋体" w:cs="宋体"/>
          <w:szCs w:val="21"/>
        </w:rPr>
        <w:t>需提供网站查询截图，加盖企业公章</w:t>
      </w:r>
      <w:r>
        <w:rPr>
          <w:rFonts w:hint="eastAsia" w:ascii="宋体" w:hAnsi="宋体" w:cs="宋体"/>
          <w:szCs w:val="21"/>
          <w:lang w:eastAsia="zh-CN"/>
        </w:rPr>
        <w:t>，</w:t>
      </w:r>
      <w:r>
        <w:rPr>
          <w:rFonts w:hint="eastAsia" w:ascii="宋体" w:hAnsi="宋体" w:cs="宋体"/>
          <w:color w:val="auto"/>
          <w:szCs w:val="21"/>
          <w:highlight w:val="none"/>
        </w:rPr>
        <w:t>网站查询时间为磋商公告发布之后）；</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hint="eastAsia" w:ascii="宋体" w:hAnsi="宋体" w:cs="宋体"/>
          <w:color w:val="auto"/>
          <w:szCs w:val="21"/>
          <w:highlight w:val="none"/>
          <w:lang w:eastAsia="zh-CN"/>
        </w:rPr>
      </w:pPr>
      <w:r>
        <w:rPr>
          <w:rFonts w:hint="eastAsia" w:ascii="宋体" w:hAnsi="宋体" w:cs="宋体"/>
          <w:color w:val="auto"/>
          <w:szCs w:val="21"/>
          <w:highlight w:val="none"/>
          <w:lang w:eastAsia="zh-CN"/>
        </w:rPr>
        <w:t>3.</w:t>
      </w:r>
      <w:r>
        <w:rPr>
          <w:rFonts w:hint="eastAsia" w:ascii="宋体" w:hAnsi="宋体" w:cs="宋体"/>
          <w:color w:val="auto"/>
          <w:szCs w:val="21"/>
          <w:highlight w:val="none"/>
          <w:lang w:val="en-US" w:eastAsia="zh-CN"/>
        </w:rPr>
        <w:t>3</w:t>
      </w:r>
      <w:r>
        <w:rPr>
          <w:rFonts w:hint="eastAsia" w:ascii="宋体" w:hAnsi="宋体" w:cs="宋体"/>
          <w:szCs w:val="21"/>
          <w:lang w:eastAsia="zh-CN"/>
        </w:rPr>
        <w:t>供应商</w:t>
      </w:r>
      <w:r>
        <w:rPr>
          <w:rFonts w:hint="eastAsia" w:ascii="宋体" w:hAnsi="宋体" w:cs="宋体"/>
          <w:szCs w:val="21"/>
        </w:rPr>
        <w:t>必须提供无行贿犯罪记录承诺书(并出具由“中国裁判文书网”网站查询近三年来法人、法定代表人（负责人）、法定代表人（负责人）委托人无行贿犯罪记录网页截图加盖企业公章证明)；若有行贿犯罪记录则取消其投标资格</w:t>
      </w:r>
      <w:r>
        <w:rPr>
          <w:rFonts w:hint="eastAsia" w:ascii="宋体" w:hAnsi="宋体" w:cs="宋体"/>
          <w:color w:val="auto"/>
          <w:szCs w:val="21"/>
          <w:highlight w:val="none"/>
          <w:lang w:eastAsia="zh-CN"/>
        </w:rPr>
        <w:t>；</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hint="eastAsia" w:ascii="宋体" w:hAnsi="宋体" w:cs="宋体"/>
          <w:color w:val="auto"/>
          <w:szCs w:val="21"/>
          <w:highlight w:val="none"/>
          <w:lang w:eastAsia="zh-CN"/>
        </w:rPr>
      </w:pPr>
      <w:r>
        <w:rPr>
          <w:rFonts w:hint="eastAsia" w:ascii="宋体" w:hAnsi="宋体" w:cs="宋体"/>
          <w:color w:val="auto"/>
          <w:szCs w:val="21"/>
          <w:highlight w:val="none"/>
          <w:lang w:eastAsia="zh-CN"/>
        </w:rPr>
        <w:t>3.</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供应商必须提供投标承诺函。</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3.5投标单位必须提供中小企业声明函。</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3.6 本项目不接受联合体投标。</w:t>
      </w:r>
    </w:p>
    <w:p>
      <w:pPr>
        <w:keepNext w:val="0"/>
        <w:keepLines w:val="0"/>
        <w:pageBreakBefore w:val="0"/>
        <w:kinsoku/>
        <w:wordWrap/>
        <w:overflowPunct/>
        <w:topLinePunct w:val="0"/>
        <w:autoSpaceDE/>
        <w:autoSpaceDN/>
        <w:bidi w:val="0"/>
        <w:adjustRightInd/>
        <w:spacing w:line="36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三、获取磋商文件:</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1.时间：</w:t>
      </w:r>
      <w:r>
        <w:rPr>
          <w:rFonts w:hint="eastAsia" w:ascii="宋体" w:hAnsi="宋体" w:cs="宋体"/>
          <w:b w:val="0"/>
          <w:bCs/>
          <w:color w:val="auto"/>
          <w:szCs w:val="21"/>
          <w:highlight w:val="none"/>
          <w:lang w:val="en-US" w:eastAsia="zh-CN"/>
        </w:rPr>
        <w:t>2023</w:t>
      </w:r>
      <w:r>
        <w:rPr>
          <w:rFonts w:hint="eastAsia" w:ascii="宋体" w:hAnsi="宋体" w:cs="宋体"/>
          <w:b w:val="0"/>
          <w:bCs/>
          <w:color w:val="auto"/>
          <w:szCs w:val="21"/>
          <w:highlight w:val="none"/>
        </w:rPr>
        <w:t>年</w:t>
      </w:r>
      <w:r>
        <w:rPr>
          <w:rFonts w:hint="eastAsia" w:ascii="宋体" w:hAnsi="宋体" w:cs="宋体"/>
          <w:b w:val="0"/>
          <w:bCs/>
          <w:color w:val="auto"/>
          <w:szCs w:val="21"/>
          <w:highlight w:val="none"/>
          <w:lang w:val="en-US" w:eastAsia="zh-CN"/>
        </w:rPr>
        <w:t>8</w:t>
      </w:r>
      <w:r>
        <w:rPr>
          <w:rFonts w:hint="eastAsia" w:ascii="宋体" w:hAnsi="宋体" w:cs="宋体"/>
          <w:b w:val="0"/>
          <w:bCs/>
          <w:color w:val="auto"/>
          <w:szCs w:val="21"/>
          <w:highlight w:val="none"/>
        </w:rPr>
        <w:t>月</w:t>
      </w:r>
      <w:r>
        <w:rPr>
          <w:rFonts w:hint="eastAsia" w:ascii="宋体" w:hAnsi="宋体" w:cs="宋体"/>
          <w:b w:val="0"/>
          <w:bCs/>
          <w:color w:val="auto"/>
          <w:szCs w:val="21"/>
          <w:highlight w:val="none"/>
          <w:lang w:val="en-US" w:eastAsia="zh-CN"/>
        </w:rPr>
        <w:t xml:space="preserve">15 </w:t>
      </w:r>
      <w:r>
        <w:rPr>
          <w:rFonts w:hint="eastAsia" w:ascii="宋体" w:hAnsi="宋体" w:cs="宋体"/>
          <w:b w:val="0"/>
          <w:bCs/>
          <w:color w:val="auto"/>
          <w:szCs w:val="21"/>
          <w:highlight w:val="none"/>
        </w:rPr>
        <w:t>日至</w:t>
      </w:r>
      <w:r>
        <w:rPr>
          <w:rFonts w:hint="eastAsia" w:ascii="宋体" w:hAnsi="宋体" w:cs="宋体"/>
          <w:b w:val="0"/>
          <w:bCs/>
          <w:color w:val="auto"/>
          <w:szCs w:val="21"/>
          <w:highlight w:val="none"/>
          <w:lang w:val="en-US" w:eastAsia="zh-CN"/>
        </w:rPr>
        <w:t>2023</w:t>
      </w:r>
      <w:r>
        <w:rPr>
          <w:rFonts w:hint="eastAsia" w:ascii="宋体" w:hAnsi="宋体" w:cs="宋体"/>
          <w:b w:val="0"/>
          <w:bCs/>
          <w:color w:val="auto"/>
          <w:szCs w:val="21"/>
          <w:highlight w:val="none"/>
        </w:rPr>
        <w:t>年</w:t>
      </w:r>
      <w:r>
        <w:rPr>
          <w:rFonts w:hint="eastAsia" w:ascii="宋体" w:hAnsi="宋体" w:cs="宋体"/>
          <w:b w:val="0"/>
          <w:bCs/>
          <w:color w:val="auto"/>
          <w:szCs w:val="21"/>
          <w:highlight w:val="none"/>
          <w:lang w:val="en-US" w:eastAsia="zh-CN"/>
        </w:rPr>
        <w:t xml:space="preserve">8 </w:t>
      </w:r>
      <w:r>
        <w:rPr>
          <w:rFonts w:hint="eastAsia" w:ascii="宋体" w:hAnsi="宋体" w:cs="宋体"/>
          <w:b w:val="0"/>
          <w:bCs/>
          <w:color w:val="auto"/>
          <w:szCs w:val="21"/>
          <w:highlight w:val="none"/>
        </w:rPr>
        <w:t>月</w:t>
      </w:r>
      <w:r>
        <w:rPr>
          <w:rFonts w:hint="eastAsia" w:ascii="宋体" w:hAnsi="宋体" w:cs="宋体"/>
          <w:b w:val="0"/>
          <w:bCs/>
          <w:color w:val="auto"/>
          <w:szCs w:val="21"/>
          <w:highlight w:val="none"/>
          <w:lang w:val="en-US" w:eastAsia="zh-CN"/>
        </w:rPr>
        <w:t xml:space="preserve"> 21</w:t>
      </w:r>
      <w:r>
        <w:rPr>
          <w:rFonts w:hint="eastAsia" w:ascii="宋体" w:hAnsi="宋体" w:cs="宋体"/>
          <w:b w:val="0"/>
          <w:bCs/>
          <w:color w:val="auto"/>
          <w:szCs w:val="21"/>
          <w:highlight w:val="none"/>
        </w:rPr>
        <w:t>日，每天上午08：00至12：00，下午12：00至23：00（北京时间，法定节假日除外）</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2.地点：焦作市公共资源交易中心网站</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3.方式：本项目采用电子开评标（不见面开标），凡有意参加投标者，请登陆焦作市公共资源交易中心网站交易平台“交易主体登录”栏目下载磋商文件。</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4.售价：0元。</w:t>
      </w:r>
    </w:p>
    <w:p>
      <w:pPr>
        <w:keepNext w:val="0"/>
        <w:keepLines w:val="0"/>
        <w:pageBreakBefore w:val="0"/>
        <w:kinsoku/>
        <w:wordWrap/>
        <w:overflowPunct/>
        <w:topLinePunct w:val="0"/>
        <w:autoSpaceDE/>
        <w:autoSpaceDN/>
        <w:bidi w:val="0"/>
        <w:adjustRightInd/>
        <w:spacing w:line="36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rPr>
        <w:t>四、提交磋商响应文件截止时间、开标时间和地点:</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 xml:space="preserve"> 2023 </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 xml:space="preserve"> 8 </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 xml:space="preserve"> 25</w:t>
      </w:r>
      <w:r>
        <w:rPr>
          <w:rFonts w:hint="eastAsia" w:ascii="宋体" w:hAnsi="宋体" w:cs="宋体"/>
          <w:color w:val="auto"/>
          <w:szCs w:val="21"/>
          <w:highlight w:val="none"/>
          <w:u w:val="single"/>
        </w:rPr>
        <w:t>日</w:t>
      </w:r>
      <w:r>
        <w:rPr>
          <w:rFonts w:hint="eastAsia" w:ascii="宋体" w:hAnsi="宋体" w:cs="宋体"/>
          <w:color w:val="auto"/>
          <w:szCs w:val="21"/>
          <w:highlight w:val="none"/>
          <w:u w:val="single"/>
          <w:lang w:val="en-US" w:eastAsia="zh-CN"/>
        </w:rPr>
        <w:t xml:space="preserve"> 9</w:t>
      </w:r>
      <w:r>
        <w:rPr>
          <w:rFonts w:hint="eastAsia" w:ascii="宋体" w:hAnsi="宋体" w:cs="宋体"/>
          <w:color w:val="auto"/>
          <w:szCs w:val="21"/>
          <w:highlight w:val="none"/>
          <w:u w:val="single"/>
        </w:rPr>
        <w:t>点</w:t>
      </w:r>
      <w:r>
        <w:rPr>
          <w:rFonts w:hint="eastAsia" w:ascii="宋体" w:hAnsi="宋体" w:cs="宋体"/>
          <w:color w:val="auto"/>
          <w:szCs w:val="21"/>
          <w:highlight w:val="none"/>
          <w:u w:val="single"/>
          <w:lang w:val="en-US" w:eastAsia="zh-CN"/>
        </w:rPr>
        <w:t>00</w:t>
      </w:r>
      <w:r>
        <w:rPr>
          <w:rFonts w:hint="eastAsia" w:ascii="宋体" w:hAnsi="宋体" w:cs="宋体"/>
          <w:color w:val="auto"/>
          <w:szCs w:val="21"/>
          <w:highlight w:val="none"/>
          <w:u w:val="single"/>
        </w:rPr>
        <w:t xml:space="preserve"> 分</w:t>
      </w:r>
      <w:r>
        <w:rPr>
          <w:rFonts w:hint="eastAsia" w:ascii="宋体" w:hAnsi="宋体" w:cs="宋体"/>
          <w:color w:val="auto"/>
          <w:szCs w:val="21"/>
          <w:highlight w:val="none"/>
        </w:rPr>
        <w:t>（北京时间）；</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地点：温县公共资源交易中心开标室（具体详见开标当日公示牌）。</w:t>
      </w:r>
    </w:p>
    <w:p>
      <w:pPr>
        <w:pStyle w:val="37"/>
        <w:keepNext w:val="0"/>
        <w:keepLines w:val="0"/>
        <w:pageBreakBefore w:val="0"/>
        <w:kinsoku/>
        <w:wordWrap/>
        <w:overflowPunct/>
        <w:topLinePunct w:val="0"/>
        <w:autoSpaceDE/>
        <w:autoSpaceDN/>
        <w:bidi w:val="0"/>
        <w:adjustRightInd/>
        <w:snapToGrid w:val="0"/>
        <w:spacing w:line="360" w:lineRule="exact"/>
        <w:ind w:firstLine="442" w:firstLineChars="200"/>
        <w:textAlignment w:val="auto"/>
        <w:rPr>
          <w:rFonts w:hint="eastAsia" w:ascii="宋体" w:hAnsi="宋体"/>
          <w:b/>
          <w:bCs/>
          <w:color w:val="auto"/>
          <w:kern w:val="2"/>
          <w:sz w:val="22"/>
          <w:szCs w:val="22"/>
        </w:rPr>
      </w:pPr>
      <w:r>
        <w:rPr>
          <w:rFonts w:hint="eastAsia" w:ascii="宋体" w:hAnsi="宋体"/>
          <w:b/>
          <w:bCs/>
          <w:color w:val="auto"/>
          <w:kern w:val="2"/>
          <w:sz w:val="22"/>
          <w:szCs w:val="22"/>
        </w:rPr>
        <w:t>五、</w:t>
      </w:r>
      <w:r>
        <w:rPr>
          <w:rFonts w:hint="eastAsia" w:ascii="宋体" w:hAnsi="宋体"/>
          <w:b/>
          <w:bCs/>
          <w:color w:val="auto"/>
          <w:sz w:val="22"/>
          <w:szCs w:val="22"/>
        </w:rPr>
        <w:t>响应文件</w:t>
      </w:r>
      <w:r>
        <w:rPr>
          <w:rFonts w:hint="eastAsia" w:ascii="宋体" w:hAnsi="宋体"/>
          <w:b/>
          <w:bCs/>
          <w:color w:val="auto"/>
          <w:kern w:val="2"/>
          <w:sz w:val="22"/>
          <w:szCs w:val="22"/>
        </w:rPr>
        <w:t>开启</w:t>
      </w:r>
    </w:p>
    <w:p>
      <w:pPr>
        <w:keepNext w:val="0"/>
        <w:keepLines w:val="0"/>
        <w:pageBreakBefore w:val="0"/>
        <w:kinsoku/>
        <w:wordWrap/>
        <w:overflowPunct/>
        <w:topLinePunct w:val="0"/>
        <w:autoSpaceDE/>
        <w:autoSpaceDN/>
        <w:bidi w:val="0"/>
        <w:adjustRightInd/>
        <w:spacing w:line="360" w:lineRule="exact"/>
        <w:ind w:firstLine="440" w:firstLineChars="200"/>
        <w:textAlignment w:val="auto"/>
        <w:rPr>
          <w:rFonts w:hint="eastAsia" w:ascii="宋体" w:hAnsi="宋体" w:cs="宋体"/>
          <w:color w:val="auto"/>
          <w:sz w:val="22"/>
          <w:szCs w:val="22"/>
        </w:rPr>
      </w:pPr>
      <w:r>
        <w:rPr>
          <w:rFonts w:hint="eastAsia" w:ascii="宋体" w:hAnsi="宋体" w:cs="宋体"/>
          <w:color w:val="auto"/>
          <w:sz w:val="22"/>
          <w:szCs w:val="22"/>
        </w:rPr>
        <w:t>1.时间：</w:t>
      </w:r>
      <w:r>
        <w:rPr>
          <w:rFonts w:hint="eastAsia" w:ascii="宋体" w:hAnsi="宋体" w:cs="宋体"/>
          <w:color w:val="auto"/>
          <w:sz w:val="22"/>
          <w:szCs w:val="22"/>
          <w:lang w:val="en-US" w:eastAsia="zh-CN"/>
        </w:rPr>
        <w:t>2023</w:t>
      </w:r>
      <w:r>
        <w:rPr>
          <w:rFonts w:hint="eastAsia" w:ascii="宋体" w:hAnsi="宋体" w:cs="宋体"/>
          <w:color w:val="auto"/>
          <w:sz w:val="22"/>
          <w:szCs w:val="22"/>
        </w:rPr>
        <w:t>年</w:t>
      </w:r>
      <w:r>
        <w:rPr>
          <w:rFonts w:hint="eastAsia" w:ascii="宋体" w:hAnsi="宋体" w:cs="宋体"/>
          <w:color w:val="auto"/>
          <w:sz w:val="22"/>
          <w:szCs w:val="22"/>
          <w:lang w:val="en-US" w:eastAsia="zh-CN"/>
        </w:rPr>
        <w:t xml:space="preserve"> 8 </w:t>
      </w:r>
      <w:r>
        <w:rPr>
          <w:rFonts w:hint="eastAsia" w:ascii="宋体" w:hAnsi="宋体" w:cs="宋体"/>
          <w:color w:val="auto"/>
          <w:sz w:val="22"/>
          <w:szCs w:val="22"/>
        </w:rPr>
        <w:t>月</w:t>
      </w:r>
      <w:r>
        <w:rPr>
          <w:rFonts w:hint="eastAsia" w:ascii="宋体" w:hAnsi="宋体" w:cs="宋体"/>
          <w:color w:val="auto"/>
          <w:sz w:val="22"/>
          <w:szCs w:val="22"/>
          <w:lang w:val="en-US" w:eastAsia="zh-CN"/>
        </w:rPr>
        <w:t xml:space="preserve"> 25</w:t>
      </w:r>
      <w:r>
        <w:rPr>
          <w:rFonts w:hint="eastAsia" w:ascii="宋体" w:hAnsi="宋体" w:cs="宋体"/>
          <w:color w:val="auto"/>
          <w:sz w:val="22"/>
          <w:szCs w:val="22"/>
        </w:rPr>
        <w:t xml:space="preserve">日 </w:t>
      </w:r>
      <w:r>
        <w:rPr>
          <w:rFonts w:hint="eastAsia" w:ascii="宋体" w:hAnsi="宋体" w:cs="宋体"/>
          <w:color w:val="auto"/>
          <w:sz w:val="22"/>
          <w:szCs w:val="22"/>
          <w:lang w:val="en-US" w:eastAsia="zh-CN"/>
        </w:rPr>
        <w:t>9</w:t>
      </w:r>
      <w:r>
        <w:rPr>
          <w:rFonts w:hint="eastAsia" w:ascii="宋体" w:hAnsi="宋体" w:cs="宋体"/>
          <w:color w:val="auto"/>
          <w:sz w:val="22"/>
          <w:szCs w:val="22"/>
        </w:rPr>
        <w:t xml:space="preserve"> 时 </w:t>
      </w:r>
      <w:r>
        <w:rPr>
          <w:rFonts w:hint="eastAsia" w:ascii="宋体" w:hAnsi="宋体" w:cs="宋体"/>
          <w:color w:val="auto"/>
          <w:sz w:val="22"/>
          <w:szCs w:val="22"/>
          <w:lang w:val="en-US" w:eastAsia="zh-CN"/>
        </w:rPr>
        <w:t xml:space="preserve">00 </w:t>
      </w:r>
      <w:r>
        <w:rPr>
          <w:rFonts w:hint="eastAsia" w:ascii="宋体" w:hAnsi="宋体" w:cs="宋体"/>
          <w:color w:val="auto"/>
          <w:sz w:val="22"/>
          <w:szCs w:val="22"/>
        </w:rPr>
        <w:t>分（北京时间）</w:t>
      </w:r>
    </w:p>
    <w:p>
      <w:pPr>
        <w:keepNext w:val="0"/>
        <w:keepLines w:val="0"/>
        <w:pageBreakBefore w:val="0"/>
        <w:kinsoku/>
        <w:wordWrap/>
        <w:overflowPunct/>
        <w:topLinePunct w:val="0"/>
        <w:autoSpaceDE/>
        <w:autoSpaceDN/>
        <w:bidi w:val="0"/>
        <w:adjustRightInd/>
        <w:spacing w:line="360" w:lineRule="exact"/>
        <w:ind w:firstLine="440" w:firstLineChars="200"/>
        <w:textAlignment w:val="auto"/>
        <w:rPr>
          <w:rFonts w:ascii="宋体" w:hAnsi="宋体" w:cs="宋体"/>
          <w:b/>
          <w:color w:val="auto"/>
          <w:szCs w:val="21"/>
          <w:highlight w:val="none"/>
        </w:rPr>
      </w:pPr>
      <w:r>
        <w:rPr>
          <w:rFonts w:hint="eastAsia" w:ascii="宋体" w:hAnsi="宋体" w:cs="宋体"/>
          <w:color w:val="auto"/>
          <w:sz w:val="22"/>
          <w:szCs w:val="22"/>
        </w:rPr>
        <w:t>2.地点：</w:t>
      </w:r>
      <w:r>
        <w:rPr>
          <w:rFonts w:ascii="宋体" w:hAnsi="宋体" w:cs="宋体"/>
          <w:color w:val="auto"/>
          <w:sz w:val="22"/>
          <w:szCs w:val="22"/>
        </w:rPr>
        <w:t xml:space="preserve">温县公共资源交易中心开标室(具体详见开标当日公示牌) </w:t>
      </w:r>
    </w:p>
    <w:p>
      <w:pPr>
        <w:pStyle w:val="37"/>
        <w:keepNext w:val="0"/>
        <w:keepLines w:val="0"/>
        <w:pageBreakBefore w:val="0"/>
        <w:kinsoku/>
        <w:wordWrap/>
        <w:overflowPunct/>
        <w:topLinePunct w:val="0"/>
        <w:autoSpaceDE/>
        <w:autoSpaceDN/>
        <w:bidi w:val="0"/>
        <w:adjustRightInd/>
        <w:snapToGrid w:val="0"/>
        <w:spacing w:line="360" w:lineRule="exact"/>
        <w:ind w:firstLine="442" w:firstLineChars="200"/>
        <w:textAlignment w:val="auto"/>
        <w:rPr>
          <w:rFonts w:hint="eastAsia" w:ascii="宋体" w:hAnsi="宋体"/>
          <w:b/>
          <w:bCs/>
          <w:color w:val="auto"/>
          <w:sz w:val="22"/>
          <w:szCs w:val="22"/>
        </w:rPr>
      </w:pPr>
      <w:r>
        <w:rPr>
          <w:rFonts w:hint="eastAsia" w:ascii="宋体" w:hAnsi="宋体"/>
          <w:b/>
          <w:bCs/>
          <w:color w:val="auto"/>
          <w:sz w:val="22"/>
          <w:szCs w:val="22"/>
        </w:rPr>
        <w:t>六、发布公告的媒介及公告期限</w:t>
      </w:r>
    </w:p>
    <w:p>
      <w:pPr>
        <w:keepNext w:val="0"/>
        <w:keepLines w:val="0"/>
        <w:pageBreakBefore w:val="0"/>
        <w:kinsoku/>
        <w:wordWrap/>
        <w:overflowPunct/>
        <w:topLinePunct w:val="0"/>
        <w:autoSpaceDE/>
        <w:autoSpaceDN/>
        <w:bidi w:val="0"/>
        <w:adjustRightInd/>
        <w:spacing w:line="360" w:lineRule="exact"/>
        <w:ind w:firstLine="440" w:firstLineChars="200"/>
        <w:textAlignment w:val="auto"/>
        <w:rPr>
          <w:rFonts w:hint="eastAsia" w:cs="宋体"/>
          <w:color w:val="auto"/>
          <w:sz w:val="22"/>
          <w:szCs w:val="22"/>
        </w:rPr>
      </w:pPr>
      <w:r>
        <w:rPr>
          <w:rFonts w:hint="eastAsia" w:cs="宋体"/>
          <w:color w:val="auto"/>
          <w:sz w:val="22"/>
          <w:szCs w:val="22"/>
        </w:rPr>
        <w:t>本公告在《河南省政府采购网》、《焦作市公共资源交易中心网》、《温县公共资源交易中心网》上发布，公告期限为五个工作日。</w:t>
      </w:r>
    </w:p>
    <w:p>
      <w:pPr>
        <w:keepNext w:val="0"/>
        <w:keepLines w:val="0"/>
        <w:pageBreakBefore w:val="0"/>
        <w:kinsoku/>
        <w:wordWrap/>
        <w:overflowPunct/>
        <w:topLinePunct w:val="0"/>
        <w:autoSpaceDE/>
        <w:autoSpaceDN/>
        <w:bidi w:val="0"/>
        <w:adjustRightInd/>
        <w:spacing w:line="360" w:lineRule="exact"/>
        <w:ind w:firstLine="422" w:firstLineChars="200"/>
        <w:textAlignment w:val="auto"/>
        <w:rPr>
          <w:rFonts w:ascii="宋体" w:hAnsi="宋体" w:cs="宋体"/>
          <w:b/>
          <w:color w:val="auto"/>
          <w:szCs w:val="21"/>
          <w:highlight w:val="none"/>
        </w:rPr>
      </w:pPr>
      <w:r>
        <w:rPr>
          <w:rFonts w:hint="eastAsia" w:ascii="宋体" w:hAnsi="宋体" w:cs="宋体"/>
          <w:b/>
          <w:color w:val="auto"/>
          <w:szCs w:val="21"/>
          <w:highlight w:val="none"/>
          <w:lang w:val="en-US" w:eastAsia="zh-CN"/>
        </w:rPr>
        <w:t>七</w:t>
      </w:r>
      <w:r>
        <w:rPr>
          <w:rFonts w:hint="eastAsia" w:ascii="宋体" w:hAnsi="宋体" w:cs="宋体"/>
          <w:b/>
          <w:color w:val="auto"/>
          <w:szCs w:val="21"/>
          <w:highlight w:val="none"/>
        </w:rPr>
        <w:t>、其他补充事宜：</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1.请各供应商提前办理 CA 数字证书，并学习电子响应性文件制作。加密的电子响应性文件须使用 CA 数字证书上传。为防止网络拥堵等不可控因素影响加密的电子响应性文件上传，请各供应商提前上传，因未能及时上传导致投标失败的责任由供应商自行承担；</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2.按要求进行网上获取并下载竞争性磋商文件,凡未在规定时间内获取竞争性磋商文件者视为无效标；</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3.获取竞争性磋商文件后，请下载并安装最新版本投标文件制作工具，制作电子响应性文件，在响应性文件提交截止时间前，上传加密的响应性文件。供应商未在响应性文件提交截止时间前完成上传的，视为逾期送达，焦作市电子招投标交易平台将拒绝接收；</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 xml:space="preserve"> 4.平台统一技术服务电话为：400-998-0000服务，QQ:4008503300，服务时间:周一至周日 8:00-17:30（北京时间） ；</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hint="eastAsia" w:ascii="宋体" w:hAnsi="宋体" w:cs="宋体"/>
          <w:b/>
          <w:color w:val="auto"/>
          <w:szCs w:val="21"/>
          <w:highlight w:val="none"/>
          <w:lang w:val="en-US" w:eastAsia="zh-CN"/>
        </w:rPr>
      </w:pPr>
      <w:r>
        <w:rPr>
          <w:rFonts w:hint="eastAsia" w:ascii="宋体" w:hAnsi="宋体" w:cs="宋体"/>
          <w:b w:val="0"/>
          <w:bCs/>
          <w:color w:val="auto"/>
          <w:szCs w:val="21"/>
          <w:highlight w:val="none"/>
        </w:rPr>
        <w:t xml:space="preserve"> 5.本项目采用远程不见面交易的模式，磋商当日，供应商无需到现场参加磋商会议，应在响应性文件提交截止时间前，登录“不见面开标大厅系统” ，在线准时参加磋商活动，在规定时间内进行文件解密。各潜在供应商因加密电子响应性文件未能成功上传，其投标将被拒绝。供应商需在响应文件提交截止时间后30分钟内完成解密，否则造成的一切后果由供应商自行负责。除电子响应性文件外，磋商时不再接受任何纸质文件、资料等。</w:t>
      </w:r>
    </w:p>
    <w:p>
      <w:pPr>
        <w:spacing w:line="44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lang w:val="en-US" w:eastAsia="zh-CN"/>
        </w:rPr>
        <w:t>八</w:t>
      </w:r>
      <w:r>
        <w:rPr>
          <w:rFonts w:hint="eastAsia" w:ascii="宋体" w:hAnsi="宋体" w:cs="宋体"/>
          <w:b/>
          <w:color w:val="auto"/>
          <w:szCs w:val="21"/>
          <w:highlight w:val="none"/>
        </w:rPr>
        <w:t>、对本次招标提出询问，请按以下方式联系:</w:t>
      </w:r>
    </w:p>
    <w:p>
      <w:pPr>
        <w:keepNext w:val="0"/>
        <w:keepLines w:val="0"/>
        <w:pageBreakBefore w:val="0"/>
        <w:kinsoku/>
        <w:wordWrap/>
        <w:overflowPunct/>
        <w:topLinePunct w:val="0"/>
        <w:autoSpaceDE/>
        <w:autoSpaceDN/>
        <w:bidi w:val="0"/>
        <w:adjustRightInd/>
        <w:spacing w:line="48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1.采购人信息</w:t>
      </w:r>
    </w:p>
    <w:p>
      <w:pPr>
        <w:spacing w:before="148" w:line="401" w:lineRule="exact"/>
        <w:ind w:left="459"/>
        <w:rPr>
          <w:rFonts w:hint="eastAsia" w:ascii="宋体" w:hAnsi="宋体" w:eastAsia="宋体" w:cs="宋体"/>
          <w:sz w:val="21"/>
          <w:szCs w:val="21"/>
          <w:lang w:eastAsia="zh-CN"/>
        </w:rPr>
      </w:pPr>
      <w:r>
        <w:rPr>
          <w:rFonts w:ascii="宋体" w:hAnsi="宋体" w:eastAsia="宋体" w:cs="宋体"/>
          <w:spacing w:val="-6"/>
          <w:position w:val="14"/>
          <w:sz w:val="21"/>
          <w:szCs w:val="21"/>
        </w:rPr>
        <w:t>名</w:t>
      </w:r>
      <w:r>
        <w:rPr>
          <w:rFonts w:ascii="宋体" w:hAnsi="宋体" w:eastAsia="宋体" w:cs="宋体"/>
          <w:spacing w:val="-5"/>
          <w:position w:val="14"/>
          <w:sz w:val="21"/>
          <w:szCs w:val="21"/>
        </w:rPr>
        <w:t xml:space="preserve">    称： </w:t>
      </w:r>
      <w:r>
        <w:rPr>
          <w:rFonts w:hint="eastAsia" w:ascii="宋体" w:hAnsi="宋体" w:cs="宋体"/>
          <w:spacing w:val="-5"/>
          <w:position w:val="14"/>
          <w:sz w:val="21"/>
          <w:szCs w:val="21"/>
          <w:lang w:eastAsia="zh-CN"/>
        </w:rPr>
        <w:t>温县番田镇人民政府</w:t>
      </w:r>
    </w:p>
    <w:p>
      <w:pPr>
        <w:spacing w:before="1" w:line="216" w:lineRule="auto"/>
        <w:ind w:left="457"/>
        <w:rPr>
          <w:rFonts w:hint="eastAsia" w:ascii="宋体" w:hAnsi="宋体" w:eastAsia="宋体" w:cs="宋体"/>
          <w:sz w:val="21"/>
          <w:szCs w:val="21"/>
          <w:lang w:eastAsia="zh-CN"/>
        </w:rPr>
      </w:pPr>
      <w:r>
        <w:rPr>
          <w:rFonts w:ascii="宋体" w:hAnsi="宋体" w:eastAsia="宋体" w:cs="宋体"/>
          <w:spacing w:val="-7"/>
          <w:sz w:val="21"/>
          <w:szCs w:val="21"/>
        </w:rPr>
        <w:t xml:space="preserve">地    址： </w:t>
      </w:r>
      <w:r>
        <w:rPr>
          <w:rFonts w:hint="eastAsia" w:ascii="宋体" w:hAnsi="宋体" w:cs="宋体"/>
          <w:color w:val="auto"/>
          <w:spacing w:val="-5"/>
          <w:sz w:val="22"/>
          <w:szCs w:val="22"/>
          <w:lang w:eastAsia="zh-CN"/>
        </w:rPr>
        <w:t>温县番田镇</w:t>
      </w:r>
    </w:p>
    <w:p>
      <w:pPr>
        <w:spacing w:before="153" w:line="221" w:lineRule="auto"/>
        <w:ind w:left="457"/>
        <w:rPr>
          <w:rFonts w:ascii="宋体" w:hAnsi="宋体" w:eastAsia="宋体" w:cs="宋体"/>
          <w:sz w:val="21"/>
          <w:szCs w:val="21"/>
        </w:rPr>
      </w:pPr>
      <w:r>
        <w:rPr>
          <w:rFonts w:ascii="宋体" w:hAnsi="宋体" w:eastAsia="宋体" w:cs="宋体"/>
          <w:spacing w:val="-12"/>
          <w:sz w:val="21"/>
          <w:szCs w:val="21"/>
        </w:rPr>
        <w:t>联</w:t>
      </w:r>
      <w:r>
        <w:rPr>
          <w:rFonts w:ascii="宋体" w:hAnsi="宋体" w:eastAsia="宋体" w:cs="宋体"/>
          <w:spacing w:val="-11"/>
          <w:sz w:val="21"/>
          <w:szCs w:val="21"/>
        </w:rPr>
        <w:t xml:space="preserve"> 系 人： </w:t>
      </w:r>
      <w:r>
        <w:rPr>
          <w:rFonts w:hint="eastAsia" w:ascii="宋体" w:hAnsi="宋体" w:cs="宋体"/>
          <w:color w:val="auto"/>
          <w:spacing w:val="-5"/>
          <w:sz w:val="22"/>
          <w:szCs w:val="22"/>
          <w:lang w:val="en-US" w:eastAsia="zh-CN"/>
        </w:rPr>
        <w:t>毛先生</w:t>
      </w:r>
    </w:p>
    <w:p>
      <w:pPr>
        <w:spacing w:line="219" w:lineRule="auto"/>
        <w:ind w:left="459"/>
        <w:rPr>
          <w:rFonts w:ascii="宋体" w:hAnsi="宋体" w:eastAsia="宋体" w:cs="宋体"/>
          <w:spacing w:val="-6"/>
          <w:position w:val="14"/>
          <w:sz w:val="21"/>
          <w:szCs w:val="21"/>
        </w:rPr>
      </w:pPr>
      <w:r>
        <w:rPr>
          <w:rFonts w:ascii="宋体" w:hAnsi="宋体" w:eastAsia="宋体" w:cs="宋体"/>
          <w:spacing w:val="-12"/>
          <w:position w:val="14"/>
          <w:sz w:val="21"/>
          <w:szCs w:val="21"/>
        </w:rPr>
        <w:t>联</w:t>
      </w:r>
      <w:r>
        <w:rPr>
          <w:rFonts w:ascii="宋体" w:hAnsi="宋体" w:eastAsia="宋体" w:cs="宋体"/>
          <w:spacing w:val="-9"/>
          <w:position w:val="14"/>
          <w:sz w:val="21"/>
          <w:szCs w:val="21"/>
        </w:rPr>
        <w:t>系</w:t>
      </w:r>
      <w:r>
        <w:rPr>
          <w:rFonts w:ascii="宋体" w:hAnsi="宋体" w:eastAsia="宋体" w:cs="宋体"/>
          <w:spacing w:val="-6"/>
          <w:position w:val="14"/>
          <w:sz w:val="21"/>
          <w:szCs w:val="21"/>
        </w:rPr>
        <w:t xml:space="preserve">方式：  </w:t>
      </w:r>
      <w:r>
        <w:rPr>
          <w:rFonts w:hint="eastAsia" w:ascii="宋体" w:hAnsi="宋体" w:eastAsia="宋体" w:cs="宋体"/>
          <w:spacing w:val="-6"/>
          <w:position w:val="14"/>
          <w:sz w:val="21"/>
          <w:szCs w:val="21"/>
          <w:lang w:val="en-US" w:eastAsia="zh-CN"/>
        </w:rPr>
        <w:t>15738559829</w:t>
      </w:r>
    </w:p>
    <w:p>
      <w:pPr>
        <w:spacing w:before="152" w:line="220" w:lineRule="auto"/>
        <w:ind w:left="459"/>
        <w:rPr>
          <w:rFonts w:ascii="宋体" w:hAnsi="宋体" w:cs="宋体"/>
          <w:color w:val="auto"/>
          <w:spacing w:val="-5"/>
          <w:sz w:val="22"/>
          <w:szCs w:val="22"/>
        </w:rPr>
      </w:pPr>
      <w:r>
        <w:rPr>
          <w:rFonts w:ascii="宋体" w:hAnsi="宋体" w:cs="宋体"/>
          <w:color w:val="auto"/>
          <w:spacing w:val="-5"/>
          <w:sz w:val="22"/>
          <w:szCs w:val="22"/>
        </w:rPr>
        <w:t>2.采购代理机构信息</w:t>
      </w:r>
    </w:p>
    <w:p>
      <w:pPr>
        <w:spacing w:before="152" w:line="220" w:lineRule="auto"/>
        <w:ind w:left="459"/>
        <w:rPr>
          <w:rFonts w:hint="eastAsia" w:ascii="宋体" w:hAnsi="宋体" w:eastAsia="宋体" w:cs="宋体"/>
          <w:color w:val="auto"/>
          <w:spacing w:val="-5"/>
          <w:sz w:val="22"/>
          <w:szCs w:val="22"/>
          <w:lang w:eastAsia="zh-CN"/>
        </w:rPr>
      </w:pPr>
      <w:r>
        <w:rPr>
          <w:rFonts w:ascii="宋体" w:hAnsi="宋体" w:cs="宋体"/>
          <w:color w:val="auto"/>
          <w:spacing w:val="-5"/>
          <w:sz w:val="22"/>
          <w:szCs w:val="22"/>
        </w:rPr>
        <w:t xml:space="preserve">名       称： </w:t>
      </w:r>
      <w:r>
        <w:rPr>
          <w:rFonts w:hint="eastAsia" w:ascii="宋体" w:hAnsi="宋体" w:cs="宋体"/>
          <w:color w:val="auto"/>
          <w:spacing w:val="-5"/>
          <w:sz w:val="22"/>
          <w:szCs w:val="22"/>
          <w:lang w:eastAsia="zh-CN"/>
        </w:rPr>
        <w:t>正信伟业工程咨询管理有限公司</w:t>
      </w:r>
    </w:p>
    <w:p>
      <w:pPr>
        <w:spacing w:before="152" w:line="220" w:lineRule="auto"/>
        <w:ind w:left="459"/>
        <w:rPr>
          <w:rFonts w:ascii="宋体" w:hAnsi="宋体" w:cs="宋体"/>
          <w:color w:val="auto"/>
          <w:spacing w:val="-5"/>
          <w:sz w:val="22"/>
          <w:szCs w:val="22"/>
        </w:rPr>
      </w:pPr>
      <w:r>
        <w:rPr>
          <w:rFonts w:ascii="宋体" w:hAnsi="宋体" w:cs="宋体"/>
          <w:color w:val="auto"/>
          <w:spacing w:val="-5"/>
          <w:sz w:val="22"/>
          <w:szCs w:val="22"/>
        </w:rPr>
        <w:t xml:space="preserve">地       址： </w:t>
      </w:r>
      <w:r>
        <w:rPr>
          <w:rFonts w:hint="eastAsia" w:ascii="宋体" w:hAnsi="宋体" w:cs="宋体"/>
          <w:color w:val="auto"/>
          <w:spacing w:val="-5"/>
          <w:sz w:val="22"/>
          <w:szCs w:val="22"/>
          <w:lang w:val="en-US" w:eastAsia="zh-CN"/>
        </w:rPr>
        <w:t>温县司马大街网通公司北邻</w:t>
      </w:r>
    </w:p>
    <w:p>
      <w:pPr>
        <w:spacing w:before="152" w:line="220" w:lineRule="auto"/>
        <w:ind w:left="459"/>
        <w:rPr>
          <w:rFonts w:hint="default" w:ascii="宋体" w:hAnsi="宋体" w:cs="宋体"/>
          <w:color w:val="auto"/>
          <w:spacing w:val="-5"/>
          <w:sz w:val="22"/>
          <w:szCs w:val="22"/>
          <w:lang w:val="en-US" w:eastAsia="zh-CN"/>
        </w:rPr>
      </w:pPr>
      <w:r>
        <w:rPr>
          <w:rFonts w:ascii="宋体" w:hAnsi="宋体" w:cs="宋体"/>
          <w:color w:val="auto"/>
          <w:spacing w:val="-5"/>
          <w:sz w:val="22"/>
          <w:szCs w:val="22"/>
        </w:rPr>
        <w:t>联  系  人：</w:t>
      </w:r>
      <w:r>
        <w:rPr>
          <w:rFonts w:hint="eastAsia" w:ascii="宋体" w:hAnsi="宋体" w:cs="宋体"/>
          <w:color w:val="auto"/>
          <w:spacing w:val="-5"/>
          <w:sz w:val="22"/>
          <w:szCs w:val="22"/>
          <w:lang w:val="en-US" w:eastAsia="zh-CN"/>
        </w:rPr>
        <w:t>田先生</w:t>
      </w:r>
    </w:p>
    <w:p>
      <w:pPr>
        <w:spacing w:before="152" w:line="220" w:lineRule="auto"/>
        <w:ind w:left="459"/>
        <w:rPr>
          <w:rFonts w:hint="eastAsia" w:ascii="宋体" w:hAnsi="宋体" w:cs="宋体"/>
          <w:color w:val="auto"/>
          <w:spacing w:val="-5"/>
          <w:sz w:val="22"/>
          <w:szCs w:val="22"/>
          <w:lang w:val="en-US" w:eastAsia="zh-CN"/>
        </w:rPr>
      </w:pPr>
      <w:r>
        <w:rPr>
          <w:rFonts w:hint="eastAsia" w:ascii="宋体" w:hAnsi="宋体" w:cs="宋体"/>
          <w:color w:val="auto"/>
          <w:spacing w:val="-5"/>
          <w:sz w:val="22"/>
          <w:szCs w:val="22"/>
        </w:rPr>
        <w:t>联系方式：</w:t>
      </w:r>
      <w:r>
        <w:rPr>
          <w:rFonts w:hint="eastAsia" w:ascii="宋体" w:hAnsi="宋体" w:cs="宋体"/>
          <w:color w:val="auto"/>
          <w:spacing w:val="-5"/>
          <w:sz w:val="22"/>
          <w:szCs w:val="22"/>
          <w:lang w:val="en-US" w:eastAsia="zh-CN"/>
        </w:rPr>
        <w:t>13603915026</w:t>
      </w:r>
    </w:p>
    <w:p>
      <w:pPr>
        <w:spacing w:before="152" w:line="220" w:lineRule="auto"/>
        <w:ind w:left="459"/>
        <w:rPr>
          <w:rFonts w:ascii="宋体" w:hAnsi="宋体" w:cs="宋体"/>
          <w:color w:val="auto"/>
          <w:spacing w:val="-5"/>
          <w:sz w:val="22"/>
          <w:szCs w:val="22"/>
        </w:rPr>
      </w:pPr>
      <w:r>
        <w:rPr>
          <w:rFonts w:ascii="宋体" w:hAnsi="宋体" w:cs="宋体"/>
          <w:color w:val="auto"/>
          <w:spacing w:val="-5"/>
          <w:sz w:val="22"/>
          <w:szCs w:val="22"/>
        </w:rPr>
        <w:t>3.项目联系方式</w:t>
      </w:r>
    </w:p>
    <w:p>
      <w:pPr>
        <w:spacing w:before="152" w:line="220" w:lineRule="auto"/>
        <w:ind w:left="459"/>
        <w:rPr>
          <w:rFonts w:hint="default" w:ascii="宋体" w:hAnsi="宋体" w:cs="宋体"/>
          <w:color w:val="auto"/>
          <w:spacing w:val="-5"/>
          <w:sz w:val="22"/>
          <w:szCs w:val="22"/>
          <w:lang w:val="en-US" w:eastAsia="zh-CN"/>
        </w:rPr>
      </w:pPr>
      <w:r>
        <w:rPr>
          <w:rFonts w:ascii="宋体" w:hAnsi="宋体" w:cs="宋体"/>
          <w:color w:val="auto"/>
          <w:spacing w:val="-5"/>
          <w:sz w:val="22"/>
          <w:szCs w:val="22"/>
        </w:rPr>
        <w:t>联  系  人：</w:t>
      </w:r>
      <w:r>
        <w:rPr>
          <w:rFonts w:hint="eastAsia" w:ascii="宋体" w:hAnsi="宋体" w:cs="宋体"/>
          <w:color w:val="auto"/>
          <w:spacing w:val="-5"/>
          <w:sz w:val="22"/>
          <w:szCs w:val="22"/>
          <w:lang w:val="en-US" w:eastAsia="zh-CN"/>
        </w:rPr>
        <w:t>田先生</w:t>
      </w:r>
    </w:p>
    <w:p>
      <w:pPr>
        <w:spacing w:before="152" w:line="220" w:lineRule="auto"/>
        <w:ind w:left="459"/>
        <w:rPr>
          <w:rFonts w:hint="eastAsia" w:ascii="宋体" w:hAnsi="宋体" w:cs="宋体"/>
          <w:color w:val="auto"/>
          <w:spacing w:val="-5"/>
          <w:sz w:val="22"/>
          <w:szCs w:val="22"/>
          <w:lang w:val="en-US" w:eastAsia="zh-CN"/>
        </w:rPr>
      </w:pPr>
      <w:r>
        <w:rPr>
          <w:rFonts w:hint="eastAsia" w:ascii="宋体" w:hAnsi="宋体" w:cs="宋体"/>
          <w:color w:val="auto"/>
          <w:spacing w:val="-5"/>
          <w:sz w:val="22"/>
          <w:szCs w:val="22"/>
        </w:rPr>
        <w:t>联系方式：</w:t>
      </w:r>
      <w:r>
        <w:rPr>
          <w:rFonts w:hint="eastAsia" w:ascii="宋体" w:hAnsi="宋体" w:cs="宋体"/>
          <w:color w:val="auto"/>
          <w:spacing w:val="-5"/>
          <w:sz w:val="22"/>
          <w:szCs w:val="22"/>
          <w:lang w:val="en-US" w:eastAsia="zh-CN"/>
        </w:rPr>
        <w:t>13603915026</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w:t>
      </w:r>
    </w:p>
    <w:p>
      <w:pPr>
        <w:spacing w:line="440" w:lineRule="exact"/>
        <w:ind w:firstLine="420" w:firstLineChars="200"/>
        <w:rPr>
          <w:rFonts w:hint="eastAsia" w:ascii="宋体" w:hAnsi="宋体" w:cs="宋体"/>
          <w:color w:val="auto"/>
          <w:highlight w:val="none"/>
        </w:rPr>
      </w:pPr>
      <w:r>
        <w:rPr>
          <w:rFonts w:hint="eastAsia" w:ascii="宋体" w:hAnsi="宋体" w:cs="宋体"/>
          <w:color w:val="auto"/>
          <w:szCs w:val="21"/>
          <w:highlight w:val="none"/>
        </w:rPr>
        <w:t>                                    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8 </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 xml:space="preserve"> 14 </w:t>
      </w:r>
      <w:r>
        <w:rPr>
          <w:rFonts w:hint="eastAsia" w:ascii="宋体" w:hAnsi="宋体" w:cs="宋体"/>
          <w:color w:val="auto"/>
          <w:szCs w:val="21"/>
          <w:highlight w:val="none"/>
        </w:rPr>
        <w:t>日</w:t>
      </w:r>
    </w:p>
    <w:p>
      <w:pPr>
        <w:pStyle w:val="20"/>
        <w:spacing w:line="400" w:lineRule="exact"/>
        <w:rPr>
          <w:rFonts w:hint="eastAsia" w:ascii="宋体" w:hAnsi="宋体" w:cs="宋体"/>
          <w:color w:val="auto"/>
          <w:highlight w:val="none"/>
        </w:rPr>
      </w:pPr>
      <w:bookmarkStart w:id="1" w:name="_Toc8043"/>
    </w:p>
    <w:p>
      <w:pPr>
        <w:pStyle w:val="20"/>
        <w:spacing w:line="400" w:lineRule="exact"/>
        <w:rPr>
          <w:rFonts w:hint="eastAsia" w:ascii="宋体" w:hAnsi="宋体" w:cs="宋体"/>
          <w:color w:val="auto"/>
          <w:highlight w:val="none"/>
        </w:rPr>
      </w:pPr>
    </w:p>
    <w:p>
      <w:pPr>
        <w:pStyle w:val="20"/>
        <w:spacing w:line="400" w:lineRule="exact"/>
        <w:rPr>
          <w:rFonts w:hint="eastAsia" w:ascii="宋体" w:hAnsi="宋体" w:cs="宋体"/>
          <w:color w:val="auto"/>
          <w:highlight w:val="none"/>
        </w:rPr>
      </w:pPr>
    </w:p>
    <w:p>
      <w:pPr>
        <w:pStyle w:val="20"/>
        <w:spacing w:line="400" w:lineRule="exact"/>
        <w:rPr>
          <w:rFonts w:hint="eastAsia" w:ascii="宋体" w:hAnsi="宋体" w:cs="宋体"/>
          <w:color w:val="auto"/>
          <w:highlight w:val="none"/>
        </w:rPr>
      </w:pPr>
    </w:p>
    <w:p>
      <w:pPr>
        <w:pStyle w:val="20"/>
        <w:spacing w:line="400" w:lineRule="exact"/>
        <w:rPr>
          <w:rFonts w:hint="eastAsia" w:ascii="宋体" w:hAnsi="宋体" w:cs="宋体"/>
          <w:color w:val="auto"/>
          <w:highlight w:val="none"/>
        </w:rPr>
      </w:pPr>
    </w:p>
    <w:p>
      <w:pPr>
        <w:pStyle w:val="20"/>
        <w:spacing w:line="400" w:lineRule="exact"/>
        <w:rPr>
          <w:rFonts w:hint="eastAsia" w:ascii="宋体" w:hAnsi="宋体" w:cs="宋体"/>
          <w:color w:val="auto"/>
          <w:highlight w:val="none"/>
        </w:rPr>
      </w:pPr>
    </w:p>
    <w:p>
      <w:pPr>
        <w:pStyle w:val="20"/>
        <w:spacing w:line="400" w:lineRule="exact"/>
        <w:jc w:val="center"/>
        <w:rPr>
          <w:rFonts w:ascii="宋体" w:cs="宋体"/>
          <w:color w:val="auto"/>
          <w:highlight w:val="none"/>
        </w:rPr>
      </w:pPr>
      <w:r>
        <w:rPr>
          <w:rFonts w:hint="eastAsia" w:ascii="宋体" w:hAnsi="宋体" w:cs="宋体"/>
          <w:color w:val="auto"/>
          <w:highlight w:val="none"/>
        </w:rPr>
        <w:t>第二章</w:t>
      </w:r>
      <w:r>
        <w:rPr>
          <w:rFonts w:ascii="宋体" w:hAnsi="宋体" w:cs="宋体"/>
          <w:color w:val="auto"/>
          <w:highlight w:val="none"/>
        </w:rPr>
        <w:t xml:space="preserve"> </w:t>
      </w:r>
      <w:r>
        <w:rPr>
          <w:rFonts w:hint="eastAsia" w:ascii="宋体" w:hAnsi="宋体" w:cs="宋体"/>
          <w:color w:val="auto"/>
          <w:highlight w:val="none"/>
        </w:rPr>
        <w:t>供应商须知</w:t>
      </w:r>
      <w:bookmarkEnd w:id="1"/>
    </w:p>
    <w:p>
      <w:pPr>
        <w:pStyle w:val="20"/>
        <w:spacing w:line="400" w:lineRule="exact"/>
        <w:rPr>
          <w:rFonts w:ascii="宋体" w:cs="宋体"/>
          <w:color w:val="auto"/>
          <w:highlight w:val="none"/>
        </w:rPr>
      </w:pPr>
      <w:bookmarkStart w:id="2" w:name="_Toc5221"/>
      <w:bookmarkStart w:id="3" w:name="_Toc247513951"/>
      <w:bookmarkStart w:id="4" w:name="_Toc12145"/>
      <w:bookmarkStart w:id="5" w:name="_Toc152045528"/>
      <w:bookmarkStart w:id="6" w:name="_Toc421284738"/>
      <w:bookmarkStart w:id="7" w:name="_Toc144974496"/>
      <w:bookmarkStart w:id="8" w:name="_Toc152042304"/>
      <w:bookmarkStart w:id="9" w:name="_Toc247527552"/>
      <w:r>
        <w:rPr>
          <w:rFonts w:hint="eastAsia" w:ascii="宋体" w:hAnsi="宋体" w:cs="宋体"/>
          <w:color w:val="auto"/>
          <w:highlight w:val="none"/>
        </w:rPr>
        <w:t>供应商须知前附表</w:t>
      </w:r>
      <w:bookmarkEnd w:id="2"/>
      <w:bookmarkEnd w:id="3"/>
      <w:bookmarkEnd w:id="4"/>
      <w:bookmarkEnd w:id="5"/>
      <w:bookmarkEnd w:id="6"/>
      <w:bookmarkEnd w:id="7"/>
      <w:bookmarkEnd w:id="8"/>
      <w:bookmarkEnd w:id="9"/>
    </w:p>
    <w:tbl>
      <w:tblPr>
        <w:tblStyle w:val="27"/>
        <w:tblW w:w="9744" w:type="dxa"/>
        <w:jc w:val="center"/>
        <w:tblLayout w:type="fixed"/>
        <w:tblCellMar>
          <w:top w:w="0" w:type="dxa"/>
          <w:left w:w="108" w:type="dxa"/>
          <w:bottom w:w="0" w:type="dxa"/>
          <w:right w:w="108" w:type="dxa"/>
        </w:tblCellMar>
      </w:tblPr>
      <w:tblGrid>
        <w:gridCol w:w="853"/>
        <w:gridCol w:w="2137"/>
        <w:gridCol w:w="6754"/>
      </w:tblGrid>
      <w:tr>
        <w:tblPrEx>
          <w:tblCellMar>
            <w:top w:w="0" w:type="dxa"/>
            <w:left w:w="108" w:type="dxa"/>
            <w:bottom w:w="0" w:type="dxa"/>
            <w:right w:w="108" w:type="dxa"/>
          </w:tblCellMar>
        </w:tblPrEx>
        <w:trPr>
          <w:trHeight w:val="334"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color w:val="auto"/>
                <w:szCs w:val="21"/>
                <w:highlight w:val="none"/>
              </w:rPr>
            </w:pPr>
            <w:r>
              <w:rPr>
                <w:rFonts w:hint="eastAsia" w:ascii="宋体" w:hAnsi="宋体" w:cs="宋体"/>
                <w:b/>
                <w:color w:val="auto"/>
                <w:szCs w:val="21"/>
                <w:highlight w:val="none"/>
              </w:rPr>
              <w:t>条款号</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color w:val="auto"/>
                <w:szCs w:val="21"/>
                <w:highlight w:val="none"/>
              </w:rPr>
            </w:pPr>
            <w:r>
              <w:rPr>
                <w:rFonts w:hint="eastAsia" w:ascii="宋体" w:hAnsi="宋体" w:cs="宋体"/>
                <w:b/>
                <w:color w:val="auto"/>
                <w:szCs w:val="21"/>
                <w:highlight w:val="none"/>
              </w:rPr>
              <w:t>条  款  名  称</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color w:val="auto"/>
                <w:szCs w:val="21"/>
                <w:highlight w:val="none"/>
              </w:rPr>
            </w:pPr>
            <w:r>
              <w:rPr>
                <w:rFonts w:hint="eastAsia" w:ascii="宋体" w:hAnsi="宋体" w:cs="宋体"/>
                <w:b/>
                <w:color w:val="auto"/>
                <w:szCs w:val="21"/>
                <w:highlight w:val="none"/>
              </w:rPr>
              <w:t>编  列  内  容</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采购人</w:t>
            </w:r>
          </w:p>
        </w:tc>
        <w:tc>
          <w:tcPr>
            <w:tcW w:w="6754" w:type="dxa"/>
            <w:tcBorders>
              <w:top w:val="single" w:color="auto" w:sz="4" w:space="0"/>
              <w:left w:val="single" w:color="auto" w:sz="4" w:space="0"/>
              <w:bottom w:val="single" w:color="auto" w:sz="4" w:space="0"/>
              <w:right w:val="single" w:color="auto" w:sz="4" w:space="0"/>
            </w:tcBorders>
            <w:vAlign w:val="center"/>
          </w:tcPr>
          <w:p>
            <w:pPr>
              <w:spacing w:before="137" w:line="220" w:lineRule="auto"/>
              <w:ind w:left="115"/>
              <w:rPr>
                <w:rFonts w:hint="eastAsia" w:ascii="宋体" w:hAnsi="宋体" w:eastAsia="宋体" w:cs="宋体"/>
                <w:sz w:val="21"/>
                <w:szCs w:val="21"/>
                <w:lang w:eastAsia="zh-CN"/>
              </w:rPr>
            </w:pPr>
            <w:r>
              <w:rPr>
                <w:rFonts w:ascii="宋体" w:hAnsi="宋体" w:eastAsia="宋体" w:cs="宋体"/>
                <w:spacing w:val="-6"/>
                <w:sz w:val="21"/>
                <w:szCs w:val="21"/>
              </w:rPr>
              <w:t>名</w:t>
            </w:r>
            <w:r>
              <w:rPr>
                <w:rFonts w:ascii="宋体" w:hAnsi="宋体" w:eastAsia="宋体" w:cs="宋体"/>
                <w:spacing w:val="-5"/>
                <w:sz w:val="21"/>
                <w:szCs w:val="21"/>
              </w:rPr>
              <w:t xml:space="preserve">    称： </w:t>
            </w:r>
            <w:r>
              <w:rPr>
                <w:rFonts w:hint="eastAsia" w:ascii="宋体" w:hAnsi="宋体" w:cs="宋体"/>
                <w:spacing w:val="-5"/>
                <w:sz w:val="21"/>
                <w:szCs w:val="21"/>
                <w:lang w:eastAsia="zh-CN"/>
              </w:rPr>
              <w:t>温县番田镇人民政府</w:t>
            </w:r>
          </w:p>
          <w:p>
            <w:pPr>
              <w:spacing w:before="148" w:line="217" w:lineRule="auto"/>
              <w:ind w:left="113"/>
              <w:rPr>
                <w:rFonts w:hint="eastAsia" w:ascii="宋体" w:hAnsi="宋体" w:eastAsia="宋体" w:cs="宋体"/>
                <w:sz w:val="21"/>
                <w:szCs w:val="21"/>
                <w:lang w:eastAsia="zh-CN"/>
              </w:rPr>
            </w:pPr>
            <w:r>
              <w:rPr>
                <w:rFonts w:ascii="宋体" w:hAnsi="宋体" w:eastAsia="宋体" w:cs="宋体"/>
                <w:spacing w:val="-7"/>
                <w:sz w:val="21"/>
                <w:szCs w:val="21"/>
              </w:rPr>
              <w:t>地    址：</w:t>
            </w:r>
            <w:r>
              <w:rPr>
                <w:rFonts w:hint="eastAsia" w:ascii="宋体" w:hAnsi="宋体" w:cs="宋体"/>
                <w:spacing w:val="-7"/>
                <w:sz w:val="21"/>
                <w:szCs w:val="21"/>
                <w:lang w:eastAsia="zh-CN"/>
              </w:rPr>
              <w:t>温县番田镇</w:t>
            </w:r>
          </w:p>
          <w:p>
            <w:pPr>
              <w:spacing w:before="137" w:line="220" w:lineRule="auto"/>
              <w:ind w:left="115"/>
              <w:rPr>
                <w:rFonts w:ascii="宋体" w:hAnsi="宋体" w:eastAsia="宋体" w:cs="宋体"/>
                <w:spacing w:val="-6"/>
                <w:sz w:val="21"/>
                <w:szCs w:val="21"/>
              </w:rPr>
            </w:pPr>
            <w:r>
              <w:rPr>
                <w:rFonts w:ascii="宋体" w:hAnsi="宋体" w:eastAsia="宋体" w:cs="宋体"/>
                <w:spacing w:val="-6"/>
                <w:sz w:val="21"/>
                <w:szCs w:val="21"/>
              </w:rPr>
              <w:t xml:space="preserve">联 系 人： </w:t>
            </w:r>
            <w:r>
              <w:rPr>
                <w:rFonts w:hint="eastAsia" w:ascii="宋体" w:hAnsi="宋体" w:cs="宋体"/>
                <w:spacing w:val="-6"/>
                <w:sz w:val="21"/>
                <w:szCs w:val="21"/>
                <w:lang w:eastAsia="zh-CN"/>
              </w:rPr>
              <w:t>毛先生</w:t>
            </w:r>
          </w:p>
          <w:p>
            <w:pPr>
              <w:spacing w:before="137" w:line="220" w:lineRule="auto"/>
              <w:ind w:left="115" w:leftChars="0"/>
              <w:rPr>
                <w:rFonts w:hint="eastAsia" w:eastAsia="宋体"/>
                <w:color w:val="auto"/>
                <w:highlight w:val="none"/>
                <w:lang w:eastAsia="zh-CN"/>
              </w:rPr>
            </w:pPr>
            <w:r>
              <w:rPr>
                <w:rFonts w:ascii="宋体" w:hAnsi="宋体" w:eastAsia="宋体" w:cs="宋体"/>
                <w:spacing w:val="-6"/>
                <w:sz w:val="21"/>
                <w:szCs w:val="21"/>
              </w:rPr>
              <w:t>联 系 方 式：</w:t>
            </w:r>
            <w:r>
              <w:rPr>
                <w:rFonts w:hint="eastAsia" w:ascii="宋体" w:hAnsi="宋体" w:cs="宋体"/>
                <w:spacing w:val="-6"/>
                <w:sz w:val="21"/>
                <w:szCs w:val="21"/>
                <w:lang w:eastAsia="zh-CN"/>
              </w:rPr>
              <w:t>15738559829</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采购代理机构</w:t>
            </w:r>
          </w:p>
        </w:tc>
        <w:tc>
          <w:tcPr>
            <w:tcW w:w="6754" w:type="dxa"/>
            <w:tcBorders>
              <w:top w:val="single" w:color="auto" w:sz="4" w:space="0"/>
              <w:left w:val="single" w:color="auto" w:sz="4" w:space="0"/>
              <w:bottom w:val="single" w:color="auto" w:sz="4" w:space="0"/>
              <w:right w:val="single" w:color="auto" w:sz="4" w:space="0"/>
            </w:tcBorders>
            <w:vAlign w:val="center"/>
          </w:tcPr>
          <w:p>
            <w:pPr>
              <w:spacing w:before="137" w:line="220" w:lineRule="auto"/>
              <w:ind w:left="115"/>
              <w:rPr>
                <w:rFonts w:hint="eastAsia" w:ascii="宋体" w:hAnsi="宋体" w:eastAsia="宋体" w:cs="宋体"/>
                <w:spacing w:val="-6"/>
                <w:sz w:val="21"/>
                <w:szCs w:val="21"/>
                <w:lang w:eastAsia="zh-CN"/>
              </w:rPr>
            </w:pPr>
            <w:r>
              <w:rPr>
                <w:rFonts w:ascii="宋体" w:hAnsi="宋体" w:eastAsia="宋体" w:cs="宋体"/>
                <w:spacing w:val="-6"/>
                <w:sz w:val="21"/>
                <w:szCs w:val="21"/>
              </w:rPr>
              <w:t>名    称：</w:t>
            </w:r>
            <w:r>
              <w:rPr>
                <w:rFonts w:hint="eastAsia" w:ascii="宋体" w:hAnsi="宋体" w:cs="宋体"/>
                <w:spacing w:val="-6"/>
                <w:sz w:val="21"/>
                <w:szCs w:val="21"/>
                <w:lang w:eastAsia="zh-CN"/>
              </w:rPr>
              <w:t>正信伟业工程咨询管理有限公司</w:t>
            </w:r>
          </w:p>
          <w:p>
            <w:pPr>
              <w:spacing w:before="137" w:line="220" w:lineRule="auto"/>
              <w:ind w:left="115"/>
              <w:rPr>
                <w:rFonts w:hint="eastAsia" w:ascii="宋体" w:hAnsi="宋体" w:cs="宋体"/>
                <w:color w:val="auto"/>
                <w:spacing w:val="-5"/>
                <w:sz w:val="22"/>
                <w:szCs w:val="22"/>
                <w:lang w:val="en-US" w:eastAsia="zh-CN"/>
              </w:rPr>
            </w:pPr>
            <w:r>
              <w:rPr>
                <w:rFonts w:ascii="宋体" w:hAnsi="宋体" w:eastAsia="宋体" w:cs="宋体"/>
                <w:spacing w:val="-6"/>
                <w:sz w:val="21"/>
                <w:szCs w:val="21"/>
              </w:rPr>
              <w:t xml:space="preserve">地    址： </w:t>
            </w:r>
            <w:r>
              <w:rPr>
                <w:rFonts w:hint="eastAsia" w:ascii="宋体" w:hAnsi="宋体" w:cs="宋体"/>
                <w:color w:val="auto"/>
                <w:spacing w:val="-5"/>
                <w:sz w:val="22"/>
                <w:szCs w:val="22"/>
                <w:lang w:val="en-US" w:eastAsia="zh-CN"/>
              </w:rPr>
              <w:t>温县司马大街网通公司北邻</w:t>
            </w:r>
          </w:p>
          <w:p>
            <w:pPr>
              <w:spacing w:before="137" w:line="220" w:lineRule="auto"/>
              <w:ind w:left="115"/>
              <w:rPr>
                <w:rFonts w:ascii="宋体" w:hAnsi="宋体" w:eastAsia="宋体" w:cs="宋体"/>
                <w:spacing w:val="-6"/>
                <w:sz w:val="21"/>
                <w:szCs w:val="21"/>
              </w:rPr>
            </w:pPr>
            <w:r>
              <w:rPr>
                <w:rFonts w:ascii="宋体" w:hAnsi="宋体" w:eastAsia="宋体" w:cs="宋体"/>
                <w:spacing w:val="-6"/>
                <w:sz w:val="21"/>
                <w:szCs w:val="21"/>
              </w:rPr>
              <w:t xml:space="preserve">联 系 人： </w:t>
            </w:r>
            <w:r>
              <w:rPr>
                <w:rFonts w:hint="eastAsia" w:ascii="宋体" w:hAnsi="宋体" w:cs="宋体"/>
                <w:spacing w:val="-6"/>
                <w:sz w:val="21"/>
                <w:szCs w:val="21"/>
                <w:lang w:eastAsia="zh-CN"/>
              </w:rPr>
              <w:t>田先生</w:t>
            </w:r>
          </w:p>
          <w:p>
            <w:pPr>
              <w:spacing w:before="137" w:line="220" w:lineRule="auto"/>
              <w:ind w:left="115" w:leftChars="0"/>
              <w:rPr>
                <w:rFonts w:ascii="宋体" w:hAnsi="宋体" w:cs="宋体"/>
                <w:color w:val="auto"/>
                <w:szCs w:val="21"/>
                <w:highlight w:val="none"/>
              </w:rPr>
            </w:pPr>
            <w:r>
              <w:rPr>
                <w:rFonts w:ascii="宋体" w:hAnsi="宋体" w:eastAsia="宋体" w:cs="宋体"/>
                <w:spacing w:val="-6"/>
                <w:sz w:val="21"/>
                <w:szCs w:val="21"/>
              </w:rPr>
              <w:t xml:space="preserve">联 系 方 式： </w:t>
            </w:r>
            <w:r>
              <w:rPr>
                <w:rFonts w:hint="eastAsia" w:ascii="宋体" w:hAnsi="宋体" w:cs="宋体"/>
                <w:color w:val="auto"/>
                <w:spacing w:val="-5"/>
                <w:sz w:val="22"/>
                <w:szCs w:val="22"/>
                <w:lang w:val="en-US" w:eastAsia="zh-CN"/>
              </w:rPr>
              <w:t>13603915026</w:t>
            </w:r>
          </w:p>
        </w:tc>
      </w:tr>
      <w:tr>
        <w:tblPrEx>
          <w:tblCellMar>
            <w:top w:w="0" w:type="dxa"/>
            <w:left w:w="108" w:type="dxa"/>
            <w:bottom w:w="0" w:type="dxa"/>
            <w:right w:w="108" w:type="dxa"/>
          </w:tblCellMar>
        </w:tblPrEx>
        <w:trPr>
          <w:trHeight w:val="408" w:hRule="exact"/>
          <w:jc w:val="center"/>
        </w:trPr>
        <w:tc>
          <w:tcPr>
            <w:tcW w:w="853"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1.1.4</w:t>
            </w:r>
          </w:p>
        </w:tc>
        <w:tc>
          <w:tcPr>
            <w:tcW w:w="2137"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项目名称及项目编号</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ascii="宋体" w:hAnsi="宋体" w:cs="宋体"/>
                <w:color w:val="auto"/>
                <w:szCs w:val="21"/>
                <w:highlight w:val="none"/>
              </w:rPr>
            </w:pPr>
            <w:r>
              <w:rPr>
                <w:rFonts w:hint="eastAsia" w:ascii="宋体" w:hAnsi="宋体" w:cs="宋体"/>
                <w:spacing w:val="-6"/>
                <w:sz w:val="21"/>
                <w:szCs w:val="21"/>
                <w:lang w:val="en-US" w:eastAsia="zh-CN"/>
              </w:rPr>
              <w:t>2023年度温县番田镇粮食烘干仓储采购设备项目</w:t>
            </w:r>
          </w:p>
        </w:tc>
      </w:tr>
      <w:tr>
        <w:tblPrEx>
          <w:tblCellMar>
            <w:top w:w="0" w:type="dxa"/>
            <w:left w:w="108" w:type="dxa"/>
            <w:bottom w:w="0" w:type="dxa"/>
            <w:right w:w="108" w:type="dxa"/>
          </w:tblCellMar>
        </w:tblPrEx>
        <w:trPr>
          <w:trHeight w:val="1118" w:hRule="exact"/>
          <w:jc w:val="center"/>
        </w:trPr>
        <w:tc>
          <w:tcPr>
            <w:tcW w:w="853"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p>
        </w:tc>
        <w:tc>
          <w:tcPr>
            <w:tcW w:w="2137"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项目编号：温交易【202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 xml:space="preserve"> 75 </w:t>
            </w:r>
            <w:r>
              <w:rPr>
                <w:rFonts w:hint="eastAsia" w:ascii="宋体" w:hAnsi="宋体" w:cs="宋体"/>
                <w:color w:val="auto"/>
                <w:szCs w:val="21"/>
                <w:highlight w:val="none"/>
              </w:rPr>
              <w:t xml:space="preserve">号  </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采购编号：温政采【202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 xml:space="preserve"> 08-27 </w:t>
            </w:r>
            <w:r>
              <w:rPr>
                <w:rFonts w:hint="eastAsia" w:ascii="宋体" w:hAnsi="宋体" w:cs="宋体"/>
                <w:color w:val="auto"/>
                <w:szCs w:val="21"/>
                <w:highlight w:val="none"/>
              </w:rPr>
              <w:t>号</w:t>
            </w:r>
            <w:bookmarkStart w:id="159" w:name="_GoBack"/>
            <w:bookmarkEnd w:id="159"/>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1.2.1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预算金额</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lang w:val="en-US" w:eastAsia="zh-CN"/>
              </w:rPr>
              <w:t>94.2万元</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1.2.2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资金来源</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lang w:eastAsia="zh-CN"/>
              </w:rPr>
              <w:t>财政衔接推进乡村振兴补助资金</w:t>
            </w:r>
          </w:p>
        </w:tc>
      </w:tr>
      <w:tr>
        <w:tblPrEx>
          <w:tblCellMar>
            <w:top w:w="0" w:type="dxa"/>
            <w:left w:w="108" w:type="dxa"/>
            <w:bottom w:w="0" w:type="dxa"/>
            <w:right w:w="108" w:type="dxa"/>
          </w:tblCellMar>
        </w:tblPrEx>
        <w:trPr>
          <w:trHeight w:val="714"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1.3.1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采购（服务）范围</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80" w:lineRule="exact"/>
              <w:jc w:val="left"/>
              <w:rPr>
                <w:rFonts w:ascii="宋体" w:hAnsi="宋体" w:cs="宋体"/>
                <w:color w:val="auto"/>
                <w:szCs w:val="21"/>
                <w:highlight w:val="none"/>
              </w:rPr>
            </w:pPr>
            <w:r>
              <w:rPr>
                <w:rFonts w:hint="eastAsia" w:ascii="宋体" w:hAnsi="宋体" w:cs="宋体"/>
                <w:color w:val="auto"/>
                <w:szCs w:val="21"/>
                <w:highlight w:val="none"/>
                <w:lang w:val="en-US" w:eastAsia="zh-CN"/>
              </w:rPr>
              <w:t>2吨铲车1辆、100吨地磅1台、200吨烘干塔1座及相应配套设施等。</w:t>
            </w:r>
          </w:p>
        </w:tc>
      </w:tr>
      <w:tr>
        <w:tblPrEx>
          <w:tblCellMar>
            <w:top w:w="0" w:type="dxa"/>
            <w:left w:w="108" w:type="dxa"/>
            <w:bottom w:w="0" w:type="dxa"/>
            <w:right w:w="108" w:type="dxa"/>
          </w:tblCellMar>
        </w:tblPrEx>
        <w:trPr>
          <w:trHeight w:val="52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1.3.2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合同履行期限</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lang w:val="en-US" w:eastAsia="zh-CN"/>
              </w:rPr>
              <w:t>签订合同后60日历天</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1.3.4</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供应商资格条件</w:t>
            </w:r>
          </w:p>
        </w:tc>
        <w:tc>
          <w:tcPr>
            <w:tcW w:w="6754" w:type="dxa"/>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color w:val="auto"/>
                <w:szCs w:val="21"/>
                <w:highlight w:val="none"/>
              </w:rPr>
            </w:pPr>
            <w:r>
              <w:rPr>
                <w:rFonts w:hint="eastAsia" w:ascii="宋体" w:hAnsi="宋体" w:cs="宋体"/>
                <w:color w:val="auto"/>
                <w:szCs w:val="21"/>
                <w:highlight w:val="none"/>
              </w:rPr>
              <w:t>1.满足《中华人民共和国政府采购法》第二十二条规定：</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1.1具有独立承担民事责任的能力；</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1.2具有良好的商业信誉和健全的财务会计制度；</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1.3具有履行合同所必需的设备和专业技术能力；</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1.4有依法缴纳税收和社会保障资金的良好记录；</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1.5参加政府采购活动前三年内，在经营活动中没有重大违法记录；</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1.6法律、行政法规规定的其他条件；</w:t>
            </w:r>
          </w:p>
          <w:p>
            <w:pPr>
              <w:pStyle w:val="8"/>
              <w:spacing w:before="20" w:after="20" w:line="240" w:lineRule="auto"/>
              <w:ind w:firstLine="422" w:firstLineChars="200"/>
              <w:rPr>
                <w:color w:val="auto"/>
                <w:highlight w:val="none"/>
              </w:rPr>
            </w:pPr>
            <w:r>
              <w:rPr>
                <w:rFonts w:hint="eastAsia" w:ascii="Times New Roman" w:hAnsi="Times New Roman"/>
                <w:color w:val="auto"/>
                <w:sz w:val="21"/>
                <w:szCs w:val="21"/>
                <w:highlight w:val="none"/>
              </w:rPr>
              <w:t>备注：供应商在投标（响应）时，按照规定提供相关信用承诺函，无需再提交1</w:t>
            </w:r>
            <w:r>
              <w:rPr>
                <w:rFonts w:ascii="Times New Roman" w:hAnsi="Times New Roman"/>
                <w:color w:val="auto"/>
                <w:sz w:val="21"/>
                <w:szCs w:val="21"/>
                <w:highlight w:val="none"/>
              </w:rPr>
              <w:t>.1-1.5</w:t>
            </w:r>
            <w:r>
              <w:rPr>
                <w:rFonts w:hint="eastAsia" w:ascii="Times New Roman" w:hAnsi="Times New Roman"/>
                <w:color w:val="auto"/>
                <w:sz w:val="21"/>
                <w:szCs w:val="21"/>
                <w:highlight w:val="none"/>
              </w:rPr>
              <w:t>证明材料。</w:t>
            </w:r>
          </w:p>
          <w:p>
            <w:pPr>
              <w:numPr>
                <w:ilvl w:val="0"/>
                <w:numId w:val="0"/>
              </w:numPr>
              <w:spacing w:line="440" w:lineRule="exact"/>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落实政府采购政策需满足的资格要求：</w:t>
            </w:r>
            <w:r>
              <w:rPr>
                <w:rFonts w:hint="eastAsia" w:ascii="宋体" w:hAnsi="宋体" w:cs="宋体"/>
                <w:color w:val="auto"/>
                <w:szCs w:val="21"/>
                <w:highlight w:val="none"/>
                <w:lang w:eastAsia="zh-CN"/>
              </w:rPr>
              <w:t>本项目专门面向中小企业采购，供应商应为中小微企业、监狱企业、残疾人福利性单位。</w:t>
            </w:r>
          </w:p>
          <w:p>
            <w:pPr>
              <w:numPr>
                <w:ilvl w:val="0"/>
                <w:numId w:val="0"/>
              </w:numPr>
              <w:spacing w:line="440" w:lineRule="exact"/>
              <w:rPr>
                <w:rFonts w:ascii="宋体" w:hAnsi="宋体" w:cs="宋体"/>
                <w:color w:val="auto"/>
                <w:szCs w:val="21"/>
                <w:highlight w:val="none"/>
              </w:rPr>
            </w:pPr>
            <w:r>
              <w:rPr>
                <w:rFonts w:hint="eastAsia" w:ascii="宋体" w:hAnsi="宋体" w:cs="宋体"/>
                <w:color w:val="auto"/>
                <w:szCs w:val="21"/>
                <w:highlight w:val="none"/>
              </w:rPr>
              <w:t>3.本项目资格要求：</w:t>
            </w:r>
          </w:p>
          <w:p>
            <w:pPr>
              <w:numPr>
                <w:ilvl w:val="0"/>
                <w:numId w:val="0"/>
              </w:numPr>
              <w:spacing w:line="440" w:lineRule="exact"/>
              <w:ind w:firstLine="210" w:firstLineChars="100"/>
              <w:rPr>
                <w:rFonts w:hint="eastAsia" w:ascii="宋体" w:hAnsi="宋体" w:cs="宋体"/>
                <w:color w:val="auto"/>
                <w:szCs w:val="21"/>
                <w:highlight w:val="none"/>
                <w:lang w:eastAsia="zh-CN"/>
              </w:rPr>
            </w:pPr>
            <w:r>
              <w:rPr>
                <w:rFonts w:hint="eastAsia" w:ascii="宋体" w:hAnsi="宋体" w:cs="宋体"/>
                <w:color w:val="auto"/>
                <w:szCs w:val="21"/>
                <w:highlight w:val="none"/>
              </w:rPr>
              <w:t>3.1</w:t>
            </w:r>
            <w:r>
              <w:rPr>
                <w:rFonts w:hint="eastAsia" w:ascii="宋体" w:hAnsi="宋体" w:cs="宋体"/>
                <w:color w:val="auto"/>
                <w:szCs w:val="21"/>
                <w:highlight w:val="none"/>
                <w:lang w:eastAsia="zh-CN"/>
              </w:rPr>
              <w:t>供应商应具有有效的营业执照等；并在人员、设备、资金等方面具有相应的能力；</w:t>
            </w:r>
          </w:p>
          <w:p>
            <w:pPr>
              <w:spacing w:line="440" w:lineRule="exact"/>
              <w:ind w:firstLine="210" w:firstLineChars="100"/>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根据《关于在政府采购活动中查询及使用信用记录有关问题的通知》(财库[2016]125号)的规定，</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通过“信用中国”网（www.creditchina.gov.cn）、中国政府采购网（www.ccgp.gov.cn）等渠道在资格审查环节查询投标人信用记录，被列入失信被执行人、</w:t>
            </w:r>
            <w:r>
              <w:rPr>
                <w:rFonts w:hint="eastAsia" w:ascii="宋体" w:hAnsi="宋体" w:cs="宋体"/>
                <w:color w:val="auto"/>
                <w:szCs w:val="21"/>
                <w:highlight w:val="none"/>
                <w:lang w:eastAsia="zh-CN"/>
              </w:rPr>
              <w:t>重大税收违法失信主体</w:t>
            </w:r>
            <w:r>
              <w:rPr>
                <w:rFonts w:hint="eastAsia" w:ascii="宋体" w:hAnsi="宋体" w:cs="宋体"/>
                <w:color w:val="auto"/>
                <w:szCs w:val="21"/>
                <w:highlight w:val="none"/>
              </w:rPr>
              <w:t>、政府采购严重违法失信行为记录名单的单位将被拒绝参与本项目政府采购活动；信用信息查询记录和证据将同采购文件等资料一同归档保存。（</w:t>
            </w:r>
            <w:r>
              <w:rPr>
                <w:rFonts w:hint="eastAsia" w:ascii="宋体" w:hAnsi="宋体" w:cs="宋体"/>
                <w:szCs w:val="21"/>
                <w:lang w:eastAsia="zh-CN"/>
              </w:rPr>
              <w:t>供应商</w:t>
            </w:r>
            <w:r>
              <w:rPr>
                <w:rFonts w:hint="eastAsia" w:ascii="宋体" w:hAnsi="宋体" w:cs="宋体"/>
                <w:szCs w:val="21"/>
              </w:rPr>
              <w:t>需提供网站查询截图，加盖企业公章</w:t>
            </w:r>
            <w:r>
              <w:rPr>
                <w:rFonts w:hint="eastAsia" w:ascii="宋体" w:hAnsi="宋体" w:cs="宋体"/>
                <w:szCs w:val="21"/>
                <w:lang w:eastAsia="zh-CN"/>
              </w:rPr>
              <w:t>，</w:t>
            </w:r>
            <w:r>
              <w:rPr>
                <w:rFonts w:hint="eastAsia" w:ascii="宋体" w:hAnsi="宋体" w:cs="宋体"/>
                <w:color w:val="auto"/>
                <w:szCs w:val="21"/>
                <w:highlight w:val="none"/>
              </w:rPr>
              <w:t>网站查询时间为磋商公告发布之后）；</w:t>
            </w:r>
          </w:p>
          <w:p>
            <w:pPr>
              <w:spacing w:line="440" w:lineRule="exact"/>
              <w:ind w:firstLine="210" w:firstLineChars="10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3</w:t>
            </w:r>
            <w:r>
              <w:rPr>
                <w:rFonts w:hint="eastAsia" w:ascii="宋体" w:hAnsi="宋体" w:cs="宋体"/>
                <w:szCs w:val="21"/>
                <w:lang w:eastAsia="zh-CN"/>
              </w:rPr>
              <w:t>供应商</w:t>
            </w:r>
            <w:r>
              <w:rPr>
                <w:rFonts w:hint="eastAsia" w:ascii="宋体" w:hAnsi="宋体" w:cs="宋体"/>
                <w:szCs w:val="21"/>
              </w:rPr>
              <w:t>必须提供无行贿犯罪记录承诺书(并出具由“中国裁判文书网”网站查询近三年来法人、法定代表人（负责人）、法定代表人（负责人）委托人无行贿犯罪记录网页截图加盖企业公章证明)；若有行贿犯罪记录则取消其投标资格</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 xml:space="preserve"> </w:t>
            </w:r>
          </w:p>
          <w:p>
            <w:pPr>
              <w:spacing w:line="44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必须提供投标承诺函。</w:t>
            </w:r>
          </w:p>
          <w:p>
            <w:pPr>
              <w:spacing w:line="440" w:lineRule="exact"/>
              <w:ind w:firstLine="210" w:firstLineChars="1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3.5投标单位必须提供中小企业声明函。</w:t>
            </w:r>
          </w:p>
          <w:p>
            <w:pPr>
              <w:spacing w:line="440" w:lineRule="exact"/>
              <w:ind w:firstLine="210" w:firstLineChars="1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3.6本项目不接受联合体投标。</w:t>
            </w:r>
          </w:p>
          <w:p>
            <w:pPr>
              <w:spacing w:line="400" w:lineRule="exact"/>
              <w:jc w:val="left"/>
              <w:rPr>
                <w:rFonts w:ascii="宋体" w:hAnsi="宋体" w:cs="宋体"/>
                <w:color w:val="auto"/>
                <w:szCs w:val="21"/>
                <w:highlight w:val="none"/>
              </w:rPr>
            </w:pPr>
            <w:r>
              <w:rPr>
                <w:rFonts w:hint="eastAsia" w:asciiTheme="minorEastAsia" w:hAnsiTheme="minorEastAsia" w:eastAsiaTheme="minorEastAsia" w:cstheme="minorEastAsia"/>
                <w:b/>
                <w:color w:val="auto"/>
                <w:szCs w:val="21"/>
                <w:highlight w:val="none"/>
              </w:rPr>
              <w:t>备注：</w:t>
            </w:r>
            <w:r>
              <w:rPr>
                <w:rFonts w:hint="eastAsia" w:asciiTheme="minorEastAsia" w:hAnsiTheme="minorEastAsia" w:eastAsiaTheme="minorEastAsia" w:cstheme="minorEastAsia"/>
                <w:b/>
                <w:bCs/>
                <w:color w:val="auto"/>
                <w:szCs w:val="21"/>
                <w:highlight w:val="none"/>
              </w:rPr>
              <w:t>由于本项目为不见面开标，</w:t>
            </w:r>
            <w:r>
              <w:rPr>
                <w:rFonts w:hint="eastAsia" w:asciiTheme="minorEastAsia" w:hAnsiTheme="minorEastAsia" w:eastAsiaTheme="minorEastAsia" w:cstheme="minorEastAsia"/>
                <w:b/>
                <w:bCs/>
                <w:color w:val="auto"/>
                <w:szCs w:val="21"/>
                <w:highlight w:val="none"/>
                <w:lang w:eastAsia="zh-CN"/>
              </w:rPr>
              <w:t>供应商</w:t>
            </w:r>
            <w:r>
              <w:rPr>
                <w:rFonts w:hint="eastAsia" w:asciiTheme="minorEastAsia" w:hAnsiTheme="minorEastAsia" w:eastAsiaTheme="minorEastAsia" w:cstheme="minorEastAsia"/>
                <w:b/>
                <w:bCs/>
                <w:color w:val="auto"/>
                <w:szCs w:val="21"/>
                <w:highlight w:val="none"/>
              </w:rPr>
              <w:t>无需到开标现场参与投标签到，无需递交任何纸质资料或证明，无需交纳原件（</w:t>
            </w:r>
            <w:r>
              <w:rPr>
                <w:rFonts w:hint="eastAsia" w:asciiTheme="minorEastAsia" w:hAnsiTheme="minorEastAsia" w:eastAsiaTheme="minorEastAsia" w:cstheme="minorEastAsia"/>
                <w:b/>
                <w:bCs/>
                <w:color w:val="auto"/>
                <w:szCs w:val="21"/>
                <w:highlight w:val="none"/>
                <w:lang w:eastAsia="zh-CN"/>
              </w:rPr>
              <w:t>响应</w:t>
            </w:r>
            <w:r>
              <w:rPr>
                <w:rFonts w:hint="eastAsia" w:asciiTheme="minorEastAsia" w:hAnsiTheme="minorEastAsia" w:eastAsiaTheme="minorEastAsia" w:cstheme="minorEastAsia"/>
                <w:b/>
                <w:bCs/>
                <w:color w:val="auto"/>
                <w:szCs w:val="21"/>
                <w:highlight w:val="none"/>
              </w:rPr>
              <w:t>文件中应附清晰的复印件或扫描件，由于模糊不清导致评标委员会无法辨别的，后果由</w:t>
            </w:r>
            <w:r>
              <w:rPr>
                <w:rFonts w:hint="eastAsia" w:asciiTheme="minorEastAsia" w:hAnsiTheme="minorEastAsia" w:eastAsiaTheme="minorEastAsia" w:cstheme="minorEastAsia"/>
                <w:b/>
                <w:bCs/>
                <w:color w:val="auto"/>
                <w:szCs w:val="21"/>
                <w:highlight w:val="none"/>
                <w:lang w:eastAsia="zh-CN"/>
              </w:rPr>
              <w:t>供应商</w:t>
            </w:r>
            <w:r>
              <w:rPr>
                <w:rFonts w:hint="eastAsia" w:asciiTheme="minorEastAsia" w:hAnsiTheme="minorEastAsia" w:eastAsiaTheme="minorEastAsia" w:cstheme="minorEastAsia"/>
                <w:b/>
                <w:bCs/>
                <w:color w:val="auto"/>
                <w:szCs w:val="21"/>
                <w:highlight w:val="none"/>
              </w:rPr>
              <w:t>自行承担）。</w:t>
            </w:r>
          </w:p>
        </w:tc>
      </w:tr>
      <w:tr>
        <w:tblPrEx>
          <w:tblCellMar>
            <w:top w:w="0" w:type="dxa"/>
            <w:left w:w="108" w:type="dxa"/>
            <w:bottom w:w="0" w:type="dxa"/>
            <w:right w:w="108" w:type="dxa"/>
          </w:tblCellMar>
        </w:tblPrEx>
        <w:trPr>
          <w:trHeight w:val="74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1.7.2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采购人书面澄清的时间</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递交响应文件截止之日</w:t>
            </w:r>
            <w:r>
              <w:rPr>
                <w:rFonts w:hint="eastAsia" w:ascii="宋体" w:hAnsi="宋体" w:cs="宋体"/>
                <w:color w:val="auto"/>
                <w:szCs w:val="21"/>
                <w:highlight w:val="none"/>
                <w:u w:val="single"/>
              </w:rPr>
              <w:t>5</w:t>
            </w:r>
            <w:r>
              <w:rPr>
                <w:rFonts w:hint="eastAsia" w:ascii="宋体" w:hAnsi="宋体" w:cs="宋体"/>
                <w:color w:val="auto"/>
                <w:szCs w:val="21"/>
                <w:highlight w:val="none"/>
              </w:rPr>
              <w:t>天前</w:t>
            </w:r>
          </w:p>
        </w:tc>
      </w:tr>
      <w:tr>
        <w:tblPrEx>
          <w:tblCellMar>
            <w:top w:w="0" w:type="dxa"/>
            <w:left w:w="108" w:type="dxa"/>
            <w:bottom w:w="0" w:type="dxa"/>
            <w:right w:w="108" w:type="dxa"/>
          </w:tblCellMar>
        </w:tblPrEx>
        <w:trPr>
          <w:trHeight w:val="1035"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投标文件截止时间及地点</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宋体" w:hAnsi="宋体" w:cs="宋体"/>
                <w:color w:val="auto"/>
                <w:szCs w:val="21"/>
                <w:highlight w:val="none"/>
              </w:rPr>
              <w:t>北京时间：</w:t>
            </w:r>
            <w:r>
              <w:rPr>
                <w:rFonts w:hint="eastAsia" w:ascii="宋体" w:hAnsi="宋体" w:cs="宋体"/>
                <w:b/>
                <w:bCs/>
                <w:color w:val="auto"/>
                <w:szCs w:val="21"/>
                <w:highlight w:val="none"/>
                <w:u w:val="single"/>
                <w:lang w:val="en-US" w:eastAsia="zh-CN"/>
              </w:rPr>
              <w:t xml:space="preserve"> 2023 </w:t>
            </w:r>
            <w:r>
              <w:rPr>
                <w:rFonts w:hint="eastAsia" w:ascii="宋体" w:hAnsi="宋体" w:cs="宋体"/>
                <w:b/>
                <w:bCs/>
                <w:color w:val="auto"/>
                <w:szCs w:val="21"/>
                <w:highlight w:val="none"/>
                <w:u w:val="single"/>
              </w:rPr>
              <w:t>年</w:t>
            </w:r>
            <w:r>
              <w:rPr>
                <w:rFonts w:hint="eastAsia" w:ascii="宋体" w:hAnsi="宋体" w:cs="宋体"/>
                <w:b/>
                <w:bCs/>
                <w:color w:val="auto"/>
                <w:szCs w:val="21"/>
                <w:highlight w:val="none"/>
                <w:u w:val="single"/>
                <w:lang w:val="en-US" w:eastAsia="zh-CN"/>
              </w:rPr>
              <w:t xml:space="preserve"> 8</w:t>
            </w:r>
            <w:r>
              <w:rPr>
                <w:rFonts w:hint="eastAsia" w:ascii="宋体" w:hAnsi="宋体" w:cs="宋体"/>
                <w:b/>
                <w:bCs/>
                <w:color w:val="auto"/>
                <w:szCs w:val="21"/>
                <w:highlight w:val="none"/>
                <w:u w:val="single"/>
              </w:rPr>
              <w:t>月</w:t>
            </w:r>
            <w:r>
              <w:rPr>
                <w:rFonts w:hint="eastAsia" w:ascii="宋体" w:hAnsi="宋体" w:cs="宋体"/>
                <w:b/>
                <w:bCs/>
                <w:color w:val="auto"/>
                <w:szCs w:val="21"/>
                <w:highlight w:val="none"/>
                <w:u w:val="single"/>
                <w:lang w:val="en-US" w:eastAsia="zh-CN"/>
              </w:rPr>
              <w:t xml:space="preserve"> 25 </w:t>
            </w:r>
            <w:r>
              <w:rPr>
                <w:rFonts w:hint="eastAsia" w:ascii="宋体" w:hAnsi="宋体" w:cs="宋体"/>
                <w:b/>
                <w:bCs/>
                <w:color w:val="auto"/>
                <w:szCs w:val="21"/>
                <w:highlight w:val="none"/>
                <w:u w:val="single"/>
              </w:rPr>
              <w:t xml:space="preserve">日 </w:t>
            </w:r>
            <w:r>
              <w:rPr>
                <w:rFonts w:hint="eastAsia" w:ascii="宋体" w:hAnsi="宋体" w:cs="宋体"/>
                <w:b/>
                <w:bCs/>
                <w:color w:val="auto"/>
                <w:szCs w:val="21"/>
                <w:highlight w:val="none"/>
                <w:u w:val="single"/>
                <w:lang w:val="en-US" w:eastAsia="zh-CN"/>
              </w:rPr>
              <w:t xml:space="preserve"> 9</w:t>
            </w:r>
            <w:r>
              <w:rPr>
                <w:rFonts w:hint="eastAsia" w:ascii="宋体" w:hAnsi="宋体" w:cs="宋体"/>
                <w:b/>
                <w:bCs/>
                <w:color w:val="auto"/>
                <w:szCs w:val="21"/>
                <w:highlight w:val="none"/>
                <w:u w:val="single"/>
              </w:rPr>
              <w:t xml:space="preserve"> 时</w:t>
            </w:r>
            <w:r>
              <w:rPr>
                <w:rFonts w:hint="eastAsia" w:ascii="宋体" w:hAnsi="宋体" w:cs="宋体"/>
                <w:b/>
                <w:bCs/>
                <w:color w:val="auto"/>
                <w:szCs w:val="21"/>
                <w:highlight w:val="none"/>
                <w:u w:val="single"/>
                <w:lang w:val="en-US" w:eastAsia="zh-CN"/>
              </w:rPr>
              <w:t xml:space="preserve"> 00 </w:t>
            </w:r>
            <w:r>
              <w:rPr>
                <w:rFonts w:hint="eastAsia" w:ascii="宋体" w:hAnsi="宋体" w:cs="宋体"/>
                <w:b/>
                <w:bCs/>
                <w:color w:val="auto"/>
                <w:szCs w:val="21"/>
                <w:highlight w:val="none"/>
                <w:u w:val="single"/>
              </w:rPr>
              <w:t>分</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地点：温县公共资源交易中心开标厅（详见当天公示牌）</w:t>
            </w:r>
          </w:p>
        </w:tc>
      </w:tr>
      <w:tr>
        <w:tblPrEx>
          <w:tblCellMar>
            <w:top w:w="0" w:type="dxa"/>
            <w:left w:w="108" w:type="dxa"/>
            <w:bottom w:w="0" w:type="dxa"/>
            <w:right w:w="108" w:type="dxa"/>
          </w:tblCellMar>
        </w:tblPrEx>
        <w:trPr>
          <w:trHeight w:val="74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3.4.1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磋商有效期</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响应文件递交截止日起60日历天</w:t>
            </w:r>
          </w:p>
        </w:tc>
      </w:tr>
      <w:tr>
        <w:tblPrEx>
          <w:tblCellMar>
            <w:top w:w="0" w:type="dxa"/>
            <w:left w:w="108" w:type="dxa"/>
            <w:bottom w:w="0" w:type="dxa"/>
            <w:right w:w="108" w:type="dxa"/>
          </w:tblCellMar>
        </w:tblPrEx>
        <w:trPr>
          <w:trHeight w:val="645"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3.5.1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磋商保证金</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无</w:t>
            </w:r>
          </w:p>
        </w:tc>
      </w:tr>
      <w:tr>
        <w:tblPrEx>
          <w:tblCellMar>
            <w:top w:w="0" w:type="dxa"/>
            <w:left w:w="108" w:type="dxa"/>
            <w:bottom w:w="0" w:type="dxa"/>
            <w:right w:w="108" w:type="dxa"/>
          </w:tblCellMar>
        </w:tblPrEx>
        <w:trPr>
          <w:trHeight w:val="240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3.7.4</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响应文件份数</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加密的电子</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文件壹份（.jztf 格式在会员系统指定位置上传）；自备非加密的电子</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文件一份，如有紧急情况，在不见面开标按要求上传。注：本项目投标时不需要提供纸质</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文件。中标单位在确定中标后，领取中标通知书时需提供柒份使用CA系统打印出来的完整的</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文件交</w:t>
            </w:r>
            <w:r>
              <w:rPr>
                <w:rFonts w:hint="eastAsia" w:asciiTheme="minorEastAsia" w:hAnsiTheme="minorEastAsia" w:eastAsiaTheme="minorEastAsia" w:cstheme="minorEastAsia"/>
                <w:color w:val="auto"/>
                <w:szCs w:val="21"/>
                <w:highlight w:val="none"/>
                <w:lang w:eastAsia="zh-CN"/>
              </w:rPr>
              <w:t>采购</w:t>
            </w:r>
            <w:r>
              <w:rPr>
                <w:rFonts w:hint="eastAsia" w:asciiTheme="minorEastAsia" w:hAnsiTheme="minorEastAsia" w:eastAsiaTheme="minorEastAsia" w:cstheme="minorEastAsia"/>
                <w:color w:val="auto"/>
                <w:szCs w:val="21"/>
                <w:highlight w:val="none"/>
              </w:rPr>
              <w:t>人或</w:t>
            </w:r>
            <w:r>
              <w:rPr>
                <w:rFonts w:hint="eastAsia" w:asciiTheme="minorEastAsia" w:hAnsiTheme="minorEastAsia" w:eastAsiaTheme="minorEastAsia" w:cstheme="minorEastAsia"/>
                <w:color w:val="auto"/>
                <w:szCs w:val="21"/>
                <w:highlight w:val="none"/>
                <w:lang w:eastAsia="zh-CN"/>
              </w:rPr>
              <w:t>采购</w:t>
            </w:r>
            <w:r>
              <w:rPr>
                <w:rFonts w:hint="eastAsia" w:asciiTheme="minorEastAsia" w:hAnsiTheme="minorEastAsia" w:eastAsiaTheme="minorEastAsia" w:cstheme="minorEastAsia"/>
                <w:color w:val="auto"/>
                <w:szCs w:val="21"/>
                <w:highlight w:val="none"/>
              </w:rPr>
              <w:t>代理（其中，正本壹份，副本陆份）及不加密格式电子文件一份。</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3.1.0</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踏勘现场</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不组织，自行踏勘。</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宋体" w:hAnsi="宋体" w:cs="宋体"/>
                <w:color w:val="auto"/>
                <w:szCs w:val="21"/>
                <w:highlight w:val="none"/>
              </w:rPr>
              <w:t>4.1.1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签字或盖章要求</w:t>
            </w:r>
          </w:p>
        </w:tc>
        <w:tc>
          <w:tcPr>
            <w:tcW w:w="67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（1）所有要求</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加盖公章的地方都须加盖</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的CA印章。</w:t>
            </w:r>
          </w:p>
          <w:p>
            <w:pPr>
              <w:keepNext w:val="0"/>
              <w:keepLines w:val="0"/>
              <w:pageBreakBefore w:val="0"/>
              <w:kinsoku/>
              <w:wordWrap/>
              <w:overflowPunct/>
              <w:topLinePunct w:val="0"/>
              <w:autoSpaceDE/>
              <w:autoSpaceDN/>
              <w:bidi w:val="0"/>
              <w:adjustRightInd/>
              <w:snapToGrid/>
              <w:spacing w:line="360" w:lineRule="exact"/>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（2）所有要求法定代表人签字的地方都须加盖法定代表人CA印章</w:t>
            </w:r>
            <w:r>
              <w:rPr>
                <w:rFonts w:hint="eastAsia" w:asciiTheme="minorEastAsia" w:hAnsiTheme="minorEastAsia" w:eastAsiaTheme="minorEastAsia" w:cstheme="minorEastAsia"/>
                <w:color w:val="auto"/>
                <w:szCs w:val="21"/>
                <w:highlight w:val="none"/>
                <w:lang w:eastAsia="zh-CN"/>
              </w:rPr>
              <w:t>或</w:t>
            </w:r>
            <w:r>
              <w:rPr>
                <w:rFonts w:hint="eastAsia" w:asciiTheme="minorEastAsia" w:hAnsiTheme="minorEastAsia" w:eastAsiaTheme="minorEastAsia" w:cstheme="minorEastAsia"/>
                <w:color w:val="auto"/>
                <w:szCs w:val="21"/>
                <w:highlight w:val="none"/>
                <w:lang w:val="en-US" w:eastAsia="zh-CN"/>
              </w:rPr>
              <w:t>CA签字</w:t>
            </w:r>
            <w:r>
              <w:rPr>
                <w:rFonts w:hint="eastAsia" w:asciiTheme="minorEastAsia" w:hAnsiTheme="minorEastAsia" w:eastAsiaTheme="minorEastAsia" w:cstheme="minorEastAsia"/>
                <w:color w:val="auto"/>
                <w:szCs w:val="21"/>
                <w:highlight w:val="none"/>
              </w:rPr>
              <w:t>。</w:t>
            </w:r>
          </w:p>
          <w:p>
            <w:pPr>
              <w:spacing w:line="400" w:lineRule="exact"/>
              <w:jc w:val="left"/>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（3）所有要求其委托代理人签字的地方可以用授权委托人手写签字的扫描件。</w:t>
            </w:r>
          </w:p>
        </w:tc>
      </w:tr>
      <w:tr>
        <w:tblPrEx>
          <w:tblCellMar>
            <w:top w:w="0" w:type="dxa"/>
            <w:left w:w="108" w:type="dxa"/>
            <w:bottom w:w="0" w:type="dxa"/>
            <w:right w:w="108" w:type="dxa"/>
          </w:tblCellMar>
        </w:tblPrEx>
        <w:trPr>
          <w:trHeight w:val="249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宋体" w:hAnsi="宋体" w:cs="宋体"/>
                <w:color w:val="auto"/>
                <w:szCs w:val="21"/>
                <w:highlight w:val="none"/>
              </w:rPr>
              <w:t>4.2.2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响应文件</w:t>
            </w:r>
            <w:r>
              <w:rPr>
                <w:rFonts w:hint="eastAsia" w:ascii="宋体" w:hAnsi="宋体" w:cs="宋体"/>
                <w:color w:val="auto"/>
                <w:szCs w:val="21"/>
                <w:highlight w:val="none"/>
                <w:lang w:eastAsia="zh-CN"/>
              </w:rPr>
              <w:t>的</w:t>
            </w:r>
            <w:r>
              <w:rPr>
                <w:rFonts w:hint="eastAsia" w:ascii="宋体" w:hAnsi="宋体" w:cs="宋体"/>
                <w:color w:val="auto"/>
                <w:szCs w:val="21"/>
                <w:highlight w:val="none"/>
              </w:rPr>
              <w:t>递交</w:t>
            </w:r>
          </w:p>
        </w:tc>
        <w:tc>
          <w:tcPr>
            <w:tcW w:w="675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（1）各</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应在投标截至时间前上传加密的电子</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文件（.jztf 格式）到会员系统的指定位置。上传时必须得到电脑“上传成功”的确认回复。请</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在上传时认真检查上传</w:t>
            </w:r>
            <w:r>
              <w:rPr>
                <w:rFonts w:hint="eastAsia" w:asciiTheme="minorEastAsia" w:hAnsiTheme="minorEastAsia" w:eastAsiaTheme="minorEastAsia" w:cstheme="minorEastAsia"/>
                <w:color w:val="auto"/>
                <w:szCs w:val="21"/>
                <w:highlight w:val="none"/>
                <w:lang w:eastAsia="zh-CN"/>
              </w:rPr>
              <w:t>响应</w:t>
            </w:r>
            <w:r>
              <w:rPr>
                <w:rFonts w:hint="eastAsia" w:asciiTheme="minorEastAsia" w:hAnsiTheme="minorEastAsia" w:eastAsiaTheme="minorEastAsia" w:cstheme="minorEastAsia"/>
                <w:color w:val="auto"/>
                <w:szCs w:val="21"/>
                <w:highlight w:val="none"/>
              </w:rPr>
              <w:t>文件是否完整、正确。</w:t>
            </w:r>
          </w:p>
          <w:p>
            <w:pPr>
              <w:spacing w:line="400" w:lineRule="exact"/>
              <w:jc w:val="left"/>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（2）如系统故障需上传非加密文件时，</w:t>
            </w:r>
            <w:r>
              <w:rPr>
                <w:rFonts w:hint="eastAsia" w:asciiTheme="minorEastAsia" w:hAnsiTheme="minorEastAsia" w:eastAsiaTheme="minorEastAsia" w:cstheme="minorEastAsia"/>
                <w:color w:val="auto"/>
                <w:szCs w:val="21"/>
                <w:highlight w:val="none"/>
                <w:lang w:eastAsia="zh-CN"/>
              </w:rPr>
              <w:t>供应商</w:t>
            </w:r>
            <w:r>
              <w:rPr>
                <w:rFonts w:hint="eastAsia" w:asciiTheme="minorEastAsia" w:hAnsiTheme="minorEastAsia" w:eastAsiaTheme="minorEastAsia" w:cstheme="minorEastAsia"/>
                <w:color w:val="auto"/>
                <w:szCs w:val="21"/>
                <w:highlight w:val="none"/>
              </w:rPr>
              <w:t>应按照</w:t>
            </w:r>
            <w:r>
              <w:rPr>
                <w:rFonts w:hint="eastAsia" w:asciiTheme="minorEastAsia" w:hAnsiTheme="minorEastAsia" w:eastAsiaTheme="minorEastAsia" w:cstheme="minorEastAsia"/>
                <w:color w:val="auto"/>
                <w:szCs w:val="21"/>
                <w:highlight w:val="none"/>
                <w:lang w:eastAsia="zh-CN"/>
              </w:rPr>
              <w:t>采购</w:t>
            </w:r>
            <w:r>
              <w:rPr>
                <w:rFonts w:hint="eastAsia" w:asciiTheme="minorEastAsia" w:hAnsiTheme="minorEastAsia" w:eastAsiaTheme="minorEastAsia" w:cstheme="minorEastAsia"/>
                <w:color w:val="auto"/>
                <w:szCs w:val="21"/>
                <w:highlight w:val="none"/>
              </w:rPr>
              <w:t>人指示将非加密文件递交给</w:t>
            </w:r>
            <w:r>
              <w:rPr>
                <w:rFonts w:hint="eastAsia" w:asciiTheme="minorEastAsia" w:hAnsiTheme="minorEastAsia" w:eastAsiaTheme="minorEastAsia" w:cstheme="minorEastAsia"/>
                <w:color w:val="auto"/>
                <w:szCs w:val="21"/>
                <w:highlight w:val="none"/>
                <w:lang w:eastAsia="zh-CN"/>
              </w:rPr>
              <w:t>采购</w:t>
            </w:r>
            <w:r>
              <w:rPr>
                <w:rFonts w:hint="eastAsia" w:asciiTheme="minorEastAsia" w:hAnsiTheme="minorEastAsia" w:eastAsiaTheme="minorEastAsia" w:cstheme="minorEastAsia"/>
                <w:color w:val="auto"/>
                <w:szCs w:val="21"/>
                <w:highlight w:val="none"/>
              </w:rPr>
              <w:t>人。</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5.1.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递交</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文件方式和地点</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1、加密的电子投标文件壹份（*.jztf 格式，在会员系统指定位置上传）</w:t>
            </w:r>
          </w:p>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2、本项目采用“远程不见面”的开标方式,远程开标大厅网址（http://122.112.246.33/BidOpening/bidopeninghallaction/hall/login ）。特别提醒：本项目采用远程不见面开标和全程电子评标方式，潜在投标人可提前在焦作市交易中心官网首页---下载中心--下载</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"http://www.jzggzy.cn/TPFront/InfoDetail/Default.aspx?InfoID=b5d977f8-bf6f-4349-9275-63a47a0979b9&amp;CategoryNum=069006002"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《焦作市电子招投标系统操作手册》</w:t>
            </w:r>
            <w:r>
              <w:rPr>
                <w:rFonts w:hint="eastAsia" w:ascii="宋体" w:hAnsi="宋体" w:cs="宋体"/>
                <w:color w:val="auto"/>
                <w:szCs w:val="21"/>
                <w:highlight w:val="none"/>
              </w:rPr>
              <w:fldChar w:fldCharType="end"/>
            </w:r>
            <w:r>
              <w:rPr>
                <w:rFonts w:hint="eastAsia" w:ascii="宋体" w:hAnsi="宋体" w:cs="宋体"/>
                <w:color w:val="auto"/>
                <w:szCs w:val="21"/>
                <w:highlight w:val="none"/>
              </w:rPr>
              <w:t>和</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"http://www.jzggzy.cn/TPFront/InfoDetail/Default.aspx?InfoID=a8241ffd-c295-4d39-b832-840e402553df&amp;CategoryNum=069006002"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《焦作市公共资源交易平台不见面开标操作手册》</w:t>
            </w:r>
            <w:r>
              <w:rPr>
                <w:rFonts w:hint="eastAsia" w:ascii="宋体" w:hAnsi="宋体" w:cs="宋体"/>
                <w:color w:val="auto"/>
                <w:szCs w:val="21"/>
                <w:highlight w:val="none"/>
              </w:rPr>
              <w:fldChar w:fldCharType="end"/>
            </w:r>
            <w:r>
              <w:rPr>
                <w:rFonts w:hint="eastAsia" w:ascii="宋体" w:hAnsi="宋体" w:cs="宋体"/>
                <w:color w:val="auto"/>
                <w:szCs w:val="21"/>
                <w:highlight w:val="none"/>
              </w:rPr>
              <w:t>、</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"https://download.bqpoint.com/download/downloaddetail.html?SourceFrom=Ztb&amp;ZtbSoftXiaQuCode=1505&amp;ZtbSoftType=tballinclusive"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《投标文件制作工作工具》</w:t>
            </w:r>
            <w:r>
              <w:rPr>
                <w:rFonts w:hint="eastAsia" w:ascii="宋体" w:hAnsi="宋体" w:cs="宋体"/>
                <w:color w:val="auto"/>
                <w:szCs w:val="21"/>
                <w:highlight w:val="none"/>
              </w:rPr>
              <w:fldChar w:fldCharType="end"/>
            </w:r>
            <w:r>
              <w:rPr>
                <w:rFonts w:hint="eastAsia" w:ascii="宋体" w:hAnsi="宋体" w:cs="宋体"/>
                <w:color w:val="auto"/>
                <w:szCs w:val="21"/>
                <w:highlight w:val="none"/>
              </w:rPr>
              <w:t>等，查看操作说明，按要求进行投标文件制作和上传等。为避免网络拥堵等不可控因素影响投标文件的上传，请提前上传投标文件，并在开标截止时间前登录不见面开标大厅进行签到，逾期或未按规定时间进行签到的，投标文件不予受理；并按要求解密投标文件</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bidi="ar"/>
              </w:rPr>
              <w:t>解密时间为</w:t>
            </w:r>
            <w:r>
              <w:rPr>
                <w:rFonts w:hint="eastAsia" w:ascii="宋体" w:hAnsi="宋体" w:cs="宋体"/>
                <w:color w:val="auto"/>
                <w:szCs w:val="21"/>
                <w:highlight w:val="none"/>
                <w:lang w:eastAsia="zh-CN" w:bidi="ar"/>
              </w:rPr>
              <w:t>响应文件提交</w:t>
            </w:r>
            <w:r>
              <w:rPr>
                <w:rFonts w:hint="eastAsia" w:ascii="宋体" w:hAnsi="宋体" w:cs="宋体"/>
                <w:color w:val="auto"/>
                <w:szCs w:val="21"/>
                <w:highlight w:val="none"/>
                <w:lang w:bidi="ar"/>
              </w:rPr>
              <w:t>截止时后30分钟内</w:t>
            </w:r>
            <w:r>
              <w:rPr>
                <w:rFonts w:hint="eastAsia" w:ascii="宋体" w:hAnsi="宋体" w:cs="宋体"/>
                <w:color w:val="auto"/>
                <w:szCs w:val="21"/>
                <w:highlight w:val="none"/>
              </w:rPr>
              <w:t>。因文件未及时上传导致投标失败的责任由投标人自行承担。</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6.1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磋商小组的组建</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由采购人代表1人，技术、经济等专家2人，共3人组成。</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6.3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评标办法</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综合评标法</w:t>
            </w:r>
          </w:p>
        </w:tc>
      </w:tr>
      <w:tr>
        <w:tblPrEx>
          <w:tblCellMar>
            <w:top w:w="0" w:type="dxa"/>
            <w:left w:w="108" w:type="dxa"/>
            <w:bottom w:w="0" w:type="dxa"/>
            <w:right w:w="108" w:type="dxa"/>
          </w:tblCellMar>
        </w:tblPrEx>
        <w:trPr>
          <w:trHeight w:val="126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需要落实的政策</w:t>
            </w:r>
          </w:p>
        </w:tc>
        <w:tc>
          <w:tcPr>
            <w:tcW w:w="6754"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440" w:lineRule="exact"/>
              <w:rPr>
                <w:rFonts w:ascii="宋体" w:hAnsi="宋体" w:cs="宋体"/>
                <w:color w:val="auto"/>
                <w:szCs w:val="21"/>
                <w:highlight w:val="none"/>
              </w:rPr>
            </w:pPr>
            <w:r>
              <w:rPr>
                <w:rFonts w:hint="eastAsia" w:ascii="宋体" w:hAnsi="宋体" w:cs="宋体"/>
                <w:color w:val="auto"/>
                <w:szCs w:val="21"/>
                <w:highlight w:val="none"/>
                <w:lang w:eastAsia="zh-CN"/>
              </w:rPr>
              <w:t>本项目专门面向中小企业采购，供应商应为中小微企业、监狱企业、残疾人福利性单位。</w:t>
            </w:r>
          </w:p>
        </w:tc>
      </w:tr>
      <w:tr>
        <w:tblPrEx>
          <w:tblCellMar>
            <w:top w:w="0" w:type="dxa"/>
            <w:left w:w="108" w:type="dxa"/>
            <w:bottom w:w="0" w:type="dxa"/>
            <w:right w:w="108" w:type="dxa"/>
          </w:tblCellMar>
        </w:tblPrEx>
        <w:trPr>
          <w:trHeight w:val="1278"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Theme="minorEastAsia" w:hAnsiTheme="minorEastAsia" w:eastAsiaTheme="minorEastAsia" w:cstheme="minorEastAsia"/>
                <w:color w:val="auto"/>
                <w:szCs w:val="21"/>
                <w:highlight w:val="none"/>
              </w:rPr>
              <w:t>其他补充内容</w:t>
            </w:r>
          </w:p>
        </w:tc>
        <w:tc>
          <w:tcPr>
            <w:tcW w:w="6754" w:type="dxa"/>
            <w:tcBorders>
              <w:top w:val="single" w:color="auto" w:sz="4" w:space="0"/>
              <w:left w:val="single" w:color="auto" w:sz="4" w:space="0"/>
              <w:bottom w:val="single" w:color="auto" w:sz="4" w:space="0"/>
              <w:right w:val="single" w:color="auto" w:sz="4" w:space="0"/>
            </w:tcBorders>
            <w:vAlign w:val="center"/>
          </w:tcPr>
          <w:p>
            <w:pPr>
              <w:widowControl/>
              <w:numPr>
                <w:ilvl w:val="0"/>
                <w:numId w:val="2"/>
              </w:numPr>
              <w:spacing w:line="440" w:lineRule="exact"/>
              <w:rPr>
                <w:rFonts w:hint="eastAsia" w:ascii="宋体" w:hAnsi="宋体" w:cs="宋体"/>
                <w:color w:val="auto"/>
                <w:szCs w:val="21"/>
                <w:highlight w:val="none"/>
              </w:rPr>
            </w:pPr>
            <w:r>
              <w:rPr>
                <w:rFonts w:hint="eastAsia" w:ascii="宋体" w:hAnsi="宋体" w:cs="宋体"/>
                <w:color w:val="auto"/>
                <w:szCs w:val="21"/>
                <w:highlight w:val="none"/>
              </w:rPr>
              <w:t>本项目招标活动中禁止关联企业同时投标，一经发现按无效标处理；</w:t>
            </w:r>
          </w:p>
          <w:p>
            <w:pPr>
              <w:numPr>
                <w:ilvl w:val="0"/>
                <w:numId w:val="0"/>
              </w:numPr>
              <w:spacing w:line="400" w:lineRule="exact"/>
              <w:jc w:val="left"/>
              <w:rPr>
                <w:color w:val="auto"/>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发现串标、围标行为的供应商，即纳入失信供应商名单，并对依法处理。</w:t>
            </w:r>
          </w:p>
          <w:p>
            <w:pPr>
              <w:rPr>
                <w:color w:val="auto"/>
                <w:highlight w:val="none"/>
              </w:rPr>
            </w:pPr>
          </w:p>
          <w:p>
            <w:pPr>
              <w:pStyle w:val="35"/>
              <w:rPr>
                <w:color w:val="auto"/>
                <w:highlight w:val="none"/>
              </w:rPr>
            </w:pPr>
          </w:p>
        </w:tc>
      </w:tr>
      <w:tr>
        <w:tblPrEx>
          <w:tblCellMar>
            <w:top w:w="0" w:type="dxa"/>
            <w:left w:w="108" w:type="dxa"/>
            <w:bottom w:w="0" w:type="dxa"/>
            <w:right w:w="108" w:type="dxa"/>
          </w:tblCellMar>
        </w:tblPrEx>
        <w:trPr>
          <w:trHeight w:val="843"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履约保证金</w:t>
            </w:r>
          </w:p>
        </w:tc>
        <w:tc>
          <w:tcPr>
            <w:tcW w:w="6754" w:type="dxa"/>
            <w:tcBorders>
              <w:top w:val="single" w:color="auto" w:sz="4" w:space="0"/>
              <w:left w:val="single" w:color="auto" w:sz="4" w:space="0"/>
              <w:bottom w:val="single" w:color="auto" w:sz="4" w:space="0"/>
              <w:right w:val="single" w:color="auto" w:sz="4" w:space="0"/>
            </w:tcBorders>
            <w:vAlign w:val="center"/>
          </w:tcPr>
          <w:p>
            <w:pPr>
              <w:pStyle w:val="35"/>
              <w:rPr>
                <w:rFonts w:hint="eastAsia" w:eastAsia="宋体"/>
                <w:color w:val="auto"/>
                <w:highlight w:val="none"/>
                <w:lang w:eastAsia="zh-CN"/>
              </w:rPr>
            </w:pPr>
            <w:r>
              <w:rPr>
                <w:rFonts w:hint="eastAsia" w:asciiTheme="minorEastAsia" w:hAnsiTheme="minorEastAsia" w:eastAsiaTheme="minorEastAsia" w:cstheme="minorEastAsia"/>
                <w:color w:val="auto"/>
                <w:kern w:val="2"/>
                <w:sz w:val="21"/>
                <w:szCs w:val="21"/>
                <w:highlight w:val="none"/>
                <w:lang w:val="en-US" w:eastAsia="zh-CN" w:bidi="ar-SA"/>
              </w:rPr>
              <w:t>履约保证金免收</w:t>
            </w:r>
          </w:p>
        </w:tc>
      </w:tr>
      <w:tr>
        <w:tblPrEx>
          <w:tblCellMar>
            <w:top w:w="0" w:type="dxa"/>
            <w:left w:w="108" w:type="dxa"/>
            <w:bottom w:w="0" w:type="dxa"/>
            <w:right w:w="108" w:type="dxa"/>
          </w:tblCellMar>
        </w:tblPrEx>
        <w:trPr>
          <w:trHeight w:val="693"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宋体" w:hAnsi="宋体" w:cs="宋体"/>
                <w:b/>
                <w:color w:val="auto"/>
                <w:szCs w:val="21"/>
                <w:highlight w:val="none"/>
              </w:rPr>
              <w:t>需要补充的其他内容</w:t>
            </w:r>
          </w:p>
        </w:tc>
      </w:tr>
      <w:tr>
        <w:tblPrEx>
          <w:tblCellMar>
            <w:top w:w="0" w:type="dxa"/>
            <w:left w:w="108" w:type="dxa"/>
            <w:bottom w:w="0" w:type="dxa"/>
            <w:right w:w="108" w:type="dxa"/>
          </w:tblCellMar>
        </w:tblPrEx>
        <w:trPr>
          <w:trHeight w:val="3168"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1.招标代理服务费的收取标准：</w:t>
            </w:r>
            <w:r>
              <w:rPr>
                <w:rFonts w:hint="eastAsia" w:ascii="宋体" w:hAnsi="宋体" w:cs="宋体"/>
                <w:color w:val="auto"/>
                <w:spacing w:val="6"/>
                <w:szCs w:val="21"/>
              </w:rPr>
              <w:t>中标供应商在领取中标通知书时按照河南省招标投标协会关于印发《河南省招标代理服务收费指导意见》的通知（豫招协【2023】002 号）规定，一次性向代理机构支付代理服务费。</w:t>
            </w:r>
            <w:r>
              <w:rPr>
                <w:rFonts w:hint="eastAsia" w:ascii="宋体" w:hAnsi="宋体" w:eastAsia="宋体" w:cs="宋体"/>
                <w:color w:val="auto"/>
                <w:kern w:val="0"/>
                <w:sz w:val="21"/>
                <w:szCs w:val="21"/>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2.中标（成交）结果公示结束后，政府采购代理机构应立即向中标供应商发放中标（成交）通知书。 </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3.采购人应当在签订采购合同后 1 个工作日内，及时在“河南政府采购网”依法公开政府采购合同信息。 </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4.采购人或采购代理机构应当通过“信用中国”网站、“中国裁判文书网”或各级信用信息共享平台查询相关投标人是否被列入失信被执行人、是否有行贿犯罪记录。”投标人如记录为失信被执行人、有行贿犯罪记录的将被取消其评标资格、中标资格）。信用信息查询记录和证据将同招标文件等资料一同归档保存。</w:t>
            </w:r>
          </w:p>
          <w:p>
            <w:pPr>
              <w:spacing w:line="440" w:lineRule="exact"/>
              <w:rPr>
                <w:rFonts w:hint="eastAsia" w:asciiTheme="minorEastAsia" w:hAnsiTheme="minorEastAsia" w:eastAsiaTheme="minorEastAsia" w:cstheme="minorEastAsia"/>
                <w:color w:val="auto"/>
                <w:kern w:val="2"/>
                <w:sz w:val="21"/>
                <w:szCs w:val="21"/>
                <w:highlight w:val="none"/>
                <w:lang w:val="en-US" w:eastAsia="zh-CN" w:bidi="ar-SA"/>
              </w:rPr>
            </w:pPr>
          </w:p>
        </w:tc>
      </w:tr>
      <w:tr>
        <w:tblPrEx>
          <w:tblCellMar>
            <w:top w:w="0" w:type="dxa"/>
            <w:left w:w="108" w:type="dxa"/>
            <w:bottom w:w="0" w:type="dxa"/>
            <w:right w:w="108" w:type="dxa"/>
          </w:tblCellMar>
        </w:tblPrEx>
        <w:trPr>
          <w:trHeight w:val="2091"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ind w:firstLine="420" w:firstLineChars="200"/>
              <w:rPr>
                <w:rFonts w:hint="eastAsia" w:ascii="宋体" w:hAnsi="宋体" w:cs="宋体"/>
                <w:color w:val="auto"/>
                <w:sz w:val="21"/>
                <w:szCs w:val="21"/>
                <w:highlight w:val="none"/>
              </w:rPr>
            </w:pPr>
            <w:r>
              <w:rPr>
                <w:rFonts w:hint="eastAsia" w:ascii="宋体" w:hAnsi="宋体" w:cs="宋体"/>
                <w:color w:val="auto"/>
                <w:kern w:val="0"/>
                <w:szCs w:val="21"/>
                <w:highlight w:val="none"/>
              </w:rPr>
              <w:t>本磋商文件未尽事宜，按《中华人民共和国政府采购法》等法律法规的有关规定执行。</w:t>
            </w:r>
            <w:r>
              <w:rPr>
                <w:rFonts w:hint="eastAsia" w:ascii="宋体" w:hAnsi="宋体" w:cs="宋体"/>
                <w:color w:val="auto"/>
                <w:sz w:val="21"/>
                <w:szCs w:val="21"/>
                <w:highlight w:val="none"/>
              </w:rPr>
              <w:t>中小企业划分标准见工业和信息化部 国家统计局 国家发展改革委 财政部 《关于印发中小企业划型标准规定的通知》工信部联企业 [2011]300号。</w:t>
            </w:r>
          </w:p>
          <w:p>
            <w:pPr>
              <w:spacing w:line="500" w:lineRule="exact"/>
              <w:ind w:firstLine="420"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本项目标的物所属行业：</w:t>
            </w:r>
            <w:r>
              <w:rPr>
                <w:rFonts w:hint="eastAsia" w:ascii="宋体" w:hAnsi="宋体" w:cs="宋体"/>
                <w:color w:val="auto"/>
                <w:sz w:val="21"/>
                <w:szCs w:val="21"/>
                <w:highlight w:val="none"/>
                <w:lang w:eastAsia="zh-CN"/>
              </w:rPr>
              <w:t>制造业</w:t>
            </w:r>
            <w:r>
              <w:rPr>
                <w:rFonts w:hint="eastAsia" w:ascii="宋体" w:hAnsi="宋体" w:cs="宋体"/>
                <w:color w:val="auto"/>
                <w:sz w:val="21"/>
                <w:szCs w:val="21"/>
                <w:highlight w:val="none"/>
              </w:rPr>
              <w:t>。</w:t>
            </w:r>
          </w:p>
          <w:p>
            <w:pPr>
              <w:spacing w:line="400" w:lineRule="exact"/>
              <w:jc w:val="left"/>
              <w:rPr>
                <w:rFonts w:ascii="宋体" w:hAnsi="宋体" w:cs="宋体"/>
                <w:color w:val="auto"/>
                <w:szCs w:val="21"/>
                <w:highlight w:val="none"/>
              </w:rPr>
            </w:pPr>
          </w:p>
        </w:tc>
      </w:tr>
    </w:tbl>
    <w:p>
      <w:pPr>
        <w:pStyle w:val="34"/>
        <w:rPr>
          <w:color w:val="auto"/>
          <w:highlight w:val="none"/>
        </w:rPr>
      </w:pPr>
      <w:bookmarkStart w:id="10" w:name="_Toc12291"/>
      <w:bookmarkStart w:id="11" w:name="_Toc421284740"/>
      <w:bookmarkStart w:id="12" w:name="_Toc28006"/>
      <w:bookmarkStart w:id="13" w:name="_Toc175644026"/>
      <w:r>
        <w:rPr>
          <w:color w:val="auto"/>
          <w:highlight w:val="none"/>
        </w:rPr>
        <w:br w:type="page"/>
      </w:r>
    </w:p>
    <w:p>
      <w:pPr>
        <w:pStyle w:val="6"/>
        <w:numPr>
          <w:ilvl w:val="0"/>
          <w:numId w:val="3"/>
        </w:numPr>
        <w:spacing w:before="0" w:after="0" w:line="440" w:lineRule="exact"/>
        <w:jc w:val="left"/>
        <w:rPr>
          <w:rStyle w:val="41"/>
          <w:rFonts w:ascii="宋体" w:hAnsi="宋体" w:eastAsia="宋体" w:cs="宋体"/>
          <w:b/>
          <w:bCs/>
          <w:color w:val="auto"/>
          <w:highlight w:val="none"/>
        </w:rPr>
      </w:pPr>
      <w:bookmarkStart w:id="14" w:name="_Toc10092"/>
      <w:r>
        <w:rPr>
          <w:rStyle w:val="41"/>
          <w:rFonts w:hint="eastAsia" w:ascii="宋体" w:hAnsi="宋体" w:eastAsia="宋体" w:cs="宋体"/>
          <w:b/>
          <w:bCs/>
          <w:color w:val="auto"/>
          <w:highlight w:val="none"/>
        </w:rPr>
        <w:t>总则</w:t>
      </w:r>
      <w:bookmarkEnd w:id="10"/>
      <w:bookmarkEnd w:id="11"/>
      <w:bookmarkEnd w:id="14"/>
    </w:p>
    <w:p>
      <w:pPr>
        <w:numPr>
          <w:ilvl w:val="0"/>
          <w:numId w:val="4"/>
        </w:numPr>
        <w:tabs>
          <w:tab w:val="left" w:pos="0"/>
        </w:tabs>
        <w:spacing w:line="360" w:lineRule="auto"/>
        <w:ind w:left="0" w:firstLine="424" w:firstLineChars="176"/>
        <w:rPr>
          <w:rFonts w:ascii="Times New Roman" w:hAnsi="Times New Roman"/>
          <w:b/>
          <w:color w:val="auto"/>
          <w:sz w:val="24"/>
          <w:szCs w:val="24"/>
          <w:highlight w:val="none"/>
        </w:rPr>
      </w:pPr>
      <w:r>
        <w:rPr>
          <w:rFonts w:ascii="Times New Roman" w:hAnsi="Times New Roman"/>
          <w:b/>
          <w:color w:val="auto"/>
          <w:sz w:val="24"/>
          <w:szCs w:val="24"/>
          <w:highlight w:val="none"/>
        </w:rPr>
        <w:t>适用范围</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1.1本范本是根据《中华人民共和国政府采购法》、《中华人民共和国政府采购法实施条例》、《</w:t>
      </w:r>
      <w:r>
        <w:rPr>
          <w:rFonts w:ascii="Times New Roman" w:hAnsi="Times New Roman"/>
          <w:snapToGrid w:val="0"/>
          <w:color w:val="auto"/>
          <w:kern w:val="0"/>
          <w:szCs w:val="21"/>
          <w:highlight w:val="none"/>
        </w:rPr>
        <w:t>政府采购竞争性磋商采购方式管理暂行办法</w:t>
      </w:r>
      <w:r>
        <w:rPr>
          <w:rFonts w:ascii="Times New Roman" w:hAnsi="Times New Roman"/>
          <w:color w:val="auto"/>
          <w:szCs w:val="21"/>
          <w:highlight w:val="none"/>
        </w:rPr>
        <w:t>》、</w:t>
      </w:r>
      <w:r>
        <w:rPr>
          <w:rFonts w:ascii="Times New Roman" w:hAnsi="Times New Roman"/>
          <w:color w:val="auto"/>
          <w:szCs w:val="21"/>
          <w:highlight w:val="none"/>
          <w:shd w:val="clear" w:color="auto" w:fill="FFFFFF"/>
        </w:rPr>
        <w:t>《政府采购非招标采购方式管理办法》、</w:t>
      </w:r>
      <w:r>
        <w:rPr>
          <w:rFonts w:ascii="Times New Roman" w:hAnsi="Times New Roman"/>
          <w:color w:val="auto"/>
          <w:kern w:val="0"/>
          <w:szCs w:val="21"/>
          <w:highlight w:val="none"/>
        </w:rPr>
        <w:t>《政府采购货物和服务招标投标管理办法》</w:t>
      </w:r>
      <w:r>
        <w:rPr>
          <w:rFonts w:ascii="Times New Roman" w:hAnsi="Times New Roman"/>
          <w:color w:val="auto"/>
          <w:szCs w:val="21"/>
          <w:highlight w:val="none"/>
        </w:rPr>
        <w:t>等相关法律法规、部门规章制订。</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1.2本磋商文件仅适用于本次竞争性磋商采购所叙述的采购项目。</w:t>
      </w:r>
      <w:r>
        <w:rPr>
          <w:rFonts w:ascii="Times New Roman" w:hAnsi="Times New Roman"/>
          <w:color w:val="auto"/>
          <w:szCs w:val="21"/>
          <w:highlight w:val="none"/>
          <w:shd w:val="clear" w:color="auto" w:fill="FFFFFF"/>
        </w:rPr>
        <w:t>供应商应当按照磋商文件的要求编制响应文件。</w:t>
      </w:r>
      <w:r>
        <w:rPr>
          <w:rFonts w:ascii="Times New Roman" w:hAnsi="Times New Roman"/>
          <w:color w:val="auto"/>
          <w:kern w:val="0"/>
          <w:szCs w:val="21"/>
          <w:highlight w:val="none"/>
        </w:rPr>
        <w:t>供应商编制响应文件时，不得向采购人提出任何磋商文件要求（规定的条件）之外的附加条件，</w:t>
      </w:r>
      <w:r>
        <w:rPr>
          <w:rFonts w:ascii="Times New Roman" w:hAnsi="Times New Roman"/>
          <w:color w:val="auto"/>
          <w:szCs w:val="21"/>
          <w:highlight w:val="none"/>
          <w:shd w:val="clear" w:color="auto" w:fill="FFFFFF"/>
        </w:rPr>
        <w:t>并对其提交的响应文件的真实性、合法性承担法律责任。</w:t>
      </w:r>
    </w:p>
    <w:p>
      <w:pPr>
        <w:numPr>
          <w:ilvl w:val="0"/>
          <w:numId w:val="4"/>
        </w:numPr>
        <w:tabs>
          <w:tab w:val="left" w:pos="0"/>
        </w:tabs>
        <w:spacing w:line="360" w:lineRule="auto"/>
        <w:ind w:left="0" w:firstLine="371" w:firstLineChars="176"/>
        <w:rPr>
          <w:rFonts w:ascii="Times New Roman" w:hAnsi="Times New Roman"/>
          <w:b/>
          <w:color w:val="auto"/>
          <w:szCs w:val="21"/>
          <w:highlight w:val="none"/>
        </w:rPr>
      </w:pPr>
      <w:r>
        <w:rPr>
          <w:rFonts w:ascii="Times New Roman" w:hAnsi="Times New Roman"/>
          <w:b/>
          <w:color w:val="auto"/>
          <w:szCs w:val="21"/>
          <w:highlight w:val="none"/>
        </w:rPr>
        <w:t>定义</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2.1服务：</w:t>
      </w:r>
      <w:r>
        <w:rPr>
          <w:rFonts w:ascii="Times New Roman" w:hAnsi="Times New Roman"/>
          <w:color w:val="auto"/>
          <w:kern w:val="0"/>
          <w:szCs w:val="21"/>
          <w:highlight w:val="none"/>
          <w:shd w:val="clear" w:color="auto" w:fill="FFFFFF"/>
        </w:rPr>
        <w:t>是指除货物和工程以外的其他政府采购对象，</w:t>
      </w:r>
      <w:r>
        <w:rPr>
          <w:rFonts w:ascii="Times New Roman" w:hAnsi="Times New Roman"/>
          <w:color w:val="auto"/>
          <w:szCs w:val="21"/>
          <w:highlight w:val="none"/>
        </w:rPr>
        <w:t>包括政府自身需要的服务和政府向社会公众提供的公共服务。</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2.2采购代理机构：是指接受采购人委托，代理政府采购项目的集中采购机构、社会中介采购代理机构的总称。具体项目的采购代理机构，在供应商须知前附表序号</w:t>
      </w:r>
      <w:r>
        <w:rPr>
          <w:rFonts w:hint="eastAsia" w:ascii="Times New Roman" w:hAnsi="Times New Roman"/>
          <w:color w:val="auto"/>
          <w:szCs w:val="21"/>
          <w:highlight w:val="none"/>
        </w:rPr>
        <w:t>1.1.</w:t>
      </w:r>
      <w:r>
        <w:rPr>
          <w:rFonts w:ascii="Times New Roman" w:hAnsi="Times New Roman"/>
          <w:color w:val="auto"/>
          <w:szCs w:val="21"/>
          <w:highlight w:val="none"/>
        </w:rPr>
        <w:t>3中规定。</w:t>
      </w:r>
    </w:p>
    <w:p>
      <w:pPr>
        <w:tabs>
          <w:tab w:val="left" w:pos="0"/>
        </w:tabs>
        <w:spacing w:line="360" w:lineRule="auto"/>
        <w:ind w:left="181" w:leftChars="86" w:firstLine="210" w:firstLineChars="100"/>
        <w:rPr>
          <w:rFonts w:ascii="Times New Roman" w:hAnsi="Times New Roman"/>
          <w:color w:val="auto"/>
          <w:szCs w:val="21"/>
          <w:highlight w:val="none"/>
        </w:rPr>
      </w:pPr>
      <w:r>
        <w:rPr>
          <w:rFonts w:ascii="Times New Roman" w:hAnsi="Times New Roman"/>
          <w:color w:val="auto"/>
          <w:szCs w:val="21"/>
          <w:highlight w:val="none"/>
        </w:rPr>
        <w:t>2.3采购人: 是指依法进行政府采购的国家机关、事业单位、团体组织。既本次采购项目的业主方。</w:t>
      </w:r>
    </w:p>
    <w:p>
      <w:pPr>
        <w:tabs>
          <w:tab w:val="left" w:pos="0"/>
        </w:tabs>
        <w:spacing w:line="360" w:lineRule="auto"/>
        <w:ind w:left="178" w:leftChars="85" w:firstLine="210" w:firstLineChars="100"/>
        <w:rPr>
          <w:rFonts w:ascii="Times New Roman" w:hAnsi="Times New Roman"/>
          <w:color w:val="auto"/>
          <w:szCs w:val="21"/>
          <w:highlight w:val="none"/>
        </w:rPr>
      </w:pPr>
      <w:r>
        <w:rPr>
          <w:rFonts w:ascii="Times New Roman" w:hAnsi="Times New Roman"/>
          <w:color w:val="auto"/>
          <w:szCs w:val="21"/>
          <w:highlight w:val="none"/>
        </w:rPr>
        <w:t>2.4供应商：是指向采购人提供货物、工程或者服务的法人、其他组织或者自然人。即对“供应商须知前附表”</w:t>
      </w:r>
      <w:r>
        <w:rPr>
          <w:rFonts w:hint="eastAsia" w:ascii="Times New Roman" w:hAnsi="Times New Roman"/>
          <w:color w:val="auto"/>
          <w:szCs w:val="21"/>
          <w:highlight w:val="none"/>
        </w:rPr>
        <w:t>1.1.4</w:t>
      </w:r>
      <w:r>
        <w:rPr>
          <w:rFonts w:ascii="Times New Roman" w:hAnsi="Times New Roman"/>
          <w:color w:val="auto"/>
          <w:szCs w:val="21"/>
          <w:highlight w:val="none"/>
        </w:rPr>
        <w:t>所指称项目表现出兴趣，并有可能实际参与该项目竞争的法人、其他组织或者自然人。</w:t>
      </w:r>
    </w:p>
    <w:p>
      <w:pPr>
        <w:tabs>
          <w:tab w:val="left" w:pos="0"/>
        </w:tabs>
        <w:spacing w:line="360" w:lineRule="auto"/>
        <w:ind w:left="178" w:leftChars="85" w:firstLine="210" w:firstLineChars="100"/>
        <w:rPr>
          <w:rFonts w:ascii="Times New Roman" w:hAnsi="Times New Roman"/>
          <w:color w:val="auto"/>
          <w:kern w:val="0"/>
          <w:szCs w:val="21"/>
          <w:highlight w:val="none"/>
        </w:rPr>
      </w:pPr>
      <w:r>
        <w:rPr>
          <w:rFonts w:ascii="Times New Roman" w:hAnsi="Times New Roman"/>
          <w:color w:val="auto"/>
          <w:szCs w:val="21"/>
          <w:highlight w:val="none"/>
        </w:rPr>
        <w:t>2.5 磋商小组：是指</w:t>
      </w:r>
      <w:r>
        <w:rPr>
          <w:rFonts w:ascii="Times New Roman" w:hAnsi="Times New Roman"/>
          <w:color w:val="auto"/>
          <w:kern w:val="0"/>
          <w:szCs w:val="21"/>
          <w:highlight w:val="none"/>
        </w:rPr>
        <w:t>依据《中华人民共和国政府采购法》、</w:t>
      </w:r>
      <w:r>
        <w:rPr>
          <w:rFonts w:ascii="Times New Roman" w:hAnsi="Times New Roman"/>
          <w:color w:val="auto"/>
          <w:szCs w:val="21"/>
          <w:highlight w:val="none"/>
        </w:rPr>
        <w:t>《中华人民共和国政府采购法实施条例》</w:t>
      </w:r>
      <w:r>
        <w:rPr>
          <w:rFonts w:ascii="Times New Roman" w:hAnsi="Times New Roman"/>
          <w:color w:val="auto"/>
          <w:kern w:val="0"/>
          <w:szCs w:val="21"/>
          <w:highlight w:val="none"/>
        </w:rPr>
        <w:t>和财政部</w:t>
      </w:r>
      <w:r>
        <w:rPr>
          <w:rFonts w:ascii="Times New Roman" w:hAnsi="Times New Roman"/>
          <w:color w:val="auto"/>
          <w:szCs w:val="21"/>
          <w:highlight w:val="none"/>
        </w:rPr>
        <w:t>《</w:t>
      </w:r>
      <w:r>
        <w:rPr>
          <w:rFonts w:ascii="Times New Roman" w:hAnsi="Times New Roman"/>
          <w:snapToGrid w:val="0"/>
          <w:color w:val="auto"/>
          <w:kern w:val="0"/>
          <w:szCs w:val="21"/>
          <w:highlight w:val="none"/>
        </w:rPr>
        <w:t>政府采购竞争性磋商采购方式管理暂行办法</w:t>
      </w:r>
      <w:r>
        <w:rPr>
          <w:rFonts w:ascii="Times New Roman" w:hAnsi="Times New Roman"/>
          <w:color w:val="auto"/>
          <w:szCs w:val="21"/>
          <w:highlight w:val="none"/>
        </w:rPr>
        <w:t>》</w:t>
      </w:r>
      <w:r>
        <w:rPr>
          <w:rFonts w:ascii="Times New Roman" w:hAnsi="Times New Roman"/>
          <w:bCs/>
          <w:color w:val="auto"/>
          <w:kern w:val="36"/>
          <w:szCs w:val="21"/>
          <w:highlight w:val="none"/>
        </w:rPr>
        <w:t>有关规定组建，依法依规</w:t>
      </w:r>
      <w:r>
        <w:rPr>
          <w:rFonts w:ascii="Times New Roman" w:hAnsi="Times New Roman"/>
          <w:color w:val="auto"/>
          <w:kern w:val="0"/>
          <w:szCs w:val="21"/>
          <w:highlight w:val="none"/>
        </w:rPr>
        <w:t>履行其职责和义务的机构。</w:t>
      </w:r>
    </w:p>
    <w:p>
      <w:pPr>
        <w:numPr>
          <w:ilvl w:val="0"/>
          <w:numId w:val="4"/>
        </w:numPr>
        <w:tabs>
          <w:tab w:val="left" w:pos="0"/>
        </w:tabs>
        <w:spacing w:line="360" w:lineRule="auto"/>
        <w:ind w:left="0" w:firstLine="371" w:firstLineChars="176"/>
        <w:rPr>
          <w:rFonts w:ascii="Times New Roman" w:hAnsi="Times New Roman"/>
          <w:b/>
          <w:color w:val="auto"/>
          <w:szCs w:val="21"/>
          <w:highlight w:val="none"/>
        </w:rPr>
      </w:pPr>
      <w:r>
        <w:rPr>
          <w:rFonts w:ascii="Times New Roman" w:hAnsi="Times New Roman"/>
          <w:b/>
          <w:color w:val="auto"/>
          <w:szCs w:val="21"/>
          <w:highlight w:val="none"/>
        </w:rPr>
        <w:t>合格的供应商</w:t>
      </w:r>
    </w:p>
    <w:p>
      <w:pPr>
        <w:tabs>
          <w:tab w:val="left" w:pos="0"/>
          <w:tab w:val="left" w:pos="720"/>
        </w:tabs>
        <w:spacing w:line="360" w:lineRule="auto"/>
        <w:ind w:firstLine="369" w:firstLineChars="176"/>
        <w:rPr>
          <w:rFonts w:ascii="Times New Roman" w:hAnsi="Times New Roman"/>
          <w:color w:val="auto"/>
          <w:szCs w:val="21"/>
          <w:highlight w:val="none"/>
        </w:rPr>
      </w:pPr>
      <w:r>
        <w:rPr>
          <w:rFonts w:ascii="Times New Roman" w:hAnsi="Times New Roman"/>
          <w:color w:val="auto"/>
          <w:szCs w:val="21"/>
          <w:highlight w:val="none"/>
        </w:rPr>
        <w:t>3.1根据政府采购法的规定，参与政府采购活动的供应商必须是满足</w:t>
      </w:r>
      <w:r>
        <w:rPr>
          <w:rFonts w:ascii="Times New Roman" w:hAnsi="Times New Roman"/>
          <w:color w:val="auto"/>
          <w:kern w:val="0"/>
          <w:szCs w:val="21"/>
          <w:highlight w:val="none"/>
        </w:rPr>
        <w:t>《政府采购法》第二十二条规定的全部条件</w:t>
      </w:r>
      <w:r>
        <w:rPr>
          <w:rFonts w:ascii="Times New Roman" w:hAnsi="Times New Roman"/>
          <w:color w:val="auto"/>
          <w:szCs w:val="21"/>
          <w:highlight w:val="none"/>
        </w:rPr>
        <w:t>的法人、其他组织或者自然人：</w:t>
      </w:r>
    </w:p>
    <w:p>
      <w:pPr>
        <w:adjustRightInd w:val="0"/>
        <w:snapToGrid w:val="0"/>
        <w:spacing w:line="360" w:lineRule="auto"/>
        <w:ind w:firstLine="480"/>
        <w:rPr>
          <w:rFonts w:ascii="Times New Roman" w:hAnsi="Times New Roman"/>
          <w:color w:val="auto"/>
          <w:szCs w:val="21"/>
          <w:highlight w:val="none"/>
        </w:rPr>
      </w:pPr>
      <w:r>
        <w:rPr>
          <w:rFonts w:hint="eastAsia" w:ascii="Times New Roman" w:hAnsi="Times New Roman"/>
          <w:color w:val="auto"/>
          <w:szCs w:val="21"/>
          <w:highlight w:val="none"/>
        </w:rPr>
        <w:t>3.1.1</w:t>
      </w:r>
      <w:r>
        <w:rPr>
          <w:rFonts w:ascii="Times New Roman" w:hAnsi="Times New Roman"/>
          <w:color w:val="auto"/>
          <w:szCs w:val="21"/>
          <w:highlight w:val="none"/>
        </w:rPr>
        <w:t>供应商具备工商行政主管部门核发的有效法人营业执照</w:t>
      </w:r>
      <w:r>
        <w:rPr>
          <w:rFonts w:hint="eastAsia" w:ascii="Times New Roman" w:hAnsi="Times New Roman"/>
          <w:color w:val="auto"/>
          <w:szCs w:val="21"/>
          <w:highlight w:val="none"/>
        </w:rPr>
        <w:t>或事业单位法人证书</w:t>
      </w:r>
      <w:r>
        <w:rPr>
          <w:rFonts w:ascii="Times New Roman" w:hAnsi="Times New Roman"/>
          <w:color w:val="auto"/>
          <w:szCs w:val="21"/>
          <w:highlight w:val="none"/>
        </w:rPr>
        <w:t>；</w:t>
      </w:r>
    </w:p>
    <w:p>
      <w:pPr>
        <w:adjustRightInd w:val="0"/>
        <w:snapToGrid w:val="0"/>
        <w:spacing w:line="360" w:lineRule="auto"/>
        <w:ind w:firstLine="480"/>
        <w:rPr>
          <w:rFonts w:ascii="Times New Roman" w:hAnsi="Times New Roman"/>
          <w:color w:val="auto"/>
          <w:szCs w:val="21"/>
          <w:highlight w:val="none"/>
        </w:rPr>
      </w:pPr>
      <w:r>
        <w:rPr>
          <w:rFonts w:hint="eastAsia" w:ascii="Times New Roman" w:hAnsi="Times New Roman"/>
          <w:color w:val="auto"/>
          <w:szCs w:val="21"/>
          <w:highlight w:val="none"/>
        </w:rPr>
        <w:t>3.1.2</w:t>
      </w:r>
      <w:r>
        <w:rPr>
          <w:rFonts w:ascii="Times New Roman" w:hAnsi="Times New Roman"/>
          <w:color w:val="auto"/>
          <w:szCs w:val="21"/>
          <w:highlight w:val="none"/>
        </w:rPr>
        <w:t xml:space="preserve"> </w:t>
      </w:r>
      <w:r>
        <w:rPr>
          <w:rFonts w:hint="eastAsia" w:ascii="Times New Roman" w:hAnsi="Times New Roman"/>
          <w:color w:val="auto"/>
          <w:szCs w:val="21"/>
          <w:highlight w:val="none"/>
        </w:rPr>
        <w:t>供应商需提供提供无行贿犯罪记录承诺书原件（内容包括：企业法人、法定代表人、法定代表授权委托人）</w:t>
      </w:r>
    </w:p>
    <w:p>
      <w:pPr>
        <w:adjustRightInd w:val="0"/>
        <w:snapToGrid w:val="0"/>
        <w:spacing w:line="360" w:lineRule="auto"/>
        <w:ind w:firstLine="420" w:firstLineChars="200"/>
        <w:rPr>
          <w:rFonts w:ascii="Times New Roman" w:hAnsi="Times New Roman"/>
          <w:color w:val="auto"/>
          <w:szCs w:val="21"/>
          <w:highlight w:val="none"/>
        </w:rPr>
      </w:pPr>
      <w:r>
        <w:rPr>
          <w:rFonts w:hint="eastAsia" w:ascii="Times New Roman" w:hAnsi="Times New Roman"/>
          <w:color w:val="auto"/>
          <w:szCs w:val="21"/>
          <w:highlight w:val="none"/>
        </w:rPr>
        <w:t>3.1.3</w:t>
      </w:r>
      <w:r>
        <w:rPr>
          <w:rFonts w:ascii="Times New Roman" w:hAnsi="Times New Roman"/>
          <w:color w:val="auto"/>
          <w:szCs w:val="21"/>
          <w:highlight w:val="none"/>
        </w:rPr>
        <w:t>本项目不接受联合体投标。</w:t>
      </w:r>
    </w:p>
    <w:p>
      <w:pPr>
        <w:tabs>
          <w:tab w:val="left" w:pos="0"/>
          <w:tab w:val="left" w:pos="720"/>
        </w:tabs>
        <w:spacing w:line="360" w:lineRule="auto"/>
        <w:ind w:left="267" w:leftChars="127"/>
        <w:rPr>
          <w:rFonts w:ascii="Times New Roman" w:hAnsi="Times New Roman"/>
          <w:color w:val="auto"/>
          <w:szCs w:val="21"/>
          <w:highlight w:val="none"/>
        </w:rPr>
      </w:pPr>
      <w:r>
        <w:rPr>
          <w:rFonts w:ascii="Times New Roman" w:hAnsi="Times New Roman"/>
          <w:color w:val="auto"/>
          <w:szCs w:val="21"/>
          <w:highlight w:val="none"/>
        </w:rPr>
        <w:t>3.2由于政府采购项目的差异性，供应商在参与具体政府采购项目活动时，还要仔细阅读该项目（或包）的资质及相关要求。</w:t>
      </w:r>
    </w:p>
    <w:p>
      <w:pPr>
        <w:tabs>
          <w:tab w:val="left" w:pos="0"/>
          <w:tab w:val="left" w:pos="720"/>
        </w:tabs>
        <w:spacing w:line="360" w:lineRule="auto"/>
        <w:ind w:firstLine="371" w:firstLineChars="176"/>
        <w:rPr>
          <w:rFonts w:ascii="Times New Roman" w:hAnsi="Times New Roman"/>
          <w:b/>
          <w:color w:val="auto"/>
          <w:szCs w:val="21"/>
          <w:highlight w:val="none"/>
        </w:rPr>
      </w:pPr>
      <w:r>
        <w:rPr>
          <w:rFonts w:ascii="Times New Roman" w:hAnsi="Times New Roman"/>
          <w:b/>
          <w:color w:val="auto"/>
          <w:szCs w:val="21"/>
          <w:highlight w:val="none"/>
        </w:rPr>
        <w:t>4、供应商参与磋商活动的费用以及风险</w:t>
      </w:r>
    </w:p>
    <w:p>
      <w:pPr>
        <w:tabs>
          <w:tab w:val="left" w:pos="0"/>
          <w:tab w:val="left" w:pos="720"/>
        </w:tabs>
        <w:spacing w:line="360" w:lineRule="auto"/>
        <w:ind w:left="359" w:leftChars="171" w:firstLine="369" w:firstLineChars="176"/>
        <w:rPr>
          <w:rFonts w:ascii="Times New Roman" w:hAnsi="Times New Roman"/>
          <w:color w:val="auto"/>
          <w:szCs w:val="21"/>
          <w:highlight w:val="none"/>
        </w:rPr>
      </w:pPr>
      <w:r>
        <w:rPr>
          <w:rFonts w:ascii="Times New Roman" w:hAnsi="Times New Roman"/>
          <w:color w:val="auto"/>
          <w:szCs w:val="21"/>
          <w:highlight w:val="none"/>
        </w:rPr>
        <w:t>4.1供应商必须自行承担所有与参加政府采购活动的有关费用。不论结果如何，采购代理机构在任何情况下均无义务和责任承担这些费用。</w:t>
      </w:r>
    </w:p>
    <w:p>
      <w:pPr>
        <w:tabs>
          <w:tab w:val="left" w:pos="0"/>
        </w:tabs>
        <w:spacing w:line="360" w:lineRule="auto"/>
        <w:ind w:left="315" w:leftChars="150" w:firstLine="369" w:firstLineChars="176"/>
        <w:rPr>
          <w:rFonts w:ascii="Times New Roman" w:hAnsi="Times New Roman"/>
          <w:color w:val="auto"/>
          <w:szCs w:val="21"/>
          <w:highlight w:val="none"/>
        </w:rPr>
      </w:pPr>
      <w:r>
        <w:rPr>
          <w:rFonts w:ascii="Times New Roman" w:hAnsi="Times New Roman"/>
          <w:color w:val="auto"/>
          <w:szCs w:val="21"/>
          <w:highlight w:val="none"/>
        </w:rPr>
        <w:t>4.2供应商一旦购买了磋商文件并参加本次政府采购活动，即被认为接受了磋商文件中的所有条件和规定。</w:t>
      </w:r>
    </w:p>
    <w:p>
      <w:pPr>
        <w:tabs>
          <w:tab w:val="left" w:pos="0"/>
        </w:tabs>
        <w:spacing w:line="360" w:lineRule="auto"/>
        <w:ind w:left="315" w:leftChars="150" w:firstLine="369" w:firstLineChars="176"/>
        <w:rPr>
          <w:rFonts w:ascii="Times New Roman" w:hAnsi="Times New Roman"/>
          <w:color w:val="auto"/>
          <w:szCs w:val="21"/>
          <w:highlight w:val="none"/>
        </w:rPr>
      </w:pPr>
      <w:r>
        <w:rPr>
          <w:rFonts w:ascii="Times New Roman" w:hAnsi="Times New Roman"/>
          <w:color w:val="auto"/>
          <w:szCs w:val="21"/>
          <w:highlight w:val="none"/>
        </w:rPr>
        <w:t>4.3供应商应认真阅读磋商文件中所有的事项、格式、条款和规范等要求。如果没有按照磋商文件要求提交全部资料，或没有对磋商文件做出实质性响应，其风险应由供应商自行承担。</w:t>
      </w:r>
    </w:p>
    <w:p>
      <w:pPr>
        <w:tabs>
          <w:tab w:val="left" w:pos="0"/>
        </w:tabs>
        <w:spacing w:line="360" w:lineRule="auto"/>
        <w:ind w:left="271" w:leftChars="129" w:firstLine="369" w:firstLineChars="176"/>
        <w:rPr>
          <w:rFonts w:ascii="Times New Roman" w:hAnsi="Times New Roman"/>
          <w:color w:val="auto"/>
          <w:szCs w:val="21"/>
          <w:highlight w:val="none"/>
        </w:rPr>
      </w:pPr>
      <w:r>
        <w:rPr>
          <w:rFonts w:ascii="Times New Roman" w:hAnsi="Times New Roman"/>
          <w:color w:val="auto"/>
          <w:szCs w:val="21"/>
          <w:highlight w:val="none"/>
        </w:rPr>
        <w:t>4.4供应商所提供的所有资料（包括</w:t>
      </w:r>
      <w:r>
        <w:rPr>
          <w:rFonts w:ascii="Times New Roman" w:hAnsi="Times New Roman"/>
          <w:bCs/>
          <w:color w:val="auto"/>
          <w:szCs w:val="21"/>
          <w:highlight w:val="none"/>
        </w:rPr>
        <w:t>彩色扫描件、</w:t>
      </w:r>
      <w:r>
        <w:rPr>
          <w:rFonts w:ascii="Times New Roman" w:hAnsi="Times New Roman"/>
          <w:color w:val="auto"/>
          <w:szCs w:val="21"/>
          <w:highlight w:val="none"/>
        </w:rPr>
        <w:t>复印件、影印打印件等）必须清晰，如因提供的资料难以辨认，其风险由供应商自行承担。</w:t>
      </w:r>
    </w:p>
    <w:p>
      <w:pPr>
        <w:tabs>
          <w:tab w:val="left" w:pos="0"/>
        </w:tabs>
        <w:spacing w:line="360" w:lineRule="auto"/>
        <w:ind w:left="271" w:leftChars="129" w:firstLine="369" w:firstLineChars="176"/>
        <w:rPr>
          <w:rFonts w:ascii="Times New Roman" w:hAnsi="Times New Roman"/>
          <w:color w:val="auto"/>
          <w:szCs w:val="21"/>
          <w:highlight w:val="none"/>
        </w:rPr>
      </w:pPr>
      <w:r>
        <w:rPr>
          <w:rFonts w:ascii="Times New Roman" w:hAnsi="Times New Roman"/>
          <w:color w:val="auto"/>
          <w:szCs w:val="21"/>
          <w:highlight w:val="none"/>
        </w:rPr>
        <w:t>4.5供应商必须保证采购人使用货物、资料、技术、服务或其任何一部分时，享有不受限制的无偿使用权，不会产生因第三方提出侵犯其专利权、商标权或其它知识产权而引起的法律或经济纠纷。如供应商不拥有相应的知识产权，则在报价中必须包括合法获取该知识产权的一切相关费用，若因供应商提供的货物、资料、技术、服务或其任何一部分侵犯第三方的专利权、商标权或其它知识产权而引起的法律或经济纠纷，导致采购人损失，一切赔偿费用由供应商承担。</w:t>
      </w:r>
    </w:p>
    <w:bookmarkEnd w:id="12"/>
    <w:p>
      <w:pPr>
        <w:pStyle w:val="6"/>
        <w:spacing w:before="0" w:after="0" w:line="440" w:lineRule="exact"/>
        <w:ind w:left="468" w:firstLine="0"/>
        <w:jc w:val="left"/>
        <w:rPr>
          <w:rStyle w:val="41"/>
          <w:rFonts w:ascii="宋体" w:hAnsi="宋体" w:eastAsia="宋体" w:cs="宋体"/>
          <w:b/>
          <w:bCs/>
          <w:color w:val="auto"/>
          <w:highlight w:val="none"/>
        </w:rPr>
      </w:pPr>
      <w:bookmarkStart w:id="15" w:name="_Toc5706"/>
      <w:bookmarkStart w:id="16" w:name="_Toc421284742"/>
      <w:bookmarkStart w:id="17" w:name="_Toc29249"/>
      <w:bookmarkStart w:id="18" w:name="_Toc5872"/>
      <w:r>
        <w:rPr>
          <w:rStyle w:val="41"/>
          <w:rFonts w:ascii="宋体" w:hAnsi="宋体" w:eastAsia="宋体" w:cs="宋体"/>
          <w:b/>
          <w:bCs/>
          <w:color w:val="auto"/>
          <w:highlight w:val="none"/>
        </w:rPr>
        <w:t>2.</w:t>
      </w:r>
      <w:r>
        <w:rPr>
          <w:rStyle w:val="41"/>
          <w:rFonts w:hint="eastAsia" w:ascii="宋体" w:hAnsi="宋体" w:eastAsia="宋体" w:cs="宋体"/>
          <w:b/>
          <w:bCs/>
          <w:color w:val="auto"/>
          <w:highlight w:val="none"/>
        </w:rPr>
        <w:t>磋商文件</w:t>
      </w:r>
      <w:bookmarkEnd w:id="15"/>
      <w:bookmarkEnd w:id="16"/>
      <w:bookmarkEnd w:id="17"/>
      <w:bookmarkEnd w:id="18"/>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2.1 </w:t>
      </w:r>
      <w:r>
        <w:rPr>
          <w:rFonts w:hint="eastAsia" w:ascii="宋体" w:hAnsi="宋体" w:cs="宋体"/>
          <w:b/>
          <w:color w:val="auto"/>
          <w:kern w:val="0"/>
          <w:sz w:val="24"/>
          <w:highlight w:val="none"/>
        </w:rPr>
        <w:t>磋商文件的组成</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本磋商文件包括：</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1</w:t>
      </w:r>
      <w:r>
        <w:rPr>
          <w:rFonts w:hint="eastAsia" w:ascii="宋体" w:hAnsi="宋体" w:cs="宋体"/>
          <w:color w:val="auto"/>
          <w:kern w:val="0"/>
          <w:szCs w:val="21"/>
          <w:highlight w:val="none"/>
        </w:rPr>
        <w:t>）竞争性磋商公告；</w:t>
      </w:r>
    </w:p>
    <w:p>
      <w:pPr>
        <w:numPr>
          <w:ilvl w:val="0"/>
          <w:numId w:val="5"/>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highlight w:val="none"/>
        </w:rPr>
        <w:t>供应商</w:t>
      </w:r>
      <w:r>
        <w:rPr>
          <w:rFonts w:hint="eastAsia" w:ascii="宋体" w:hAnsi="宋体" w:cs="宋体"/>
          <w:color w:val="auto"/>
          <w:kern w:val="0"/>
          <w:szCs w:val="21"/>
          <w:highlight w:val="none"/>
        </w:rPr>
        <w:t>须知及供应商须知前附表；</w:t>
      </w:r>
    </w:p>
    <w:p>
      <w:pPr>
        <w:numPr>
          <w:ilvl w:val="0"/>
          <w:numId w:val="5"/>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评标办法；</w:t>
      </w:r>
    </w:p>
    <w:p>
      <w:pPr>
        <w:numPr>
          <w:ilvl w:val="0"/>
          <w:numId w:val="5"/>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服务项目内容及要求</w:t>
      </w:r>
    </w:p>
    <w:p>
      <w:pPr>
        <w:numPr>
          <w:ilvl w:val="0"/>
          <w:numId w:val="5"/>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合同条款及格式</w:t>
      </w:r>
    </w:p>
    <w:p>
      <w:pPr>
        <w:numPr>
          <w:ilvl w:val="0"/>
          <w:numId w:val="5"/>
        </w:num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响应文件格式</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7</w:t>
      </w:r>
      <w:r>
        <w:rPr>
          <w:rFonts w:hint="eastAsia" w:ascii="宋体" w:hAnsi="宋体" w:cs="宋体"/>
          <w:color w:val="auto"/>
          <w:kern w:val="0"/>
          <w:szCs w:val="21"/>
          <w:highlight w:val="none"/>
        </w:rPr>
        <w:t>）其</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他</w:t>
      </w:r>
    </w:p>
    <w:p>
      <w:pPr>
        <w:autoSpaceDE w:val="0"/>
        <w:autoSpaceDN w:val="0"/>
        <w:adjustRightInd w:val="0"/>
        <w:spacing w:line="440" w:lineRule="exact"/>
        <w:jc w:val="left"/>
        <w:rPr>
          <w:rFonts w:ascii="宋体" w:cs="宋体"/>
          <w:b/>
          <w:color w:val="auto"/>
          <w:kern w:val="0"/>
          <w:sz w:val="24"/>
          <w:highlight w:val="none"/>
        </w:rPr>
      </w:pPr>
      <w:r>
        <w:rPr>
          <w:rFonts w:ascii="宋体" w:hAnsi="宋体" w:cs="宋体"/>
          <w:b/>
          <w:color w:val="auto"/>
          <w:kern w:val="0"/>
          <w:sz w:val="24"/>
          <w:highlight w:val="none"/>
        </w:rPr>
        <w:t xml:space="preserve">    2.2 </w:t>
      </w:r>
      <w:r>
        <w:rPr>
          <w:rFonts w:hint="eastAsia" w:ascii="宋体" w:hAnsi="宋体" w:cs="宋体"/>
          <w:b/>
          <w:color w:val="auto"/>
          <w:kern w:val="0"/>
          <w:sz w:val="24"/>
          <w:highlight w:val="none"/>
        </w:rPr>
        <w:t>磋商文件的澄清</w:t>
      </w:r>
    </w:p>
    <w:p>
      <w:pPr>
        <w:spacing w:line="440" w:lineRule="exact"/>
        <w:ind w:firstLine="420" w:firstLineChars="200"/>
        <w:rPr>
          <w:rFonts w:ascii="宋体" w:cs="宋体"/>
          <w:color w:val="auto"/>
          <w:highlight w:val="none"/>
        </w:rPr>
      </w:pPr>
      <w:r>
        <w:rPr>
          <w:rFonts w:ascii="宋体" w:hAnsi="宋体" w:cs="宋体"/>
          <w:color w:val="auto"/>
          <w:highlight w:val="none"/>
        </w:rPr>
        <w:t xml:space="preserve">2.2.1 </w:t>
      </w:r>
      <w:r>
        <w:rPr>
          <w:rFonts w:hint="eastAsia" w:ascii="宋体" w:hAnsi="宋体" w:cs="宋体"/>
          <w:color w:val="auto"/>
          <w:highlight w:val="none"/>
        </w:rPr>
        <w:t>供应商应仔细阅读和检查磋商文件的全部内容。如发现缺页或附件不全，应及时向采购人提出，以便补齐。如有疑问，应在供应商须知前附表规定的时间前以书面形式（包括信函、电报、传真等可以有形地表现所载内容的形式，下同），要求采购人对磋商文件予以澄清。否则由此引起的任何后果均由供应商自己承担，采购人与采购代理机构均不承担任何责任。</w:t>
      </w:r>
    </w:p>
    <w:p>
      <w:pPr>
        <w:spacing w:line="440" w:lineRule="exact"/>
        <w:ind w:firstLine="420" w:firstLineChars="200"/>
        <w:rPr>
          <w:rFonts w:ascii="宋体" w:cs="宋体"/>
          <w:color w:val="auto"/>
          <w:sz w:val="32"/>
          <w:szCs w:val="32"/>
          <w:highlight w:val="none"/>
        </w:rPr>
      </w:pPr>
      <w:r>
        <w:rPr>
          <w:rFonts w:ascii="宋体" w:hAnsi="宋体" w:cs="宋体"/>
          <w:color w:val="auto"/>
          <w:highlight w:val="none"/>
        </w:rPr>
        <w:t xml:space="preserve">2.2.2 </w:t>
      </w:r>
      <w:r>
        <w:rPr>
          <w:rFonts w:hint="eastAsia" w:ascii="宋体" w:hAnsi="宋体" w:cs="宋体"/>
          <w:color w:val="auto"/>
          <w:highlight w:val="none"/>
        </w:rPr>
        <w:t>磋商文件的澄清将在供应商须知前附表规定的磋商截止时间</w:t>
      </w:r>
      <w:r>
        <w:rPr>
          <w:rFonts w:ascii="宋体" w:hAnsi="宋体" w:cs="宋体"/>
          <w:color w:val="auto"/>
          <w:highlight w:val="none"/>
        </w:rPr>
        <w:t>5</w:t>
      </w:r>
      <w:r>
        <w:rPr>
          <w:rFonts w:hint="eastAsia" w:ascii="宋体" w:hAnsi="宋体" w:cs="宋体"/>
          <w:color w:val="auto"/>
          <w:highlight w:val="none"/>
        </w:rPr>
        <w:t>天前以书面形式发给所有购买磋商文件的供应商，但不指明澄清问题的来源。如果澄清发出的时间距提交响应文件截止时间不足</w:t>
      </w:r>
      <w:r>
        <w:rPr>
          <w:rFonts w:ascii="宋体" w:hAnsi="宋体" w:cs="宋体"/>
          <w:color w:val="auto"/>
          <w:highlight w:val="none"/>
        </w:rPr>
        <w:t>5</w:t>
      </w:r>
      <w:r>
        <w:rPr>
          <w:rFonts w:hint="eastAsia" w:ascii="宋体" w:hAnsi="宋体" w:cs="宋体"/>
          <w:color w:val="auto"/>
          <w:highlight w:val="none"/>
        </w:rPr>
        <w:t>天，相应延长提交响应文件截止时间。</w:t>
      </w:r>
      <w:r>
        <w:rPr>
          <w:rFonts w:ascii="宋体" w:hAnsi="宋体" w:cs="宋体"/>
          <w:color w:val="auto"/>
          <w:highlight w:val="none"/>
        </w:rPr>
        <w:t xml:space="preserve"> </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highlight w:val="none"/>
        </w:rPr>
        <w:t xml:space="preserve">2.2.3 </w:t>
      </w:r>
      <w:r>
        <w:rPr>
          <w:rFonts w:hint="eastAsia" w:ascii="宋体" w:hAnsi="宋体" w:cs="宋体"/>
          <w:color w:val="auto"/>
          <w:highlight w:val="none"/>
        </w:rPr>
        <w:t>供应商在收到澄清后，应在供应商须知前附表规定的时间内以书面形式通知采购人，确认已收到该澄清。</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2.3 </w:t>
      </w:r>
      <w:r>
        <w:rPr>
          <w:rFonts w:hint="eastAsia" w:ascii="宋体" w:hAnsi="宋体" w:cs="宋体"/>
          <w:b/>
          <w:color w:val="auto"/>
          <w:kern w:val="0"/>
          <w:sz w:val="24"/>
          <w:highlight w:val="none"/>
        </w:rPr>
        <w:t>磋商文件的修改</w:t>
      </w:r>
    </w:p>
    <w:p>
      <w:pPr>
        <w:spacing w:line="440" w:lineRule="exact"/>
        <w:ind w:firstLine="420" w:firstLineChars="200"/>
        <w:rPr>
          <w:rFonts w:ascii="宋体" w:cs="宋体"/>
          <w:color w:val="auto"/>
          <w:highlight w:val="none"/>
        </w:rPr>
      </w:pPr>
      <w:r>
        <w:rPr>
          <w:rFonts w:ascii="宋体" w:hAnsi="宋体" w:cs="宋体"/>
          <w:color w:val="auto"/>
          <w:highlight w:val="none"/>
        </w:rPr>
        <w:t xml:space="preserve">2.3.1 </w:t>
      </w:r>
      <w:r>
        <w:rPr>
          <w:rFonts w:hint="eastAsia" w:ascii="宋体" w:hAnsi="宋体" w:cs="宋体"/>
          <w:color w:val="auto"/>
          <w:highlight w:val="none"/>
        </w:rPr>
        <w:t>在提交响应文件截止</w:t>
      </w:r>
      <w:r>
        <w:rPr>
          <w:rFonts w:ascii="宋体" w:hAnsi="宋体" w:cs="宋体"/>
          <w:color w:val="auto"/>
          <w:highlight w:val="none"/>
        </w:rPr>
        <w:t>5</w:t>
      </w:r>
      <w:r>
        <w:rPr>
          <w:rFonts w:hint="eastAsia" w:ascii="宋体" w:hAnsi="宋体" w:cs="宋体"/>
          <w:color w:val="auto"/>
          <w:highlight w:val="none"/>
        </w:rPr>
        <w:t>天前，采购人可以书面形式修改磋商文件，并通知所有已购买磋商文件的供应商。如果修改磋商文件的时间距提交响应文件截止时间不足</w:t>
      </w:r>
      <w:r>
        <w:rPr>
          <w:rFonts w:ascii="宋体" w:hAnsi="宋体" w:cs="宋体"/>
          <w:color w:val="auto"/>
          <w:highlight w:val="none"/>
        </w:rPr>
        <w:t>5</w:t>
      </w:r>
      <w:r>
        <w:rPr>
          <w:rFonts w:hint="eastAsia" w:ascii="宋体" w:hAnsi="宋体" w:cs="宋体"/>
          <w:color w:val="auto"/>
          <w:highlight w:val="none"/>
        </w:rPr>
        <w:t>天，相应延长提交响应文件截止时间。</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highlight w:val="none"/>
        </w:rPr>
        <w:t xml:space="preserve">2.3.2 </w:t>
      </w:r>
      <w:r>
        <w:rPr>
          <w:rFonts w:hint="eastAsia" w:ascii="宋体" w:hAnsi="宋体" w:cs="宋体"/>
          <w:color w:val="auto"/>
          <w:highlight w:val="none"/>
        </w:rPr>
        <w:t>供应商收到修改内容后，应在供应商须知前附表规定的时间内以书面形式通知采购人，确认已收到该修改。</w:t>
      </w:r>
    </w:p>
    <w:p>
      <w:pPr>
        <w:pStyle w:val="6"/>
        <w:spacing w:before="0" w:after="0" w:line="440" w:lineRule="exact"/>
        <w:ind w:left="468" w:firstLine="0"/>
        <w:jc w:val="left"/>
        <w:rPr>
          <w:rStyle w:val="41"/>
          <w:rFonts w:ascii="宋体" w:hAnsi="宋体" w:eastAsia="宋体" w:cs="宋体"/>
          <w:b/>
          <w:bCs/>
          <w:color w:val="auto"/>
          <w:highlight w:val="none"/>
        </w:rPr>
      </w:pPr>
      <w:bookmarkStart w:id="19" w:name="_Toc14496"/>
      <w:bookmarkStart w:id="20" w:name="_Toc24882"/>
      <w:bookmarkStart w:id="21" w:name="_Toc23887"/>
      <w:bookmarkStart w:id="22" w:name="_Toc421284743"/>
      <w:r>
        <w:rPr>
          <w:rStyle w:val="41"/>
          <w:rFonts w:ascii="宋体" w:hAnsi="宋体" w:eastAsia="宋体" w:cs="宋体"/>
          <w:b/>
          <w:bCs/>
          <w:color w:val="auto"/>
          <w:highlight w:val="none"/>
        </w:rPr>
        <w:t>3.</w:t>
      </w:r>
      <w:r>
        <w:rPr>
          <w:rStyle w:val="41"/>
          <w:rFonts w:hint="eastAsia" w:ascii="宋体" w:hAnsi="宋体" w:eastAsia="宋体" w:cs="宋体"/>
          <w:b/>
          <w:bCs/>
          <w:color w:val="auto"/>
          <w:highlight w:val="none"/>
        </w:rPr>
        <w:t>响应文件</w:t>
      </w:r>
      <w:bookmarkEnd w:id="19"/>
      <w:bookmarkEnd w:id="20"/>
      <w:bookmarkEnd w:id="21"/>
      <w:bookmarkEnd w:id="22"/>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3.1 </w:t>
      </w:r>
      <w:r>
        <w:rPr>
          <w:rFonts w:hint="eastAsia" w:ascii="宋体" w:hAnsi="宋体" w:cs="宋体"/>
          <w:b/>
          <w:color w:val="auto"/>
          <w:kern w:val="0"/>
          <w:sz w:val="24"/>
          <w:highlight w:val="none"/>
        </w:rPr>
        <w:t>响应文件的组成</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详见第六章“响应文件格式”</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3.2 </w:t>
      </w:r>
      <w:r>
        <w:rPr>
          <w:rFonts w:hint="eastAsia" w:ascii="宋体" w:hAnsi="宋体" w:cs="宋体"/>
          <w:b/>
          <w:color w:val="auto"/>
          <w:kern w:val="0"/>
          <w:sz w:val="24"/>
          <w:highlight w:val="none"/>
        </w:rPr>
        <w:t>磋商截止时间和地点</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磋商截止时间和地点：见供应商须知前附表。</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3.3 </w:t>
      </w:r>
      <w:r>
        <w:rPr>
          <w:rFonts w:hint="eastAsia" w:ascii="宋体" w:hAnsi="宋体" w:cs="宋体"/>
          <w:b/>
          <w:color w:val="auto"/>
          <w:kern w:val="0"/>
          <w:sz w:val="24"/>
          <w:highlight w:val="none"/>
        </w:rPr>
        <w:t>磋商报价</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3.3.1 </w:t>
      </w:r>
      <w:r>
        <w:rPr>
          <w:rFonts w:hint="eastAsia" w:ascii="宋体" w:hAnsi="宋体" w:cs="宋体"/>
          <w:color w:val="auto"/>
          <w:kern w:val="0"/>
          <w:szCs w:val="21"/>
          <w:highlight w:val="none"/>
        </w:rPr>
        <w:t>磋商报价由供应商根据市场行情结合本项目实际情况及本项目特殊性自行报价，一旦中标，不因任何原因的变化而调整。</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3.2.2</w:t>
      </w:r>
      <w:r>
        <w:rPr>
          <w:rFonts w:hint="eastAsia" w:ascii="宋体" w:hAnsi="宋体" w:cs="宋体"/>
          <w:color w:val="auto"/>
          <w:kern w:val="0"/>
          <w:szCs w:val="21"/>
          <w:highlight w:val="none"/>
        </w:rPr>
        <w:t>供应商不得以任何理由对最后磋商报价予以修改，最后磋商报价在磋商有效期内是固定的，不因任何原因而改变。任何原因包含价格调整要求和条件的磋商，将被视为非实质性响应而予与拒绝。</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3.2.3</w:t>
      </w:r>
      <w:r>
        <w:rPr>
          <w:rFonts w:hint="eastAsia" w:ascii="宋体" w:hAnsi="宋体" w:cs="宋体"/>
          <w:color w:val="auto"/>
          <w:kern w:val="0"/>
          <w:szCs w:val="21"/>
          <w:highlight w:val="none"/>
        </w:rPr>
        <w:t>首次提交响应性文件上的报价为磋商时的参考价格，磋商小组以供应商</w:t>
      </w:r>
      <w:r>
        <w:rPr>
          <w:rFonts w:hint="eastAsia" w:ascii="宋体" w:hAnsi="宋体" w:cs="宋体"/>
          <w:color w:val="auto"/>
          <w:kern w:val="0"/>
          <w:szCs w:val="21"/>
          <w:highlight w:val="none"/>
          <w:lang w:eastAsia="zh-CN"/>
        </w:rPr>
        <w:t>提交</w:t>
      </w:r>
      <w:r>
        <w:rPr>
          <w:rFonts w:hint="eastAsia" w:ascii="宋体" w:hAnsi="宋体" w:cs="宋体"/>
          <w:color w:val="auto"/>
          <w:kern w:val="0"/>
          <w:szCs w:val="21"/>
          <w:highlight w:val="none"/>
        </w:rPr>
        <w:t>的最后报价确定成交供应商的成交价格。</w:t>
      </w:r>
    </w:p>
    <w:p>
      <w:pPr>
        <w:autoSpaceDE w:val="0"/>
        <w:autoSpaceDN w:val="0"/>
        <w:adjustRightInd w:val="0"/>
        <w:spacing w:line="40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3.4 </w:t>
      </w:r>
      <w:r>
        <w:rPr>
          <w:rFonts w:hint="eastAsia" w:ascii="宋体" w:hAnsi="宋体" w:cs="宋体"/>
          <w:b/>
          <w:color w:val="auto"/>
          <w:kern w:val="0"/>
          <w:sz w:val="24"/>
          <w:highlight w:val="none"/>
        </w:rPr>
        <w:t>磋商有效期</w:t>
      </w:r>
    </w:p>
    <w:p>
      <w:pPr>
        <w:autoSpaceDE w:val="0"/>
        <w:autoSpaceDN w:val="0"/>
        <w:adjustRightInd w:val="0"/>
        <w:spacing w:line="40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3.4.1 </w:t>
      </w:r>
      <w:r>
        <w:rPr>
          <w:rFonts w:hint="eastAsia" w:ascii="宋体" w:hAnsi="宋体" w:cs="宋体"/>
          <w:color w:val="auto"/>
          <w:kern w:val="0"/>
          <w:szCs w:val="21"/>
          <w:highlight w:val="none"/>
        </w:rPr>
        <w:t>磋商有效期见供应商须知前附表。</w:t>
      </w:r>
    </w:p>
    <w:p>
      <w:pPr>
        <w:autoSpaceDE w:val="0"/>
        <w:autoSpaceDN w:val="0"/>
        <w:adjustRightInd w:val="0"/>
        <w:spacing w:line="40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3.4.2 </w:t>
      </w:r>
      <w:r>
        <w:rPr>
          <w:rFonts w:hint="eastAsia" w:ascii="宋体" w:hAnsi="宋体" w:cs="宋体"/>
          <w:color w:val="auto"/>
          <w:kern w:val="0"/>
          <w:szCs w:val="21"/>
          <w:highlight w:val="none"/>
        </w:rPr>
        <w:t>在磋商有效期内，除磋商小组提出实质性变动采购需求中的技术、服务要求以及合同草案条款外，供应商不得要求撤销或修改其响应文件。</w:t>
      </w:r>
    </w:p>
    <w:p>
      <w:pPr>
        <w:autoSpaceDE w:val="0"/>
        <w:autoSpaceDN w:val="0"/>
        <w:adjustRightInd w:val="0"/>
        <w:spacing w:line="40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3.4.3 </w:t>
      </w:r>
      <w:r>
        <w:rPr>
          <w:rFonts w:hint="eastAsia" w:ascii="宋体" w:hAnsi="宋体" w:cs="宋体"/>
          <w:color w:val="auto"/>
          <w:kern w:val="0"/>
          <w:szCs w:val="21"/>
          <w:highlight w:val="none"/>
        </w:rPr>
        <w:t>出现特殊情况需要延长磋商有效期的，采购人以书面形式通知所有供应商延长磋商有效期。供应商同意延长的，应相应延长其磋商保证金(如有)的有效期，但不得要求或被允许修改或撤销其响应文件；供应商拒绝延长的，其响应性文件失效，但供应商有权无息收回其磋商保证金(如有)。</w:t>
      </w:r>
    </w:p>
    <w:p>
      <w:pPr>
        <w:autoSpaceDE w:val="0"/>
        <w:autoSpaceDN w:val="0"/>
        <w:adjustRightInd w:val="0"/>
        <w:spacing w:line="400" w:lineRule="exact"/>
        <w:ind w:firstLine="482" w:firstLineChars="200"/>
        <w:jc w:val="left"/>
        <w:rPr>
          <w:rFonts w:ascii="宋体" w:cs="宋体"/>
          <w:color w:val="auto"/>
          <w:kern w:val="0"/>
          <w:szCs w:val="21"/>
          <w:highlight w:val="none"/>
        </w:rPr>
      </w:pPr>
      <w:r>
        <w:rPr>
          <w:rFonts w:ascii="宋体" w:hAnsi="宋体" w:cs="宋体"/>
          <w:b/>
          <w:color w:val="auto"/>
          <w:kern w:val="0"/>
          <w:sz w:val="24"/>
          <w:highlight w:val="none"/>
        </w:rPr>
        <w:t xml:space="preserve">3.5 </w:t>
      </w:r>
      <w:r>
        <w:rPr>
          <w:rFonts w:hint="eastAsia" w:ascii="宋体" w:hAnsi="宋体" w:cs="宋体"/>
          <w:b/>
          <w:color w:val="auto"/>
          <w:kern w:val="0"/>
          <w:sz w:val="24"/>
          <w:highlight w:val="none"/>
        </w:rPr>
        <w:t>磋商保证金（无）</w:t>
      </w:r>
    </w:p>
    <w:p>
      <w:pPr>
        <w:autoSpaceDE w:val="0"/>
        <w:autoSpaceDN w:val="0"/>
        <w:adjustRightInd w:val="0"/>
        <w:spacing w:line="40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3.6 </w:t>
      </w:r>
      <w:r>
        <w:rPr>
          <w:rFonts w:hint="eastAsia" w:ascii="宋体" w:hAnsi="宋体" w:cs="宋体"/>
          <w:b/>
          <w:color w:val="auto"/>
          <w:kern w:val="0"/>
          <w:sz w:val="24"/>
          <w:highlight w:val="none"/>
        </w:rPr>
        <w:t>资格审查资料</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3.6.1</w:t>
      </w:r>
      <w:r>
        <w:rPr>
          <w:rFonts w:hint="eastAsia" w:ascii="宋体" w:hAnsi="宋体" w:cs="宋体"/>
          <w:color w:val="auto"/>
          <w:kern w:val="0"/>
          <w:szCs w:val="21"/>
          <w:highlight w:val="none"/>
        </w:rPr>
        <w:t>“供应商基本情况表”应附供应商有效的营业执照（副本）等的复印件</w:t>
      </w:r>
      <w:r>
        <w:rPr>
          <w:rFonts w:hint="eastAsia" w:ascii="宋体" w:hAnsi="宋体" w:cs="宋体"/>
          <w:color w:val="auto"/>
          <w:kern w:val="0"/>
          <w:szCs w:val="21"/>
          <w:highlight w:val="none"/>
          <w:lang w:eastAsia="zh-CN"/>
        </w:rPr>
        <w:t>或扫描件</w:t>
      </w:r>
      <w:r>
        <w:rPr>
          <w:rFonts w:hint="eastAsia" w:ascii="宋体" w:hAnsi="宋体" w:cs="宋体"/>
          <w:color w:val="auto"/>
          <w:kern w:val="0"/>
          <w:szCs w:val="21"/>
          <w:highlight w:val="none"/>
        </w:rPr>
        <w:t>。</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3.6.2</w:t>
      </w:r>
      <w:r>
        <w:rPr>
          <w:rFonts w:hint="eastAsia" w:ascii="宋体" w:hAnsi="宋体" w:cs="宋体"/>
          <w:color w:val="auto"/>
          <w:kern w:val="0"/>
          <w:szCs w:val="21"/>
          <w:highlight w:val="none"/>
        </w:rPr>
        <w:t>供应商须知前附表规定接受联合体投标的，本章第</w:t>
      </w:r>
      <w:r>
        <w:rPr>
          <w:rFonts w:ascii="宋体" w:hAnsi="宋体" w:cs="宋体"/>
          <w:color w:val="auto"/>
          <w:kern w:val="0"/>
          <w:szCs w:val="21"/>
          <w:highlight w:val="none"/>
        </w:rPr>
        <w:t>3.6.1</w:t>
      </w:r>
      <w:r>
        <w:rPr>
          <w:rFonts w:hint="eastAsia" w:ascii="宋体" w:hAnsi="宋体" w:cs="宋体"/>
          <w:color w:val="auto"/>
          <w:kern w:val="0"/>
          <w:szCs w:val="21"/>
          <w:highlight w:val="none"/>
        </w:rPr>
        <w:t>项至第</w:t>
      </w:r>
      <w:r>
        <w:rPr>
          <w:rFonts w:ascii="宋体" w:hAnsi="宋体" w:cs="宋体"/>
          <w:color w:val="auto"/>
          <w:kern w:val="0"/>
          <w:szCs w:val="21"/>
          <w:highlight w:val="none"/>
        </w:rPr>
        <w:t>3.6.2</w:t>
      </w:r>
      <w:r>
        <w:rPr>
          <w:rFonts w:hint="eastAsia" w:ascii="宋体" w:hAnsi="宋体" w:cs="宋体"/>
          <w:color w:val="auto"/>
          <w:kern w:val="0"/>
          <w:szCs w:val="21"/>
          <w:highlight w:val="none"/>
        </w:rPr>
        <w:t>项规定的表格和资料应包括联合体各方相关情况。</w:t>
      </w:r>
    </w:p>
    <w:p>
      <w:pPr>
        <w:autoSpaceDE w:val="0"/>
        <w:autoSpaceDN w:val="0"/>
        <w:adjustRightInd w:val="0"/>
        <w:spacing w:line="38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3.7 </w:t>
      </w:r>
      <w:r>
        <w:rPr>
          <w:rFonts w:hint="eastAsia" w:ascii="宋体" w:hAnsi="宋体" w:cs="宋体"/>
          <w:b/>
          <w:color w:val="auto"/>
          <w:kern w:val="0"/>
          <w:sz w:val="24"/>
          <w:highlight w:val="none"/>
        </w:rPr>
        <w:t>响应文件的编制</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3.7.1 </w:t>
      </w:r>
      <w:r>
        <w:rPr>
          <w:rFonts w:hint="eastAsia" w:ascii="宋体" w:hAnsi="宋体" w:cs="宋体"/>
          <w:color w:val="auto"/>
          <w:kern w:val="0"/>
          <w:szCs w:val="21"/>
          <w:highlight w:val="none"/>
        </w:rPr>
        <w:t>响应文件应按本磋商文件“响应文件格式”进行编写。</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kern w:val="0"/>
          <w:szCs w:val="21"/>
          <w:highlight w:val="none"/>
        </w:rPr>
        <w:t xml:space="preserve">3.7.2 </w:t>
      </w:r>
      <w:r>
        <w:rPr>
          <w:rFonts w:hint="eastAsia" w:ascii="宋体" w:hAnsi="宋体" w:cs="宋体"/>
          <w:color w:val="auto"/>
          <w:kern w:val="0"/>
          <w:szCs w:val="21"/>
          <w:highlight w:val="none"/>
        </w:rPr>
        <w:t>响应文件应当对磋商文件规定的磋商有效期、合同履行期限（工期）、质量要求、服务项目内容及要求等实质性内容作出响应。</w:t>
      </w:r>
    </w:p>
    <w:p>
      <w:pPr>
        <w:autoSpaceDE w:val="0"/>
        <w:autoSpaceDN w:val="0"/>
        <w:adjustRightInd w:val="0"/>
        <w:spacing w:line="380" w:lineRule="exact"/>
        <w:ind w:firstLine="420" w:firstLineChars="200"/>
        <w:jc w:val="left"/>
        <w:rPr>
          <w:rFonts w:ascii="宋体" w:hAnsi="宋体" w:eastAsia="宋体" w:cs="宋体"/>
          <w:color w:val="auto"/>
          <w:kern w:val="0"/>
          <w:szCs w:val="21"/>
          <w:highlight w:val="none"/>
        </w:rPr>
      </w:pPr>
      <w:r>
        <w:rPr>
          <w:rFonts w:ascii="宋体" w:hAnsi="宋体" w:eastAsia="宋体" w:cs="宋体"/>
          <w:color w:val="auto"/>
          <w:kern w:val="0"/>
          <w:szCs w:val="21"/>
          <w:highlight w:val="none"/>
        </w:rPr>
        <w:t xml:space="preserve">3.7.3 </w:t>
      </w:r>
      <w:r>
        <w:rPr>
          <w:rFonts w:hint="eastAsia" w:ascii="宋体" w:hAnsi="宋体" w:eastAsia="宋体" w:cs="宋体"/>
          <w:color w:val="auto"/>
          <w:kern w:val="0"/>
          <w:szCs w:val="21"/>
          <w:highlight w:val="none"/>
          <w:lang w:val="en-US" w:eastAsia="zh-CN"/>
        </w:rPr>
        <w:t xml:space="preserve">供应商凭CA 锁登录，并按网上提示自行下载磋商文件。使用“新点投标文件制作软件”按要求制作电子响应性文件。供应商在制作电子响应性文件时，应按要求进行电子签章。供应商编辑电子响应性文件时，根据磋商文件要求用法定代表人CA锁和企业CA锁进行签章制作；最后一步生成电子响应文件时，只能用本单位的企业CA 锁。 </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3.7.3 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上传件、自备非加密的电子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应一致，不一致时以电子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上传件为准。如电子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出现问题，以自备非加密的电子</w:t>
      </w:r>
      <w:r>
        <w:rPr>
          <w:rFonts w:hint="eastAsia" w:ascii="宋体" w:hAnsi="宋体" w:cs="宋体"/>
          <w:color w:val="auto"/>
          <w:kern w:val="0"/>
          <w:szCs w:val="21"/>
          <w:highlight w:val="none"/>
        </w:rPr>
        <w:t>响应文件</w:t>
      </w:r>
      <w:r>
        <w:rPr>
          <w:rFonts w:hint="eastAsia" w:ascii="宋体" w:hAnsi="宋体" w:cs="宋体"/>
          <w:color w:val="auto"/>
          <w:szCs w:val="21"/>
          <w:highlight w:val="none"/>
        </w:rPr>
        <w:t>为准。</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3.7.4 本项目采用电子开评标方式，潜在</w:t>
      </w:r>
      <w:r>
        <w:rPr>
          <w:rFonts w:hint="eastAsia" w:ascii="宋体" w:hAnsi="宋体" w:eastAsia="宋体" w:cs="宋体"/>
          <w:color w:val="auto"/>
          <w:kern w:val="0"/>
          <w:szCs w:val="21"/>
          <w:highlight w:val="none"/>
          <w:lang w:val="en-US" w:eastAsia="zh-CN"/>
        </w:rPr>
        <w:t>供应商</w:t>
      </w:r>
      <w:r>
        <w:rPr>
          <w:rFonts w:hint="eastAsia" w:ascii="宋体" w:hAnsi="宋体" w:cs="宋体"/>
          <w:color w:val="auto"/>
          <w:szCs w:val="21"/>
          <w:highlight w:val="none"/>
        </w:rPr>
        <w:t>可提前在焦作市交易中心官网首页---下载中心--下载《焦作市电子招投标系统操作手册》、《焦作市公共资源交易平台不见面开标操作手册》和《投标文件制作工作工具》等查看操作说明，按要求进行</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文件制作和上传等。为避免网络拥堵等不可控因素影响</w:t>
      </w:r>
      <w:r>
        <w:rPr>
          <w:rFonts w:hint="eastAsia" w:ascii="宋体" w:hAnsi="宋体" w:cs="宋体"/>
          <w:color w:val="auto"/>
          <w:kern w:val="0"/>
          <w:szCs w:val="21"/>
          <w:highlight w:val="none"/>
        </w:rPr>
        <w:t>响应</w:t>
      </w:r>
      <w:r>
        <w:rPr>
          <w:rFonts w:hint="eastAsia" w:ascii="宋体" w:hAnsi="宋体" w:cs="宋体"/>
          <w:color w:val="auto"/>
          <w:szCs w:val="21"/>
          <w:highlight w:val="none"/>
        </w:rPr>
        <w:t>文件的上传，请提前上传</w:t>
      </w:r>
      <w:r>
        <w:rPr>
          <w:rFonts w:hint="eastAsia" w:ascii="宋体" w:hAnsi="宋体" w:cs="宋体"/>
          <w:color w:val="auto"/>
          <w:kern w:val="0"/>
          <w:szCs w:val="21"/>
          <w:highlight w:val="none"/>
        </w:rPr>
        <w:t>响应</w:t>
      </w:r>
      <w:r>
        <w:rPr>
          <w:rFonts w:hint="eastAsia" w:ascii="宋体" w:hAnsi="宋体" w:cs="宋体"/>
          <w:color w:val="auto"/>
          <w:szCs w:val="21"/>
          <w:highlight w:val="none"/>
        </w:rPr>
        <w:t>文件，并在开标截止时间前登录不见面开标大厅进行签到，按要求解密</w:t>
      </w:r>
      <w:r>
        <w:rPr>
          <w:rFonts w:hint="eastAsia" w:ascii="宋体" w:hAnsi="宋体" w:cs="宋体"/>
          <w:color w:val="auto"/>
          <w:kern w:val="0"/>
          <w:szCs w:val="21"/>
          <w:highlight w:val="none"/>
        </w:rPr>
        <w:t>响应</w:t>
      </w:r>
      <w:r>
        <w:rPr>
          <w:rFonts w:hint="eastAsia" w:ascii="宋体" w:hAnsi="宋体" w:cs="宋体"/>
          <w:color w:val="auto"/>
          <w:szCs w:val="21"/>
          <w:highlight w:val="none"/>
        </w:rPr>
        <w:t>文件。因文件未及时上传导致投标失败的责任由</w:t>
      </w:r>
      <w:r>
        <w:rPr>
          <w:rFonts w:hint="eastAsia" w:ascii="宋体" w:hAnsi="宋体" w:eastAsia="宋体" w:cs="宋体"/>
          <w:color w:val="auto"/>
          <w:kern w:val="0"/>
          <w:szCs w:val="21"/>
          <w:highlight w:val="none"/>
          <w:lang w:val="en-US" w:eastAsia="zh-CN"/>
        </w:rPr>
        <w:t>供应商</w:t>
      </w:r>
      <w:r>
        <w:rPr>
          <w:rFonts w:hint="eastAsia" w:ascii="宋体" w:hAnsi="宋体" w:cs="宋体"/>
          <w:color w:val="auto"/>
          <w:szCs w:val="21"/>
          <w:highlight w:val="none"/>
        </w:rPr>
        <w:t>自行承担。</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3.8 </w:t>
      </w:r>
      <w:r>
        <w:rPr>
          <w:rFonts w:hint="eastAsia" w:ascii="宋体" w:hAnsi="宋体" w:cs="宋体"/>
          <w:b/>
          <w:color w:val="auto"/>
          <w:kern w:val="0"/>
          <w:sz w:val="24"/>
          <w:highlight w:val="none"/>
        </w:rPr>
        <w:t>语言文字</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除专用术语外，与招标投标有关的语言均使用中文。必要时专业术语应附有中文注释。</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3.9 </w:t>
      </w:r>
      <w:r>
        <w:rPr>
          <w:rFonts w:hint="eastAsia" w:ascii="宋体" w:hAnsi="宋体" w:cs="宋体"/>
          <w:b/>
          <w:color w:val="auto"/>
          <w:kern w:val="0"/>
          <w:sz w:val="24"/>
          <w:highlight w:val="none"/>
        </w:rPr>
        <w:t>计量单位和货币</w:t>
      </w:r>
    </w:p>
    <w:p>
      <w:pPr>
        <w:autoSpaceDE w:val="0"/>
        <w:autoSpaceDN w:val="0"/>
        <w:adjustRightInd w:val="0"/>
        <w:spacing w:line="440" w:lineRule="exact"/>
        <w:ind w:firstLine="420" w:firstLineChars="200"/>
        <w:jc w:val="left"/>
        <w:rPr>
          <w:rFonts w:ascii="宋体" w:cs="宋体"/>
          <w:color w:val="auto"/>
          <w:kern w:val="0"/>
          <w:szCs w:val="21"/>
          <w:highlight w:val="none"/>
        </w:rPr>
      </w:pPr>
      <w:r>
        <w:rPr>
          <w:rFonts w:hint="eastAsia" w:ascii="宋体" w:hAnsi="宋体" w:cs="宋体"/>
          <w:color w:val="auto"/>
          <w:kern w:val="0"/>
          <w:szCs w:val="21"/>
          <w:highlight w:val="none"/>
        </w:rPr>
        <w:t>所有计量单位均采用中华人民共和国法定计量单位。货币均采用人民币。</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3.10 </w:t>
      </w:r>
      <w:r>
        <w:rPr>
          <w:rFonts w:hint="eastAsia" w:ascii="宋体" w:hAnsi="宋体" w:cs="宋体"/>
          <w:b/>
          <w:color w:val="auto"/>
          <w:kern w:val="0"/>
          <w:sz w:val="24"/>
          <w:highlight w:val="none"/>
        </w:rPr>
        <w:t>踏勘现场</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3.10.1 供应商须知前附表规定组织踏勘现场的，采购人按供应商须知前附表规定的时间、地点组织供应商踏勘项目现场。</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3.10.2 供应商踏勘现场发生的费用自理。</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cs="宋体"/>
          <w:color w:val="auto"/>
          <w:kern w:val="0"/>
          <w:szCs w:val="21"/>
          <w:highlight w:val="none"/>
        </w:rPr>
      </w:pPr>
      <w:r>
        <w:rPr>
          <w:rFonts w:hint="eastAsia" w:ascii="宋体" w:hAnsi="宋体" w:cs="宋体"/>
          <w:color w:val="auto"/>
          <w:szCs w:val="21"/>
          <w:highlight w:val="none"/>
        </w:rPr>
        <w:t>3.10.3 采购人在踏勘现场中介绍的情况，供供应商在编制响应文件时参考，采购人不对供应商据此作出的判断和决策负责</w:t>
      </w:r>
      <w:r>
        <w:rPr>
          <w:rFonts w:hint="eastAsia" w:ascii="宋体" w:hAnsi="宋体" w:cs="宋体"/>
          <w:color w:val="auto"/>
          <w:kern w:val="0"/>
          <w:szCs w:val="21"/>
          <w:highlight w:val="none"/>
        </w:rPr>
        <w:t>。</w:t>
      </w:r>
    </w:p>
    <w:p>
      <w:pPr>
        <w:pStyle w:val="6"/>
        <w:numPr>
          <w:ilvl w:val="0"/>
          <w:numId w:val="6"/>
        </w:numPr>
        <w:spacing w:before="0" w:after="0" w:line="440" w:lineRule="exact"/>
        <w:ind w:left="180"/>
        <w:jc w:val="left"/>
        <w:rPr>
          <w:rStyle w:val="41"/>
          <w:rFonts w:ascii="宋体" w:hAnsi="宋体" w:eastAsia="宋体" w:cs="宋体"/>
          <w:b/>
          <w:bCs/>
          <w:color w:val="auto"/>
          <w:highlight w:val="none"/>
        </w:rPr>
      </w:pPr>
      <w:bookmarkStart w:id="23" w:name="_Toc29530"/>
      <w:r>
        <w:rPr>
          <w:rStyle w:val="41"/>
          <w:rFonts w:hint="eastAsia" w:ascii="宋体" w:hAnsi="宋体" w:eastAsia="宋体" w:cs="宋体"/>
          <w:b/>
          <w:bCs/>
          <w:color w:val="auto"/>
          <w:highlight w:val="none"/>
        </w:rPr>
        <w:t>响应</w:t>
      </w:r>
      <w:bookmarkEnd w:id="23"/>
    </w:p>
    <w:p>
      <w:pPr>
        <w:keepNext/>
        <w:keepLines/>
        <w:spacing w:line="440" w:lineRule="exact"/>
        <w:ind w:left="468"/>
        <w:jc w:val="left"/>
        <w:rPr>
          <w:rFonts w:ascii="宋体" w:cs="宋体"/>
          <w:b/>
          <w:color w:val="auto"/>
          <w:sz w:val="24"/>
          <w:highlight w:val="none"/>
        </w:rPr>
      </w:pPr>
      <w:r>
        <w:rPr>
          <w:rFonts w:ascii="宋体" w:hAnsi="宋体" w:cs="宋体"/>
          <w:b/>
          <w:color w:val="auto"/>
          <w:sz w:val="24"/>
          <w:highlight w:val="none"/>
        </w:rPr>
        <w:t xml:space="preserve">4.1 </w:t>
      </w:r>
      <w:r>
        <w:rPr>
          <w:rFonts w:hint="eastAsia" w:ascii="宋体" w:hAnsi="宋体" w:cs="宋体"/>
          <w:b/>
          <w:color w:val="auto"/>
          <w:sz w:val="24"/>
          <w:highlight w:val="none"/>
        </w:rPr>
        <w:t>响应文件的密封和标记</w:t>
      </w:r>
    </w:p>
    <w:p>
      <w:pPr>
        <w:autoSpaceDE w:val="0"/>
        <w:autoSpaceDN w:val="0"/>
        <w:adjustRightInd w:val="0"/>
        <w:spacing w:line="440" w:lineRule="exact"/>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4.1.1</w:t>
      </w:r>
      <w:r>
        <w:rPr>
          <w:rFonts w:hint="eastAsia" w:ascii="宋体" w:hAnsi="宋体" w:eastAsia="宋体" w:cs="宋体"/>
          <w:color w:val="auto"/>
          <w:kern w:val="0"/>
          <w:szCs w:val="21"/>
          <w:highlight w:val="none"/>
        </w:rPr>
        <w:t>本项目为不见面开标，加密电子</w:t>
      </w:r>
      <w:r>
        <w:rPr>
          <w:rFonts w:hint="eastAsia" w:ascii="宋体" w:hAnsi="宋体" w:eastAsia="宋体" w:cs="宋体"/>
          <w:color w:val="auto"/>
          <w:kern w:val="0"/>
          <w:szCs w:val="21"/>
          <w:highlight w:val="none"/>
          <w:lang w:val="en-US" w:eastAsia="zh-CN"/>
        </w:rPr>
        <w:t>响应性</w:t>
      </w:r>
      <w:r>
        <w:rPr>
          <w:rFonts w:hint="eastAsia" w:ascii="宋体" w:hAnsi="宋体" w:eastAsia="宋体" w:cs="宋体"/>
          <w:color w:val="auto"/>
          <w:kern w:val="0"/>
          <w:szCs w:val="21"/>
          <w:highlight w:val="none"/>
        </w:rPr>
        <w:t>文件须在</w:t>
      </w:r>
      <w:r>
        <w:rPr>
          <w:rFonts w:hint="eastAsia" w:ascii="宋体" w:hAnsi="宋体" w:eastAsia="宋体" w:cs="宋体"/>
          <w:color w:val="auto"/>
          <w:kern w:val="0"/>
          <w:szCs w:val="21"/>
          <w:highlight w:val="none"/>
          <w:lang w:val="en-US" w:eastAsia="zh-CN"/>
        </w:rPr>
        <w:t>响应性文件提交</w:t>
      </w:r>
      <w:r>
        <w:rPr>
          <w:rFonts w:hint="eastAsia" w:ascii="宋体" w:hAnsi="宋体" w:eastAsia="宋体" w:cs="宋体"/>
          <w:color w:val="auto"/>
          <w:kern w:val="0"/>
          <w:szCs w:val="21"/>
          <w:highlight w:val="none"/>
        </w:rPr>
        <w:t>截止时间前通过“焦作市公共资源交易中心（http://www.jzggzy.cn/）”网站-交易平台加密上传。除电子</w:t>
      </w:r>
      <w:r>
        <w:rPr>
          <w:rFonts w:hint="eastAsia" w:ascii="宋体" w:hAnsi="宋体" w:eastAsia="宋体" w:cs="宋体"/>
          <w:color w:val="auto"/>
          <w:kern w:val="0"/>
          <w:szCs w:val="21"/>
          <w:highlight w:val="none"/>
          <w:lang w:val="en-US" w:eastAsia="zh-CN"/>
        </w:rPr>
        <w:t>响应性</w:t>
      </w:r>
      <w:r>
        <w:rPr>
          <w:rFonts w:hint="eastAsia" w:ascii="宋体" w:hAnsi="宋体" w:eastAsia="宋体" w:cs="宋体"/>
          <w:color w:val="auto"/>
          <w:kern w:val="0"/>
          <w:szCs w:val="21"/>
          <w:highlight w:val="none"/>
        </w:rPr>
        <w:t>文件外，</w:t>
      </w:r>
      <w:r>
        <w:rPr>
          <w:rFonts w:hint="eastAsia" w:ascii="宋体" w:hAnsi="宋体" w:eastAsia="宋体" w:cs="宋体"/>
          <w:color w:val="auto"/>
          <w:kern w:val="0"/>
          <w:szCs w:val="21"/>
          <w:highlight w:val="none"/>
          <w:lang w:val="en-US" w:eastAsia="zh-CN"/>
        </w:rPr>
        <w:t>磋商</w:t>
      </w:r>
      <w:r>
        <w:rPr>
          <w:rFonts w:hint="eastAsia" w:ascii="宋体" w:hAnsi="宋体" w:eastAsia="宋体" w:cs="宋体"/>
          <w:color w:val="auto"/>
          <w:kern w:val="0"/>
          <w:szCs w:val="21"/>
          <w:highlight w:val="none"/>
        </w:rPr>
        <w:t>时不再接受任何纸质文件、资料等。</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default" w:eastAsia="宋体"/>
          <w:color w:val="auto"/>
          <w:highlight w:val="none"/>
          <w:lang w:val="en-US" w:eastAsia="zh-CN"/>
        </w:rPr>
      </w:pPr>
      <w:r>
        <w:rPr>
          <w:rFonts w:hint="eastAsia" w:ascii="宋体" w:hAnsi="宋体" w:eastAsia="宋体" w:cs="宋体"/>
          <w:color w:val="auto"/>
          <w:kern w:val="0"/>
          <w:szCs w:val="21"/>
          <w:highlight w:val="none"/>
          <w:lang w:val="en-US" w:eastAsia="zh-CN"/>
        </w:rPr>
        <w:t>4.1.2</w:t>
      </w:r>
      <w:r>
        <w:rPr>
          <w:rFonts w:hint="eastAsia" w:ascii="宋体" w:hAnsi="宋体" w:cs="宋体"/>
          <w:color w:val="auto"/>
          <w:szCs w:val="21"/>
          <w:highlight w:val="none"/>
        </w:rPr>
        <w:t>自备非加密的电子</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文件一份，如有紧急情况，在不见面开标按要求上传。</w:t>
      </w:r>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4.2 </w:t>
      </w:r>
      <w:r>
        <w:rPr>
          <w:rFonts w:hint="eastAsia" w:ascii="宋体" w:hAnsi="宋体" w:cs="宋体"/>
          <w:b/>
          <w:color w:val="auto"/>
          <w:kern w:val="0"/>
          <w:sz w:val="24"/>
          <w:highlight w:val="none"/>
        </w:rPr>
        <w:t>响应文件的递交</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4.2.1 所有</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文件必须在</w:t>
      </w:r>
      <w:r>
        <w:rPr>
          <w:rFonts w:hint="eastAsia" w:ascii="宋体" w:hAnsi="宋体" w:cs="宋体"/>
          <w:color w:val="auto"/>
          <w:szCs w:val="21"/>
          <w:highlight w:val="none"/>
          <w:lang w:eastAsia="zh-CN"/>
        </w:rPr>
        <w:t>磋商</w:t>
      </w:r>
      <w:r>
        <w:rPr>
          <w:rFonts w:hint="eastAsia" w:ascii="宋体" w:hAnsi="宋体" w:cs="宋体"/>
          <w:color w:val="auto"/>
          <w:szCs w:val="21"/>
          <w:highlight w:val="none"/>
        </w:rPr>
        <w:t>文件中规定的投标截止时间之前请提前上传</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文件；并在开标截止时间前登录不见面开标大厅进行签到，按要求解密</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文件，不能按时上传、签到、解密者视为自动放弃投标。</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4.2.2 采购人拒绝接收在</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文件递交截止时间后上传的</w:t>
      </w:r>
      <w:r>
        <w:rPr>
          <w:rFonts w:hint="eastAsia" w:ascii="宋体" w:hAnsi="宋体" w:cs="宋体"/>
          <w:color w:val="auto"/>
          <w:szCs w:val="21"/>
          <w:highlight w:val="none"/>
          <w:lang w:eastAsia="zh-CN"/>
        </w:rPr>
        <w:t>响应</w:t>
      </w:r>
      <w:r>
        <w:rPr>
          <w:rFonts w:hint="eastAsia" w:ascii="宋体" w:hAnsi="宋体" w:cs="宋体"/>
          <w:color w:val="auto"/>
          <w:szCs w:val="21"/>
          <w:highlight w:val="none"/>
        </w:rPr>
        <w:t>文件。</w:t>
      </w:r>
    </w:p>
    <w:p>
      <w:pPr>
        <w:autoSpaceDE w:val="0"/>
        <w:autoSpaceDN w:val="0"/>
        <w:adjustRightInd w:val="0"/>
        <w:spacing w:line="440" w:lineRule="exact"/>
        <w:jc w:val="left"/>
        <w:rPr>
          <w:rFonts w:ascii="宋体" w:cs="宋体"/>
          <w:b/>
          <w:color w:val="auto"/>
          <w:kern w:val="0"/>
          <w:sz w:val="24"/>
          <w:highlight w:val="none"/>
        </w:rPr>
      </w:pPr>
      <w:r>
        <w:rPr>
          <w:rFonts w:ascii="宋体" w:hAnsi="宋体" w:cs="宋体"/>
          <w:b/>
          <w:color w:val="auto"/>
          <w:kern w:val="0"/>
          <w:sz w:val="24"/>
          <w:highlight w:val="none"/>
        </w:rPr>
        <w:t xml:space="preserve">    4.3 </w:t>
      </w:r>
      <w:r>
        <w:rPr>
          <w:rFonts w:hint="eastAsia" w:ascii="宋体" w:hAnsi="宋体" w:cs="宋体"/>
          <w:b/>
          <w:color w:val="auto"/>
          <w:kern w:val="0"/>
          <w:sz w:val="24"/>
          <w:highlight w:val="none"/>
        </w:rPr>
        <w:t>响应文件的修改与撤回</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 xml:space="preserve">4.3.1 </w:t>
      </w:r>
      <w:r>
        <w:rPr>
          <w:rFonts w:hint="eastAsia" w:ascii="宋体" w:hAnsi="宋体" w:eastAsia="宋体" w:cs="宋体"/>
          <w:color w:val="auto"/>
          <w:szCs w:val="21"/>
          <w:highlight w:val="none"/>
          <w:lang w:val="en-US" w:eastAsia="zh-CN"/>
        </w:rPr>
        <w:t>供应商在提交响应性文件后可对其响应性文件进行修改、撤回，但需要在响应性文件接收截止时间前重新上传响应性文件。</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4.3.2  供应商在响应性文件接收截止时间后不得修改、撤回响应性文件。供应商在响应性文件接收截止时间后修改响应性文件的，将被拒绝接受。</w:t>
      </w:r>
    </w:p>
    <w:p>
      <w:pPr>
        <w:pStyle w:val="6"/>
        <w:numPr>
          <w:ilvl w:val="0"/>
          <w:numId w:val="6"/>
        </w:numPr>
        <w:spacing w:before="0" w:after="0" w:line="440" w:lineRule="exact"/>
        <w:ind w:left="180"/>
        <w:jc w:val="left"/>
        <w:rPr>
          <w:rStyle w:val="41"/>
          <w:rFonts w:ascii="宋体" w:hAnsi="宋体" w:eastAsia="宋体" w:cs="宋体"/>
          <w:b/>
          <w:bCs/>
          <w:color w:val="auto"/>
          <w:highlight w:val="none"/>
        </w:rPr>
      </w:pPr>
      <w:bookmarkStart w:id="24" w:name="_Toc21081"/>
      <w:r>
        <w:rPr>
          <w:rStyle w:val="41"/>
          <w:rFonts w:hint="eastAsia" w:ascii="宋体" w:hAnsi="宋体" w:eastAsia="宋体" w:cs="宋体"/>
          <w:b/>
          <w:bCs/>
          <w:color w:val="auto"/>
          <w:highlight w:val="none"/>
        </w:rPr>
        <w:t>磋商开始</w:t>
      </w:r>
      <w:bookmarkEnd w:id="24"/>
    </w:p>
    <w:p>
      <w:pPr>
        <w:autoSpaceDE w:val="0"/>
        <w:autoSpaceDN w:val="0"/>
        <w:adjustRightInd w:val="0"/>
        <w:spacing w:line="44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5.1 </w:t>
      </w:r>
      <w:r>
        <w:rPr>
          <w:rFonts w:hint="eastAsia" w:ascii="宋体" w:hAnsi="宋体" w:cs="宋体"/>
          <w:b/>
          <w:color w:val="auto"/>
          <w:kern w:val="0"/>
          <w:sz w:val="24"/>
          <w:highlight w:val="none"/>
        </w:rPr>
        <w:t>磋商时间、地点和方式</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本项目采用远程不见面交易的模式。</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采购人</w:t>
      </w:r>
      <w:r>
        <w:rPr>
          <w:rFonts w:hint="eastAsia" w:ascii="宋体" w:hAnsi="宋体" w:eastAsia="宋体" w:cs="宋体"/>
          <w:color w:val="auto"/>
          <w:szCs w:val="21"/>
          <w:highlight w:val="none"/>
        </w:rPr>
        <w:t>在</w:t>
      </w:r>
      <w:r>
        <w:rPr>
          <w:rFonts w:hint="eastAsia" w:ascii="宋体" w:hAnsi="宋体" w:eastAsia="宋体" w:cs="宋体"/>
          <w:color w:val="auto"/>
          <w:szCs w:val="21"/>
          <w:highlight w:val="none"/>
          <w:lang w:val="en-US" w:eastAsia="zh-CN"/>
        </w:rPr>
        <w:t>竞争性磋商</w:t>
      </w:r>
      <w:r>
        <w:rPr>
          <w:rFonts w:hint="eastAsia" w:ascii="宋体" w:hAnsi="宋体" w:eastAsia="宋体" w:cs="宋体"/>
          <w:color w:val="auto"/>
          <w:szCs w:val="21"/>
          <w:highlight w:val="none"/>
        </w:rPr>
        <w:t>文件中规定的时间和地点开标。</w:t>
      </w:r>
      <w:r>
        <w:rPr>
          <w:rFonts w:hint="eastAsia" w:ascii="宋体" w:hAnsi="宋体" w:eastAsia="宋体" w:cs="宋体"/>
          <w:color w:val="auto"/>
          <w:szCs w:val="21"/>
          <w:highlight w:val="none"/>
          <w:lang w:val="en-US" w:eastAsia="zh-CN"/>
        </w:rPr>
        <w:t>不见面开标大厅网址 （http://www.jzggzy.cn/BidOpeningHall/bidhall/default/login）供应商无需到焦作市公共资源交易中心现场参加磋商会，无需到达现场提交原件资料。供应商应在响应性文件接收截止时间前，登录不见面开标大厅系统，在线准时参加磋商活动并进行文件解密，开标结束后，在焦作市公共资源交易平台进行交易主体登录，在线参加答疑澄清、二轮报价或最后报价等。在规定时间内响应性文件未解密的供应商，视为放弃投标。</w:t>
      </w:r>
    </w:p>
    <w:p>
      <w:pPr>
        <w:autoSpaceDE w:val="0"/>
        <w:autoSpaceDN w:val="0"/>
        <w:adjustRightInd w:val="0"/>
        <w:spacing w:line="440" w:lineRule="exact"/>
        <w:ind w:firstLine="482" w:firstLineChars="200"/>
        <w:rPr>
          <w:rFonts w:hint="eastAsia" w:ascii="宋体" w:hAnsi="宋体" w:cs="宋体"/>
          <w:b/>
          <w:color w:val="auto"/>
          <w:kern w:val="0"/>
          <w:sz w:val="24"/>
          <w:highlight w:val="none"/>
        </w:rPr>
      </w:pPr>
      <w:r>
        <w:rPr>
          <w:rFonts w:ascii="宋体" w:hAnsi="宋体" w:cs="宋体"/>
          <w:b/>
          <w:color w:val="auto"/>
          <w:kern w:val="0"/>
          <w:sz w:val="24"/>
          <w:highlight w:val="none"/>
        </w:rPr>
        <w:t>5.</w:t>
      </w:r>
      <w:r>
        <w:rPr>
          <w:rFonts w:hint="eastAsia" w:ascii="宋体" w:hAnsi="宋体" w:cs="宋体"/>
          <w:b/>
          <w:color w:val="auto"/>
          <w:kern w:val="0"/>
          <w:sz w:val="24"/>
          <w:highlight w:val="none"/>
          <w:lang w:val="en-US" w:eastAsia="zh-CN"/>
        </w:rPr>
        <w:t>2</w:t>
      </w:r>
      <w:r>
        <w:rPr>
          <w:rFonts w:hint="eastAsia" w:ascii="宋体" w:hAnsi="宋体" w:cs="宋体"/>
          <w:b/>
          <w:color w:val="auto"/>
          <w:kern w:val="0"/>
          <w:sz w:val="24"/>
          <w:highlight w:val="none"/>
        </w:rPr>
        <w:t>磋商会议程序</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（1）公布在递交响应性文件截止时间前递交响应性文件的供应商名称；</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（2）供应商在不见面开标大厅对已递交的电子响应性文件在规定时间内进行解密；</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（3）批量导入文件；</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（4）代理机构将通过不见面开标大厅公布磋商项目名称、供应商名称及其他内容，并记录在案；</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（5）供应商对开标过程进行无异议确认；</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（6）采购人代表、监督人等有关人员按具体现场系统情况在开标记录上签字确认；</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（7）开标结束；</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（8）磋商小组对已通过资格性、符合性审查的供应商发起二轮或最后报价邀请；</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（9）供应商在规定时间内通过焦作市公共资源交易平台进行二轮或最后报价。</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5.3</w:t>
      </w:r>
      <w:r>
        <w:rPr>
          <w:rFonts w:hint="eastAsia" w:ascii="宋体" w:hAnsi="宋体" w:eastAsia="宋体" w:cs="宋体"/>
          <w:color w:val="auto"/>
          <w:szCs w:val="21"/>
          <w:highlight w:val="none"/>
          <w:lang w:val="en-US" w:eastAsia="zh-CN"/>
        </w:rPr>
        <w:t xml:space="preserve">供应商应认真学习《投标单位操作手册》，根据手册要求做好不见面磋商的准备工作，否则由此引起的未能解密、解密失败或解密超时的将被拒绝。 </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5.4</w:t>
      </w:r>
      <w:r>
        <w:rPr>
          <w:rFonts w:hint="eastAsia" w:ascii="宋体" w:hAnsi="宋体" w:eastAsia="宋体" w:cs="宋体"/>
          <w:color w:val="auto"/>
          <w:szCs w:val="21"/>
          <w:highlight w:val="none"/>
          <w:lang w:val="en-US" w:eastAsia="zh-CN"/>
        </w:rPr>
        <w:t xml:space="preserve">供应商应在解密时间内插入单位CA锁，输入密码，进行解密。 </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5.5</w:t>
      </w:r>
      <w:r>
        <w:rPr>
          <w:rFonts w:hint="eastAsia" w:ascii="宋体" w:hAnsi="宋体" w:eastAsia="宋体" w:cs="宋体"/>
          <w:color w:val="auto"/>
          <w:szCs w:val="21"/>
          <w:highlight w:val="none"/>
          <w:lang w:val="en-US" w:eastAsia="zh-CN"/>
        </w:rPr>
        <w:t>采购人及采购代理机构在磋商文件规定的时间及地点开标。供应商无需到达磋商会现场，但在开评标期间，供应商的法定代表人或其授权委托人应参与远程交互，中途不得更换，在解密文件、澄清、答疑、传送文件、最后报价等特殊情况下需要交互时，供应商一端参与交互的人员将均被视为是供应商的法定代表人或其授权委托人，供应商自行承担随意更换人员或未按要求参与交互所导致的一切后果。供应商超时交互，由此产生的不利于供应商的评审风险由供应商自行承担。</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5.6</w:t>
      </w:r>
      <w:r>
        <w:rPr>
          <w:rFonts w:hint="eastAsia" w:ascii="宋体" w:hAnsi="宋体" w:eastAsia="宋体" w:cs="宋体"/>
          <w:color w:val="auto"/>
          <w:szCs w:val="21"/>
          <w:highlight w:val="none"/>
          <w:lang w:val="en-US" w:eastAsia="zh-CN"/>
        </w:rPr>
        <w:t>供应商出现下列情况之一者为废标，取消参加磋商资格：</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（1）未按规定在响应性文件接收截止时间前递交电子响应性文件（加密版）的；</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（2）磋商会时，因供应商自身原因而导致电子响应性文件无法导入“全国公共资源交易平台 （河南省·焦作市）”（http://www.jzggzy.cn/）-“焦作市电子招投标交易平台”电子开标、评标系统的。</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5.7</w:t>
      </w:r>
      <w:r>
        <w:rPr>
          <w:rFonts w:hint="eastAsia" w:ascii="宋体" w:hAnsi="宋体" w:eastAsia="宋体" w:cs="宋体"/>
          <w:color w:val="auto"/>
          <w:szCs w:val="21"/>
          <w:highlight w:val="none"/>
          <w:lang w:val="en-US" w:eastAsia="zh-CN"/>
        </w:rPr>
        <w:t>开标异议</w:t>
      </w:r>
    </w:p>
    <w:p>
      <w:pPr>
        <w:keepNext w:val="0"/>
        <w:keepLines w:val="0"/>
        <w:pageBreakBefore w:val="0"/>
        <w:widowControl w:val="0"/>
        <w:kinsoku/>
        <w:wordWrap/>
        <w:overflowPunct/>
        <w:topLinePunct w:val="0"/>
        <w:bidi w:val="0"/>
        <w:snapToGrid/>
        <w:spacing w:line="392" w:lineRule="exact"/>
        <w:ind w:firstLine="420" w:firstLineChars="20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供应商对磋商会有异议的，应当在磋商会现场提出，采购人当场作出答复，并制作记录。</w:t>
      </w:r>
    </w:p>
    <w:p>
      <w:pPr>
        <w:keepNext w:val="0"/>
        <w:keepLines w:val="0"/>
        <w:pageBreakBefore w:val="0"/>
        <w:widowControl w:val="0"/>
        <w:kinsoku/>
        <w:wordWrap/>
        <w:overflowPunct/>
        <w:topLinePunct w:val="0"/>
        <w:bidi w:val="0"/>
        <w:snapToGrid/>
        <w:spacing w:line="392" w:lineRule="exact"/>
        <w:ind w:firstLine="482" w:firstLineChars="200"/>
        <w:textAlignment w:val="auto"/>
        <w:rPr>
          <w:rFonts w:hint="default" w:ascii="宋体" w:hAnsi="宋体" w:eastAsia="宋体" w:cs="宋体"/>
          <w:color w:val="auto"/>
          <w:szCs w:val="21"/>
          <w:highlight w:val="none"/>
          <w:lang w:val="en-US" w:eastAsia="zh-CN"/>
        </w:rPr>
      </w:pPr>
      <w:r>
        <w:rPr>
          <w:rFonts w:hint="eastAsia" w:ascii="宋体" w:hAnsi="宋体" w:eastAsia="宋体" w:cs="宋体"/>
          <w:b/>
          <w:color w:val="auto"/>
          <w:kern w:val="0"/>
          <w:sz w:val="24"/>
          <w:highlight w:val="none"/>
          <w:lang w:val="en-US" w:eastAsia="zh-CN"/>
        </w:rPr>
        <w:t>5.8</w:t>
      </w:r>
      <w:r>
        <w:rPr>
          <w:rFonts w:hint="eastAsia" w:ascii="宋体" w:hAnsi="宋体" w:eastAsia="宋体" w:cs="宋体"/>
          <w:color w:val="auto"/>
          <w:szCs w:val="21"/>
          <w:highlight w:val="none"/>
          <w:lang w:val="en-US" w:eastAsia="zh-CN"/>
        </w:rPr>
        <w:t>本项目第二次报价即为最终磋商报价。</w:t>
      </w:r>
    </w:p>
    <w:p>
      <w:pPr>
        <w:pStyle w:val="6"/>
        <w:numPr>
          <w:ilvl w:val="0"/>
          <w:numId w:val="6"/>
        </w:numPr>
        <w:spacing w:before="0" w:after="0" w:line="420" w:lineRule="exact"/>
        <w:ind w:left="180"/>
        <w:jc w:val="left"/>
        <w:rPr>
          <w:rStyle w:val="41"/>
          <w:rFonts w:ascii="宋体" w:hAnsi="宋体" w:eastAsia="宋体" w:cs="宋体"/>
          <w:b/>
          <w:bCs/>
          <w:color w:val="auto"/>
          <w:highlight w:val="none"/>
        </w:rPr>
      </w:pPr>
      <w:bookmarkStart w:id="25" w:name="_Toc7623"/>
      <w:r>
        <w:rPr>
          <w:rStyle w:val="41"/>
          <w:rFonts w:hint="eastAsia" w:ascii="宋体" w:hAnsi="宋体" w:eastAsia="宋体" w:cs="宋体"/>
          <w:b/>
          <w:bCs/>
          <w:color w:val="auto"/>
          <w:highlight w:val="none"/>
        </w:rPr>
        <w:t>磋商</w:t>
      </w:r>
      <w:bookmarkEnd w:id="25"/>
    </w:p>
    <w:p>
      <w:pPr>
        <w:autoSpaceDE w:val="0"/>
        <w:autoSpaceDN w:val="0"/>
        <w:adjustRightInd w:val="0"/>
        <w:spacing w:line="440" w:lineRule="exact"/>
        <w:ind w:firstLine="420"/>
        <w:jc w:val="left"/>
        <w:rPr>
          <w:rFonts w:ascii="宋体" w:cs="宋体"/>
          <w:color w:val="auto"/>
          <w:kern w:val="0"/>
          <w:szCs w:val="21"/>
          <w:highlight w:val="none"/>
        </w:rPr>
      </w:pPr>
      <w:r>
        <w:rPr>
          <w:rFonts w:ascii="宋体" w:hAnsi="宋体" w:cs="宋体"/>
          <w:color w:val="auto"/>
          <w:kern w:val="0"/>
          <w:szCs w:val="21"/>
          <w:highlight w:val="none"/>
        </w:rPr>
        <w:t xml:space="preserve">6.1 </w:t>
      </w:r>
      <w:r>
        <w:rPr>
          <w:rFonts w:hint="eastAsia" w:ascii="宋体" w:hAnsi="宋体" w:cs="宋体"/>
          <w:color w:val="auto"/>
          <w:kern w:val="0"/>
          <w:szCs w:val="21"/>
          <w:highlight w:val="none"/>
        </w:rPr>
        <w:t>磋商小组</w:t>
      </w:r>
    </w:p>
    <w:p>
      <w:pPr>
        <w:autoSpaceDE w:val="0"/>
        <w:autoSpaceDN w:val="0"/>
        <w:adjustRightInd w:val="0"/>
        <w:spacing w:line="440" w:lineRule="exact"/>
        <w:ind w:firstLine="420"/>
        <w:jc w:val="left"/>
        <w:rPr>
          <w:rFonts w:ascii="宋体" w:cs="宋体"/>
          <w:color w:val="auto"/>
          <w:kern w:val="0"/>
          <w:szCs w:val="21"/>
          <w:highlight w:val="none"/>
        </w:rPr>
      </w:pPr>
      <w:r>
        <w:rPr>
          <w:rFonts w:hint="eastAsia" w:ascii="宋体" w:hAnsi="宋体" w:cs="宋体"/>
          <w:color w:val="auto"/>
          <w:kern w:val="0"/>
          <w:szCs w:val="21"/>
          <w:highlight w:val="none"/>
        </w:rPr>
        <w:t>磋商由采购人依法组建的磋商小组负责。磋商小组由采购人代表以及有关技术、经济等方面的专家组成。磋商小组成员人数以及技术、经济等方面专家的确定方式见供应商须知前附表。</w:t>
      </w:r>
    </w:p>
    <w:p>
      <w:pPr>
        <w:autoSpaceDE w:val="0"/>
        <w:autoSpaceDN w:val="0"/>
        <w:adjustRightInd w:val="0"/>
        <w:spacing w:line="440" w:lineRule="exact"/>
        <w:ind w:firstLine="420"/>
        <w:jc w:val="left"/>
        <w:rPr>
          <w:rFonts w:ascii="宋体" w:cs="宋体"/>
          <w:color w:val="auto"/>
          <w:kern w:val="0"/>
          <w:szCs w:val="21"/>
          <w:highlight w:val="none"/>
        </w:rPr>
      </w:pPr>
      <w:r>
        <w:rPr>
          <w:rFonts w:ascii="宋体" w:hAnsi="宋体" w:cs="宋体"/>
          <w:color w:val="auto"/>
          <w:kern w:val="0"/>
          <w:szCs w:val="21"/>
          <w:highlight w:val="none"/>
        </w:rPr>
        <w:t xml:space="preserve">6.2 </w:t>
      </w:r>
      <w:r>
        <w:rPr>
          <w:rFonts w:hint="eastAsia" w:ascii="宋体" w:hAnsi="宋体" w:cs="宋体"/>
          <w:color w:val="auto"/>
          <w:kern w:val="0"/>
          <w:szCs w:val="21"/>
          <w:highlight w:val="none"/>
        </w:rPr>
        <w:t>磋商原则</w:t>
      </w:r>
    </w:p>
    <w:p>
      <w:pPr>
        <w:autoSpaceDE w:val="0"/>
        <w:autoSpaceDN w:val="0"/>
        <w:adjustRightInd w:val="0"/>
        <w:spacing w:line="440" w:lineRule="exact"/>
        <w:ind w:firstLine="420"/>
        <w:jc w:val="left"/>
        <w:rPr>
          <w:rFonts w:ascii="宋体" w:cs="宋体"/>
          <w:color w:val="auto"/>
          <w:kern w:val="0"/>
          <w:szCs w:val="21"/>
          <w:highlight w:val="none"/>
        </w:rPr>
      </w:pPr>
      <w:r>
        <w:rPr>
          <w:rFonts w:hint="eastAsia" w:ascii="宋体" w:hAnsi="宋体" w:cs="宋体"/>
          <w:color w:val="auto"/>
          <w:kern w:val="0"/>
          <w:szCs w:val="21"/>
          <w:highlight w:val="none"/>
        </w:rPr>
        <w:t>磋商活动遵循公平、公正、科学和择优的原则。</w:t>
      </w:r>
    </w:p>
    <w:p>
      <w:pPr>
        <w:autoSpaceDE w:val="0"/>
        <w:autoSpaceDN w:val="0"/>
        <w:adjustRightInd w:val="0"/>
        <w:spacing w:line="440" w:lineRule="exact"/>
        <w:ind w:firstLine="420"/>
        <w:jc w:val="left"/>
        <w:rPr>
          <w:rFonts w:ascii="宋体" w:cs="宋体"/>
          <w:color w:val="auto"/>
          <w:kern w:val="0"/>
          <w:szCs w:val="21"/>
          <w:highlight w:val="none"/>
        </w:rPr>
      </w:pPr>
      <w:r>
        <w:rPr>
          <w:rFonts w:ascii="宋体" w:hAnsi="宋体" w:cs="宋体"/>
          <w:color w:val="auto"/>
          <w:kern w:val="0"/>
          <w:szCs w:val="21"/>
          <w:highlight w:val="none"/>
        </w:rPr>
        <w:t xml:space="preserve">6.3 </w:t>
      </w:r>
      <w:r>
        <w:rPr>
          <w:rFonts w:hint="eastAsia" w:ascii="宋体" w:hAnsi="宋体" w:cs="宋体"/>
          <w:color w:val="auto"/>
          <w:kern w:val="0"/>
          <w:szCs w:val="21"/>
          <w:highlight w:val="none"/>
        </w:rPr>
        <w:t>磋商</w:t>
      </w:r>
    </w:p>
    <w:p>
      <w:pPr>
        <w:autoSpaceDE w:val="0"/>
        <w:autoSpaceDN w:val="0"/>
        <w:adjustRightInd w:val="0"/>
        <w:spacing w:line="440" w:lineRule="exact"/>
        <w:ind w:firstLine="420"/>
        <w:jc w:val="left"/>
        <w:rPr>
          <w:rFonts w:ascii="宋体" w:cs="宋体"/>
          <w:color w:val="auto"/>
          <w:kern w:val="0"/>
          <w:szCs w:val="21"/>
          <w:highlight w:val="none"/>
        </w:rPr>
      </w:pPr>
      <w:r>
        <w:rPr>
          <w:rFonts w:hint="eastAsia" w:ascii="宋体" w:hAnsi="宋体" w:cs="宋体"/>
          <w:color w:val="auto"/>
          <w:kern w:val="0"/>
          <w:szCs w:val="21"/>
          <w:highlight w:val="none"/>
        </w:rPr>
        <w:t>磋商小组按照第三章“评标办法”规定的方法、评审因素、标准和程序对响应文件进行评审。第三章“评标办法”没有规定的方法、评审因素和标准，不作为评标依据。</w:t>
      </w:r>
    </w:p>
    <w:p>
      <w:pPr>
        <w:pStyle w:val="5"/>
        <w:spacing w:before="0" w:after="0" w:line="380" w:lineRule="exact"/>
        <w:ind w:left="0" w:firstLine="0"/>
        <w:jc w:val="left"/>
        <w:rPr>
          <w:rStyle w:val="41"/>
          <w:rFonts w:ascii="宋体" w:hAnsi="Calibri" w:eastAsia="宋体" w:cs="宋体"/>
          <w:b/>
          <w:bCs/>
          <w:color w:val="auto"/>
          <w:highlight w:val="none"/>
        </w:rPr>
      </w:pPr>
      <w:bookmarkStart w:id="26" w:name="_Toc421284747"/>
      <w:bookmarkStart w:id="27" w:name="_Toc5803"/>
      <w:bookmarkStart w:id="28" w:name="_Toc23260"/>
      <w:r>
        <w:rPr>
          <w:rStyle w:val="41"/>
          <w:rFonts w:ascii="宋体" w:hAnsi="宋体" w:eastAsia="宋体" w:cs="宋体"/>
          <w:b/>
          <w:bCs/>
          <w:color w:val="auto"/>
          <w:highlight w:val="none"/>
        </w:rPr>
        <w:t xml:space="preserve">   </w:t>
      </w:r>
      <w:bookmarkStart w:id="29" w:name="_Toc111"/>
      <w:r>
        <w:rPr>
          <w:rStyle w:val="41"/>
          <w:rFonts w:ascii="宋体" w:hAnsi="宋体" w:eastAsia="宋体" w:cs="宋体"/>
          <w:b/>
          <w:bCs/>
          <w:color w:val="auto"/>
          <w:highlight w:val="none"/>
        </w:rPr>
        <w:t>7.</w:t>
      </w:r>
      <w:r>
        <w:rPr>
          <w:rStyle w:val="41"/>
          <w:rFonts w:hint="eastAsia" w:ascii="宋体" w:hAnsi="宋体" w:eastAsia="宋体" w:cs="宋体"/>
          <w:b/>
          <w:bCs/>
          <w:color w:val="auto"/>
          <w:highlight w:val="none"/>
        </w:rPr>
        <w:t>合同授予</w:t>
      </w:r>
      <w:bookmarkEnd w:id="26"/>
      <w:bookmarkEnd w:id="27"/>
      <w:bookmarkEnd w:id="28"/>
      <w:bookmarkEnd w:id="29"/>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7.1</w:t>
      </w:r>
      <w:r>
        <w:rPr>
          <w:rFonts w:hint="eastAsia" w:ascii="宋体" w:hAnsi="宋体" w:cs="宋体"/>
          <w:color w:val="auto"/>
          <w:szCs w:val="21"/>
          <w:highlight w:val="none"/>
        </w:rPr>
        <w:t>定标方式</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除供应商须知前附表规定磋商小组直接确定成交人外，采购人依据磋商小组推荐的成交候选人确定成交人，磋商小组推荐成交候选人的人数见供应商须知前附表。采购人将依序确定排名靠前的供应商为成交单位，若排名在前的成交候选人放弃中标、或因不可抗力不能履行合同、不按照磋商文件要求提交履约保证金，或者被查实存在影响成交结果的违法行为等情形，不符合成交条件的，采购人可以按照磋商小组提出的成交候选人名单排序依次确定其他成交候选人为成交人，也可以重新磋商。</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7.2 </w:t>
      </w:r>
      <w:r>
        <w:rPr>
          <w:rFonts w:hint="eastAsia" w:ascii="宋体" w:hAnsi="宋体" w:cs="宋体"/>
          <w:color w:val="auto"/>
          <w:szCs w:val="21"/>
          <w:highlight w:val="none"/>
        </w:rPr>
        <w:t>成交通知</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在本章第规定的磋商有效期内，采购人以书面形式向成交人发出成交通知书，同时将成交结果通知未成交的供应商。</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7.3 </w:t>
      </w:r>
      <w:r>
        <w:rPr>
          <w:rFonts w:hint="eastAsia" w:ascii="宋体" w:hAnsi="宋体" w:cs="宋体"/>
          <w:color w:val="auto"/>
          <w:szCs w:val="21"/>
          <w:highlight w:val="none"/>
        </w:rPr>
        <w:t>签订合同</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7.3.1</w:t>
      </w:r>
      <w:r>
        <w:rPr>
          <w:rFonts w:hint="eastAsia" w:ascii="宋体" w:hAnsi="宋体" w:cs="宋体"/>
          <w:color w:val="auto"/>
          <w:szCs w:val="21"/>
          <w:highlight w:val="none"/>
        </w:rPr>
        <w:t>采购人和成交人应当自成交通知书发出之日起</w:t>
      </w:r>
      <w:r>
        <w:rPr>
          <w:rFonts w:hint="eastAsia" w:ascii="宋体" w:hAnsi="宋体" w:cs="宋体"/>
          <w:color w:val="auto"/>
          <w:szCs w:val="21"/>
          <w:highlight w:val="none"/>
          <w:lang w:val="en-US" w:eastAsia="zh-CN"/>
        </w:rPr>
        <w:t>1个工作日</w:t>
      </w:r>
      <w:r>
        <w:rPr>
          <w:rFonts w:hint="eastAsia" w:ascii="宋体" w:hAnsi="宋体" w:cs="宋体"/>
          <w:color w:val="auto"/>
          <w:szCs w:val="21"/>
          <w:highlight w:val="none"/>
        </w:rPr>
        <w:t>内，根据磋商文件和成交人的响应文件订立书面合同。成交人无正当理由拒签合同的，采购人取消其成交资格，其磋商保证金不予退还；给采购人造成的损失超过磋商保证金数额的，成交人还应当对超过部分予以赔偿。</w:t>
      </w:r>
      <w:r>
        <w:rPr>
          <w:rFonts w:ascii="宋体" w:hAnsi="宋体" w:cs="宋体"/>
          <w:color w:val="auto"/>
          <w:szCs w:val="21"/>
          <w:highlight w:val="none"/>
        </w:rPr>
        <w:t xml:space="preserve"> </w:t>
      </w:r>
    </w:p>
    <w:p>
      <w:pPr>
        <w:autoSpaceDE w:val="0"/>
        <w:autoSpaceDN w:val="0"/>
        <w:adjustRightInd w:val="0"/>
        <w:spacing w:line="380" w:lineRule="exact"/>
        <w:ind w:firstLine="420" w:firstLineChars="200"/>
        <w:jc w:val="left"/>
        <w:rPr>
          <w:rFonts w:ascii="宋体" w:cs="宋体"/>
          <w:color w:val="auto"/>
          <w:kern w:val="0"/>
          <w:szCs w:val="21"/>
          <w:highlight w:val="none"/>
        </w:rPr>
      </w:pPr>
      <w:r>
        <w:rPr>
          <w:rFonts w:ascii="宋体" w:hAnsi="宋体" w:cs="宋体"/>
          <w:color w:val="auto"/>
          <w:szCs w:val="21"/>
          <w:highlight w:val="none"/>
        </w:rPr>
        <w:t xml:space="preserve">7.3.2 </w:t>
      </w:r>
      <w:r>
        <w:rPr>
          <w:rFonts w:hint="eastAsia" w:ascii="宋体" w:hAnsi="宋体" w:cs="宋体"/>
          <w:color w:val="auto"/>
          <w:szCs w:val="21"/>
          <w:highlight w:val="none"/>
        </w:rPr>
        <w:t>发出成交通知书后，采购人无正当理由拒签合同的，采购人向成交人退还磋商保证金；给成交人造成损失的，还应当赔偿损失。</w:t>
      </w:r>
    </w:p>
    <w:p>
      <w:pPr>
        <w:pStyle w:val="6"/>
        <w:spacing w:before="0" w:after="0" w:line="380" w:lineRule="exact"/>
        <w:ind w:left="468" w:firstLine="0"/>
        <w:jc w:val="left"/>
        <w:rPr>
          <w:rStyle w:val="41"/>
          <w:rFonts w:ascii="宋体" w:hAnsi="宋体" w:eastAsia="宋体" w:cs="宋体"/>
          <w:b/>
          <w:bCs/>
          <w:color w:val="auto"/>
          <w:highlight w:val="none"/>
        </w:rPr>
      </w:pPr>
      <w:bookmarkStart w:id="30" w:name="_Toc17195"/>
      <w:bookmarkStart w:id="31" w:name="_Toc28607"/>
      <w:bookmarkStart w:id="32" w:name="_Toc421284748"/>
      <w:bookmarkStart w:id="33" w:name="_Toc20238"/>
      <w:r>
        <w:rPr>
          <w:rStyle w:val="41"/>
          <w:rFonts w:ascii="宋体" w:hAnsi="宋体" w:eastAsia="宋体" w:cs="宋体"/>
          <w:b/>
          <w:bCs/>
          <w:color w:val="auto"/>
          <w:highlight w:val="none"/>
        </w:rPr>
        <w:t>8.</w:t>
      </w:r>
      <w:bookmarkEnd w:id="30"/>
      <w:bookmarkEnd w:id="31"/>
      <w:bookmarkEnd w:id="32"/>
      <w:r>
        <w:rPr>
          <w:rStyle w:val="41"/>
          <w:rFonts w:hint="eastAsia" w:ascii="宋体" w:hAnsi="宋体" w:eastAsia="宋体" w:cs="宋体"/>
          <w:b/>
          <w:bCs/>
          <w:color w:val="auto"/>
          <w:highlight w:val="none"/>
        </w:rPr>
        <w:t>重新招标</w:t>
      </w:r>
      <w:bookmarkEnd w:id="33"/>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highlight w:val="none"/>
        </w:rPr>
        <w:t xml:space="preserve">  </w:t>
      </w:r>
      <w:r>
        <w:rPr>
          <w:rFonts w:ascii="宋体" w:hAnsi="宋体" w:cs="宋体"/>
          <w:color w:val="auto"/>
          <w:sz w:val="28"/>
          <w:szCs w:val="36"/>
          <w:highlight w:val="none"/>
        </w:rPr>
        <w:t xml:space="preserve"> </w:t>
      </w:r>
      <w:bookmarkStart w:id="34" w:name="_Toc16556"/>
      <w:r>
        <w:rPr>
          <w:rFonts w:ascii="宋体" w:hAnsi="宋体" w:cs="宋体"/>
          <w:color w:val="auto"/>
          <w:szCs w:val="21"/>
          <w:highlight w:val="none"/>
        </w:rPr>
        <w:t xml:space="preserve">8.1 </w:t>
      </w:r>
      <w:r>
        <w:rPr>
          <w:rFonts w:hint="eastAsia" w:ascii="宋体" w:hAnsi="宋体" w:cs="宋体"/>
          <w:color w:val="auto"/>
          <w:szCs w:val="21"/>
          <w:highlight w:val="none"/>
        </w:rPr>
        <w:t>重新招标</w:t>
      </w:r>
      <w:bookmarkEnd w:id="34"/>
    </w:p>
    <w:p>
      <w:pPr>
        <w:autoSpaceDE w:val="0"/>
        <w:autoSpaceDN w:val="0"/>
        <w:adjustRightInd w:val="0"/>
        <w:spacing w:line="400" w:lineRule="exact"/>
        <w:ind w:left="17" w:leftChars="8" w:firstLine="420" w:firstLineChars="200"/>
        <w:jc w:val="left"/>
        <w:rPr>
          <w:rFonts w:ascii="宋体" w:cs="宋体"/>
          <w:color w:val="auto"/>
          <w:szCs w:val="21"/>
          <w:highlight w:val="none"/>
        </w:rPr>
      </w:pPr>
      <w:bookmarkStart w:id="35" w:name="_Toc9985"/>
      <w:r>
        <w:rPr>
          <w:rFonts w:hint="eastAsia" w:ascii="宋体" w:hAnsi="宋体" w:cs="宋体"/>
          <w:color w:val="auto"/>
          <w:szCs w:val="21"/>
          <w:highlight w:val="none"/>
        </w:rPr>
        <w:t>有下列情形之一的，采购人将重新招标：</w:t>
      </w:r>
      <w:bookmarkEnd w:id="35"/>
    </w:p>
    <w:p>
      <w:pPr>
        <w:autoSpaceDE w:val="0"/>
        <w:autoSpaceDN w:val="0"/>
        <w:adjustRightInd w:val="0"/>
        <w:spacing w:line="400" w:lineRule="exact"/>
        <w:ind w:left="17" w:leftChars="8" w:firstLine="420" w:firstLineChars="200"/>
        <w:jc w:val="left"/>
        <w:rPr>
          <w:rFonts w:ascii="宋体" w:cs="宋体"/>
          <w:color w:val="auto"/>
          <w:szCs w:val="21"/>
          <w:highlight w:val="none"/>
        </w:rPr>
      </w:pPr>
      <w:bookmarkStart w:id="36" w:name="_Toc25063"/>
      <w:r>
        <w:rPr>
          <w:rFonts w:ascii="宋体" w:hAnsi="宋体" w:cs="宋体"/>
          <w:color w:val="auto"/>
          <w:szCs w:val="21"/>
          <w:highlight w:val="none"/>
        </w:rPr>
        <w:t xml:space="preserve">   </w:t>
      </w: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）首次提交响应文件截止时间止，供应商少于</w:t>
      </w:r>
      <w:r>
        <w:rPr>
          <w:rFonts w:ascii="宋体" w:hAnsi="宋体" w:cs="宋体"/>
          <w:color w:val="auto"/>
          <w:szCs w:val="21"/>
          <w:highlight w:val="none"/>
        </w:rPr>
        <w:t>3</w:t>
      </w:r>
      <w:r>
        <w:rPr>
          <w:rFonts w:hint="eastAsia" w:ascii="宋体" w:hAnsi="宋体" w:cs="宋体"/>
          <w:color w:val="auto"/>
          <w:szCs w:val="21"/>
          <w:highlight w:val="none"/>
        </w:rPr>
        <w:t>个的；</w:t>
      </w:r>
      <w:bookmarkEnd w:id="36"/>
    </w:p>
    <w:p>
      <w:pPr>
        <w:autoSpaceDE w:val="0"/>
        <w:autoSpaceDN w:val="0"/>
        <w:adjustRightInd w:val="0"/>
        <w:spacing w:line="400" w:lineRule="exact"/>
        <w:ind w:left="17" w:leftChars="8" w:firstLine="420" w:firstLineChars="200"/>
        <w:jc w:val="left"/>
        <w:rPr>
          <w:rFonts w:ascii="宋体" w:cs="宋体"/>
          <w:color w:val="auto"/>
          <w:szCs w:val="21"/>
          <w:highlight w:val="none"/>
        </w:rPr>
      </w:pPr>
      <w:bookmarkStart w:id="37" w:name="_Toc17911"/>
      <w:r>
        <w:rPr>
          <w:rFonts w:ascii="宋体" w:hAnsi="宋体" w:cs="宋体"/>
          <w:color w:val="auto"/>
          <w:szCs w:val="21"/>
          <w:highlight w:val="none"/>
        </w:rPr>
        <w:t xml:space="preserve">   </w:t>
      </w:r>
      <w:r>
        <w:rPr>
          <w:rFonts w:hint="eastAsia" w:ascii="宋体" w:hAnsi="宋体" w:cs="宋体"/>
          <w:color w:val="auto"/>
          <w:szCs w:val="21"/>
          <w:highlight w:val="none"/>
        </w:rPr>
        <w:t>（</w:t>
      </w:r>
      <w:r>
        <w:rPr>
          <w:rFonts w:ascii="宋体" w:hAnsi="宋体" w:cs="宋体"/>
          <w:color w:val="auto"/>
          <w:szCs w:val="21"/>
          <w:highlight w:val="none"/>
        </w:rPr>
        <w:t>2</w:t>
      </w:r>
      <w:r>
        <w:rPr>
          <w:rFonts w:hint="eastAsia" w:ascii="宋体" w:hAnsi="宋体" w:cs="宋体"/>
          <w:color w:val="auto"/>
          <w:szCs w:val="21"/>
          <w:highlight w:val="none"/>
        </w:rPr>
        <w:t>）经磋商小组评审后否决所有响应性文件的。</w:t>
      </w:r>
      <w:bookmarkEnd w:id="37"/>
    </w:p>
    <w:p>
      <w:pPr>
        <w:pStyle w:val="6"/>
        <w:spacing w:before="0" w:after="0" w:line="380" w:lineRule="exact"/>
        <w:ind w:left="468" w:firstLine="0"/>
        <w:jc w:val="left"/>
        <w:rPr>
          <w:rStyle w:val="41"/>
          <w:rFonts w:ascii="宋体" w:hAnsi="宋体" w:eastAsia="宋体" w:cs="宋体"/>
          <w:b/>
          <w:bCs/>
          <w:color w:val="auto"/>
          <w:highlight w:val="none"/>
        </w:rPr>
      </w:pPr>
      <w:bookmarkStart w:id="38" w:name="_Toc28442"/>
      <w:r>
        <w:rPr>
          <w:rStyle w:val="41"/>
          <w:rFonts w:ascii="宋体" w:hAnsi="宋体" w:eastAsia="宋体" w:cs="宋体"/>
          <w:b/>
          <w:bCs/>
          <w:color w:val="auto"/>
          <w:szCs w:val="22"/>
          <w:highlight w:val="none"/>
        </w:rPr>
        <w:t>9.</w:t>
      </w:r>
      <w:r>
        <w:rPr>
          <w:rStyle w:val="41"/>
          <w:rFonts w:hint="eastAsia" w:ascii="宋体" w:hAnsi="宋体" w:eastAsia="宋体" w:cs="宋体"/>
          <w:b/>
          <w:bCs/>
          <w:color w:val="auto"/>
          <w:szCs w:val="22"/>
          <w:highlight w:val="none"/>
        </w:rPr>
        <w:t>纪律和监督</w:t>
      </w:r>
      <w:bookmarkEnd w:id="38"/>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9.1 </w:t>
      </w:r>
      <w:r>
        <w:rPr>
          <w:rFonts w:hint="eastAsia" w:ascii="宋体" w:hAnsi="宋体" w:cs="宋体"/>
          <w:color w:val="auto"/>
          <w:szCs w:val="21"/>
          <w:highlight w:val="none"/>
        </w:rPr>
        <w:t>对采购人的纪律要求</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采购人不得泄漏磋商活动中应当保密的情况和资料，不得与供应商串通损害国家利益、社会公共利益或者他人合法权益。</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9.2 </w:t>
      </w:r>
      <w:r>
        <w:rPr>
          <w:rFonts w:hint="eastAsia" w:ascii="宋体" w:hAnsi="宋体" w:cs="宋体"/>
          <w:color w:val="auto"/>
          <w:szCs w:val="21"/>
          <w:highlight w:val="none"/>
        </w:rPr>
        <w:t>对供应商的纪律要求</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供应商之间不得相互串通或者与采购人串通，不得向采购人或者谈判小组行贿谋取中标，不得以他人名义响应或者以其他方式弄虚作假骗取中标；供应商不得以任何方式干扰、影响评标工作。</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9.3 </w:t>
      </w:r>
      <w:r>
        <w:rPr>
          <w:rFonts w:hint="eastAsia" w:ascii="宋体" w:hAnsi="宋体" w:cs="宋体"/>
          <w:color w:val="auto"/>
          <w:szCs w:val="21"/>
          <w:highlight w:val="none"/>
        </w:rPr>
        <w:t>对磋商小组成员的纪律要求</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磋商小组成员不得收受供应商及他人的财物或者其他好处，不得向供应商及他人透漏对响应文件的评审和比较、成交候选人的推荐情况以及评标有关的其他情况。在磋商活动中，磋商小组成员不得擅离职守，影响评标程序正常进行，不得使用第三章“评标办法”没有规定的评审因素和标准进行评标。</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9.4 </w:t>
      </w:r>
      <w:r>
        <w:rPr>
          <w:rFonts w:hint="eastAsia" w:ascii="宋体" w:hAnsi="宋体" w:cs="宋体"/>
          <w:color w:val="auto"/>
          <w:szCs w:val="21"/>
          <w:highlight w:val="none"/>
        </w:rPr>
        <w:t>对与评标活动有关的工作人员的纪律要求</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与评标活动有关的工作人员不得收受供应商及他人的财物或者其他好处，不得向供应商及他人透漏对响应文件的评审和比较、成交候选人的推荐情况以及评标有关的其他情况。在评标活动中，与评标活动有关的工作人员不得擅离职守，影响评标程序正常进行。</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ascii="宋体" w:hAnsi="宋体" w:cs="宋体"/>
          <w:color w:val="auto"/>
          <w:szCs w:val="21"/>
          <w:highlight w:val="none"/>
        </w:rPr>
        <w:t xml:space="preserve">9.5 </w:t>
      </w:r>
      <w:r>
        <w:rPr>
          <w:rFonts w:hint="eastAsia" w:ascii="宋体" w:hAnsi="宋体" w:cs="宋体"/>
          <w:color w:val="auto"/>
          <w:szCs w:val="21"/>
          <w:highlight w:val="none"/>
        </w:rPr>
        <w:t>投诉</w:t>
      </w:r>
    </w:p>
    <w:p>
      <w:pPr>
        <w:autoSpaceDE w:val="0"/>
        <w:autoSpaceDN w:val="0"/>
        <w:adjustRightInd w:val="0"/>
        <w:spacing w:line="400" w:lineRule="exact"/>
        <w:ind w:left="17" w:leftChars="8" w:firstLine="420" w:firstLineChars="200"/>
        <w:jc w:val="left"/>
        <w:rPr>
          <w:rFonts w:ascii="宋体" w:cs="宋体"/>
          <w:color w:val="auto"/>
          <w:szCs w:val="21"/>
          <w:highlight w:val="none"/>
        </w:rPr>
      </w:pPr>
      <w:r>
        <w:rPr>
          <w:rFonts w:hint="eastAsia" w:ascii="宋体" w:hAnsi="宋体" w:cs="宋体"/>
          <w:color w:val="auto"/>
          <w:szCs w:val="21"/>
          <w:highlight w:val="none"/>
        </w:rPr>
        <w:t>供应商和其他利害关系人认为本次磋商活动违反法律、法规和规章规定的，有权向有关行政监督部门投诉。</w:t>
      </w:r>
    </w:p>
    <w:p>
      <w:pPr>
        <w:pStyle w:val="5"/>
        <w:spacing w:before="0" w:after="0" w:line="380" w:lineRule="exact"/>
        <w:ind w:left="0" w:firstLine="0"/>
        <w:jc w:val="left"/>
        <w:rPr>
          <w:rStyle w:val="41"/>
          <w:rFonts w:ascii="宋体" w:hAnsi="Calibri" w:eastAsia="宋体" w:cs="宋体"/>
          <w:b/>
          <w:color w:val="auto"/>
          <w:highlight w:val="none"/>
        </w:rPr>
      </w:pPr>
      <w:bookmarkStart w:id="39" w:name="_Toc421284749"/>
      <w:bookmarkStart w:id="40" w:name="_Toc9750"/>
      <w:bookmarkStart w:id="41" w:name="_Toc12542"/>
      <w:r>
        <w:rPr>
          <w:rStyle w:val="41"/>
          <w:rFonts w:ascii="宋体" w:hAnsi="宋体" w:eastAsia="宋体" w:cs="宋体"/>
          <w:b/>
          <w:color w:val="auto"/>
          <w:highlight w:val="none"/>
        </w:rPr>
        <w:t xml:space="preserve">   </w:t>
      </w:r>
      <w:bookmarkStart w:id="42" w:name="_Toc23599"/>
      <w:r>
        <w:rPr>
          <w:rStyle w:val="41"/>
          <w:rFonts w:ascii="宋体" w:hAnsi="宋体" w:eastAsia="宋体" w:cs="宋体"/>
          <w:b/>
          <w:color w:val="auto"/>
          <w:highlight w:val="none"/>
        </w:rPr>
        <w:t>10.</w:t>
      </w:r>
      <w:r>
        <w:rPr>
          <w:rStyle w:val="41"/>
          <w:rFonts w:hint="eastAsia" w:ascii="宋体" w:hAnsi="宋体" w:eastAsia="宋体" w:cs="宋体"/>
          <w:b/>
          <w:color w:val="auto"/>
          <w:highlight w:val="none"/>
        </w:rPr>
        <w:t>需要补充的其他内容</w:t>
      </w:r>
      <w:bookmarkEnd w:id="39"/>
      <w:bookmarkEnd w:id="40"/>
      <w:bookmarkEnd w:id="41"/>
      <w:bookmarkEnd w:id="42"/>
    </w:p>
    <w:p>
      <w:pPr>
        <w:autoSpaceDE w:val="0"/>
        <w:autoSpaceDN w:val="0"/>
        <w:adjustRightInd w:val="0"/>
        <w:spacing w:line="380" w:lineRule="exact"/>
        <w:ind w:firstLine="482" w:firstLineChars="200"/>
        <w:rPr>
          <w:rFonts w:ascii="宋体" w:cs="宋体"/>
          <w:color w:val="auto"/>
          <w:kern w:val="0"/>
          <w:sz w:val="24"/>
          <w:highlight w:val="none"/>
        </w:rPr>
      </w:pPr>
      <w:r>
        <w:rPr>
          <w:rFonts w:ascii="宋体" w:hAnsi="宋体" w:cs="宋体"/>
          <w:b/>
          <w:color w:val="auto"/>
          <w:kern w:val="0"/>
          <w:sz w:val="24"/>
          <w:highlight w:val="none"/>
        </w:rPr>
        <w:t xml:space="preserve">10.1 </w:t>
      </w:r>
      <w:r>
        <w:rPr>
          <w:rFonts w:hint="eastAsia" w:ascii="宋体" w:hAnsi="宋体" w:cs="宋体"/>
          <w:b/>
          <w:color w:val="auto"/>
          <w:kern w:val="0"/>
          <w:sz w:val="24"/>
          <w:highlight w:val="none"/>
        </w:rPr>
        <w:t>费用承担</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hint="eastAsia" w:ascii="宋体" w:hAnsi="宋体" w:cs="宋体"/>
          <w:color w:val="auto"/>
          <w:highlight w:val="none"/>
        </w:rPr>
        <w:t>（</w:t>
      </w:r>
      <w:r>
        <w:rPr>
          <w:rFonts w:ascii="宋体" w:hAnsi="宋体" w:cs="宋体"/>
          <w:color w:val="auto"/>
          <w:highlight w:val="none"/>
        </w:rPr>
        <w:t>1</w:t>
      </w:r>
      <w:r>
        <w:rPr>
          <w:rFonts w:hint="eastAsia" w:ascii="宋体" w:hAnsi="宋体" w:cs="宋体"/>
          <w:color w:val="auto"/>
          <w:highlight w:val="none"/>
        </w:rPr>
        <w:t>）无论投标过程中的作法和结果如何，供应商应自行承担所有参与磋商有关的全部费用，采购人和采购代理机构在任何情况下均无义务和责任承担上述费用。</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hint="eastAsia" w:ascii="宋体" w:hAnsi="宋体" w:cs="宋体"/>
          <w:color w:val="auto"/>
          <w:highlight w:val="none"/>
        </w:rPr>
        <w:t>（</w:t>
      </w:r>
      <w:r>
        <w:rPr>
          <w:rFonts w:ascii="宋体" w:hAnsi="宋体" w:cs="宋体"/>
          <w:color w:val="auto"/>
          <w:highlight w:val="none"/>
        </w:rPr>
        <w:t>2</w:t>
      </w:r>
      <w:r>
        <w:rPr>
          <w:rFonts w:hint="eastAsia" w:ascii="宋体" w:hAnsi="宋体" w:cs="宋体"/>
          <w:color w:val="auto"/>
          <w:highlight w:val="none"/>
        </w:rPr>
        <w:t>）代理服务费由成交人支付。</w:t>
      </w:r>
    </w:p>
    <w:p>
      <w:pPr>
        <w:spacing w:line="400" w:lineRule="exact"/>
        <w:ind w:firstLine="482" w:firstLineChars="200"/>
        <w:jc w:val="left"/>
        <w:rPr>
          <w:rFonts w:ascii="宋体" w:cs="宋体"/>
          <w:b/>
          <w:color w:val="auto"/>
          <w:kern w:val="0"/>
          <w:sz w:val="24"/>
          <w:highlight w:val="none"/>
        </w:rPr>
      </w:pPr>
      <w:r>
        <w:rPr>
          <w:rFonts w:ascii="宋体" w:hAnsi="宋体" w:cs="宋体"/>
          <w:b/>
          <w:color w:val="auto"/>
          <w:kern w:val="0"/>
          <w:sz w:val="24"/>
          <w:highlight w:val="none"/>
        </w:rPr>
        <w:t xml:space="preserve">10.2 </w:t>
      </w:r>
      <w:r>
        <w:rPr>
          <w:rFonts w:hint="eastAsia" w:ascii="宋体" w:hAnsi="宋体" w:cs="宋体"/>
          <w:b/>
          <w:color w:val="auto"/>
          <w:kern w:val="0"/>
          <w:sz w:val="24"/>
          <w:highlight w:val="none"/>
        </w:rPr>
        <w:t>解释权</w:t>
      </w:r>
    </w:p>
    <w:p>
      <w:pPr>
        <w:autoSpaceDE w:val="0"/>
        <w:autoSpaceDN w:val="0"/>
        <w:adjustRightInd w:val="0"/>
        <w:spacing w:line="440" w:lineRule="exact"/>
        <w:ind w:left="15" w:leftChars="7" w:firstLine="420" w:firstLineChars="200"/>
        <w:jc w:val="left"/>
        <w:rPr>
          <w:rFonts w:ascii="宋体" w:cs="宋体"/>
          <w:color w:val="auto"/>
          <w:kern w:val="0"/>
          <w:szCs w:val="21"/>
          <w:highlight w:val="none"/>
        </w:rPr>
      </w:pPr>
      <w:r>
        <w:rPr>
          <w:rFonts w:hint="eastAsia" w:ascii="宋体" w:hAnsi="宋体" w:cs="宋体"/>
          <w:color w:val="auto"/>
          <w:highlight w:val="none"/>
        </w:rPr>
        <w:t>构成本磋商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供应商须知、评标办法、响应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 xml:space="preserve">10.3 </w:t>
      </w:r>
      <w:r>
        <w:rPr>
          <w:rFonts w:hint="eastAsia" w:ascii="宋体" w:hAnsi="宋体" w:cs="宋体"/>
          <w:color w:val="auto"/>
          <w:highlight w:val="none"/>
        </w:rPr>
        <w:t>本磋商文件未尽事宜，按《中华人民共和国政府采购法》等法律法规的有关规定执行。</w:t>
      </w:r>
    </w:p>
    <w:p>
      <w:pPr>
        <w:pStyle w:val="5"/>
        <w:spacing w:before="0" w:after="0" w:line="380" w:lineRule="exact"/>
        <w:ind w:left="0" w:firstLine="0"/>
        <w:jc w:val="left"/>
        <w:rPr>
          <w:rStyle w:val="41"/>
          <w:rFonts w:ascii="宋体" w:hAnsi="Calibri" w:eastAsia="宋体" w:cs="宋体"/>
          <w:b/>
          <w:color w:val="auto"/>
          <w:highlight w:val="none"/>
        </w:rPr>
      </w:pPr>
      <w:r>
        <w:rPr>
          <w:rStyle w:val="41"/>
          <w:rFonts w:ascii="宋体" w:hAnsi="宋体" w:eastAsia="宋体" w:cs="宋体"/>
          <w:b/>
          <w:color w:val="auto"/>
          <w:highlight w:val="none"/>
        </w:rPr>
        <w:t xml:space="preserve">  </w:t>
      </w:r>
      <w:bookmarkStart w:id="43" w:name="_Toc6770"/>
      <w:r>
        <w:rPr>
          <w:rStyle w:val="41"/>
          <w:rFonts w:ascii="宋体" w:hAnsi="宋体" w:eastAsia="宋体" w:cs="宋体"/>
          <w:b/>
          <w:color w:val="auto"/>
          <w:highlight w:val="none"/>
        </w:rPr>
        <w:t>11.</w:t>
      </w:r>
      <w:r>
        <w:rPr>
          <w:rStyle w:val="41"/>
          <w:rFonts w:hint="eastAsia" w:ascii="宋体" w:hAnsi="宋体" w:eastAsia="宋体" w:cs="宋体"/>
          <w:b/>
          <w:color w:val="auto"/>
          <w:highlight w:val="none"/>
        </w:rPr>
        <w:t>政策功能</w:t>
      </w:r>
      <w:bookmarkEnd w:id="43"/>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w:t>
      </w:r>
      <w:r>
        <w:rPr>
          <w:rFonts w:hint="eastAsia" w:ascii="宋体" w:hAnsi="宋体" w:cs="宋体"/>
          <w:color w:val="auto"/>
          <w:highlight w:val="none"/>
        </w:rPr>
        <w:t>关于《政府采购促进中小企业发展暂行办法》相关说明：</w:t>
      </w:r>
    </w:p>
    <w:p>
      <w:pPr>
        <w:autoSpaceDE w:val="0"/>
        <w:autoSpaceDN w:val="0"/>
        <w:adjustRightInd w:val="0"/>
        <w:spacing w:line="440" w:lineRule="exact"/>
        <w:ind w:left="15" w:leftChars="7" w:firstLine="420" w:firstLineChars="200"/>
        <w:jc w:val="left"/>
        <w:rPr>
          <w:rFonts w:hint="eastAsia" w:ascii="宋体" w:hAnsi="宋体" w:cs="宋体"/>
          <w:color w:val="auto"/>
          <w:highlight w:val="none"/>
        </w:rPr>
      </w:pPr>
      <w:r>
        <w:rPr>
          <w:rFonts w:hint="eastAsia" w:ascii="宋体" w:hAnsi="宋体" w:cs="宋体"/>
          <w:color w:val="auto"/>
          <w:highlight w:val="none"/>
        </w:rPr>
        <w:t>根据财库（20</w:t>
      </w:r>
      <w:r>
        <w:rPr>
          <w:rFonts w:hint="eastAsia" w:ascii="宋体" w:hAnsi="宋体" w:cs="宋体"/>
          <w:color w:val="auto"/>
          <w:highlight w:val="none"/>
          <w:lang w:val="en-US" w:eastAsia="zh-CN"/>
        </w:rPr>
        <w:t>20</w:t>
      </w:r>
      <w:r>
        <w:rPr>
          <w:rFonts w:hint="eastAsia" w:ascii="宋体" w:hAnsi="宋体" w:cs="宋体"/>
          <w:color w:val="auto"/>
          <w:highlight w:val="none"/>
        </w:rPr>
        <w:t>）</w:t>
      </w:r>
      <w:r>
        <w:rPr>
          <w:rFonts w:hint="eastAsia" w:ascii="宋体" w:hAnsi="宋体" w:cs="宋体"/>
          <w:color w:val="auto"/>
          <w:highlight w:val="none"/>
          <w:lang w:val="en-US" w:eastAsia="zh-CN"/>
        </w:rPr>
        <w:t>46</w:t>
      </w:r>
      <w:r>
        <w:rPr>
          <w:rFonts w:hint="eastAsia" w:ascii="宋体" w:hAnsi="宋体" w:cs="宋体"/>
          <w:color w:val="auto"/>
          <w:highlight w:val="none"/>
        </w:rPr>
        <w:t>号文、豫财购[2013]14号文相关规定，给予小型和微型企业产品的投标报价给予</w:t>
      </w:r>
      <w:r>
        <w:rPr>
          <w:rFonts w:hint="eastAsia" w:ascii="宋体" w:hAnsi="宋体" w:cs="宋体"/>
          <w:color w:val="auto"/>
          <w:highlight w:val="none"/>
          <w:lang w:val="en-US" w:eastAsia="zh-CN"/>
        </w:rPr>
        <w:t>2</w:t>
      </w:r>
      <w:r>
        <w:rPr>
          <w:rFonts w:hint="eastAsia" w:ascii="宋体" w:hAnsi="宋体" w:cs="宋体"/>
          <w:color w:val="auto"/>
          <w:highlight w:val="none"/>
        </w:rPr>
        <w:t>0%的扣除，用扣除后的价格参与评审。</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hint="eastAsia" w:ascii="宋体" w:hAnsi="宋体" w:cs="宋体"/>
          <w:color w:val="auto"/>
          <w:highlight w:val="none"/>
        </w:rPr>
        <w:t>小微企业产品应当列明本项目中所投的“小型和微型企业产品的清单”并提供企业声明函（统一格式）且同时提供全国企业信用信息公示系统内小微企业库截图或由企业所在地的县级以上中小企业主管部门出具的中小企业认定证书等有效证明材料，否则不予认可。</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hint="eastAsia" w:ascii="宋体" w:hAnsi="宋体" w:cs="宋体"/>
          <w:color w:val="auto"/>
          <w:highlight w:val="none"/>
        </w:rPr>
        <w:t>关于小微企业：</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11.1.1</w:t>
      </w:r>
      <w:r>
        <w:rPr>
          <w:rFonts w:hint="eastAsia" w:ascii="宋体" w:hAnsi="宋体" w:cs="宋体"/>
          <w:color w:val="auto"/>
          <w:highlight w:val="none"/>
        </w:rPr>
        <w:t>按</w:t>
      </w:r>
      <w:r>
        <w:rPr>
          <w:rFonts w:ascii="宋体" w:hAnsi="宋体" w:cs="宋体"/>
          <w:color w:val="auto"/>
          <w:highlight w:val="none"/>
        </w:rPr>
        <w:t>&lt;</w:t>
      </w:r>
      <w:r>
        <w:rPr>
          <w:rFonts w:hint="eastAsia" w:ascii="宋体" w:hAnsi="宋体" w:cs="宋体"/>
          <w:color w:val="auto"/>
          <w:highlight w:val="none"/>
        </w:rPr>
        <w:t>关于印发《政府采购促进中小企业发展暂行办法》的通知</w:t>
      </w:r>
      <w:r>
        <w:rPr>
          <w:rFonts w:ascii="宋体" w:hAnsi="宋体" w:cs="宋体"/>
          <w:color w:val="auto"/>
          <w:highlight w:val="none"/>
        </w:rPr>
        <w:t>&gt;</w:t>
      </w:r>
      <w:r>
        <w:rPr>
          <w:rFonts w:hint="eastAsia" w:ascii="宋体" w:hAnsi="宋体" w:cs="宋体"/>
          <w:color w:val="auto"/>
          <w:highlight w:val="none"/>
        </w:rPr>
        <w:t>（财库〔</w:t>
      </w:r>
      <w:r>
        <w:rPr>
          <w:rFonts w:ascii="宋体" w:hAnsi="宋体" w:cs="宋体"/>
          <w:color w:val="auto"/>
          <w:highlight w:val="none"/>
        </w:rPr>
        <w:t>2011</w:t>
      </w:r>
      <w:r>
        <w:rPr>
          <w:rFonts w:hint="eastAsia" w:ascii="宋体" w:hAnsi="宋体" w:cs="宋体"/>
          <w:color w:val="auto"/>
          <w:highlight w:val="none"/>
        </w:rPr>
        <w:t>〕</w:t>
      </w:r>
      <w:r>
        <w:rPr>
          <w:rFonts w:ascii="宋体" w:hAnsi="宋体" w:cs="宋体"/>
          <w:color w:val="auto"/>
          <w:highlight w:val="none"/>
        </w:rPr>
        <w:t>181</w:t>
      </w:r>
      <w:r>
        <w:rPr>
          <w:rFonts w:hint="eastAsia" w:ascii="宋体" w:hAnsi="宋体" w:cs="宋体"/>
          <w:color w:val="auto"/>
          <w:highlight w:val="none"/>
        </w:rPr>
        <w:t>号）之规定，中小企业的标准为：</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11.1.1.1</w:t>
      </w:r>
      <w:r>
        <w:rPr>
          <w:rFonts w:hint="eastAsia" w:ascii="宋体" w:hAnsi="宋体" w:cs="宋体"/>
          <w:color w:val="auto"/>
          <w:highlight w:val="none"/>
        </w:rPr>
        <w:t>提供本企业制造的货物、承担的工程或者服务，或者提供其他中小企业制造的货物，不包括提供或使用大型企业注册商标的货物。</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11.1.1.2</w:t>
      </w:r>
      <w:r>
        <w:rPr>
          <w:rFonts w:hint="eastAsia" w:ascii="宋体" w:hAnsi="宋体" w:cs="宋体"/>
          <w:color w:val="auto"/>
          <w:highlight w:val="none"/>
        </w:rPr>
        <w:t>本规定所称中小企业划分标准，是指国务院有关部门根据企业从业人员、营业收入、资产总额等指标制定的中小企业划型标准（工信部联企业〔</w:t>
      </w:r>
      <w:r>
        <w:rPr>
          <w:rFonts w:ascii="宋体" w:hAnsi="宋体" w:cs="宋体"/>
          <w:color w:val="auto"/>
          <w:highlight w:val="none"/>
        </w:rPr>
        <w:t>2011</w:t>
      </w:r>
      <w:r>
        <w:rPr>
          <w:rFonts w:hint="eastAsia" w:ascii="宋体" w:hAnsi="宋体" w:cs="宋体"/>
          <w:color w:val="auto"/>
          <w:highlight w:val="none"/>
        </w:rPr>
        <w:t>〕</w:t>
      </w:r>
      <w:r>
        <w:rPr>
          <w:rFonts w:ascii="宋体" w:hAnsi="宋体" w:cs="宋体"/>
          <w:color w:val="auto"/>
          <w:highlight w:val="none"/>
        </w:rPr>
        <w:t>300</w:t>
      </w:r>
      <w:r>
        <w:rPr>
          <w:rFonts w:hint="eastAsia" w:ascii="宋体" w:hAnsi="宋体" w:cs="宋体"/>
          <w:color w:val="auto"/>
          <w:highlight w:val="none"/>
        </w:rPr>
        <w:t>号）。</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11.1.1.3</w:t>
      </w:r>
      <w:r>
        <w:rPr>
          <w:rFonts w:hint="eastAsia" w:ascii="宋体" w:hAnsi="宋体" w:cs="宋体"/>
          <w:color w:val="auto"/>
          <w:highlight w:val="none"/>
        </w:rPr>
        <w:t>小型、微型企业提供有中型企业制造的货物的，视同为中型企业；小型、微型、中型企业提供有大型企业制造的货物的，视同为大型企业。</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11.1.2</w:t>
      </w:r>
      <w:r>
        <w:rPr>
          <w:rFonts w:hint="eastAsia" w:ascii="宋体" w:hAnsi="宋体" w:cs="宋体"/>
          <w:color w:val="auto"/>
          <w:highlight w:val="none"/>
        </w:rPr>
        <w:t>依照</w:t>
      </w:r>
      <w:r>
        <w:rPr>
          <w:rFonts w:ascii="宋体" w:hAnsi="宋体" w:cs="宋体"/>
          <w:color w:val="auto"/>
          <w:highlight w:val="none"/>
        </w:rPr>
        <w:t>&lt;</w:t>
      </w:r>
      <w:r>
        <w:rPr>
          <w:rFonts w:hint="eastAsia" w:ascii="宋体" w:hAnsi="宋体" w:cs="宋体"/>
          <w:color w:val="auto"/>
          <w:highlight w:val="none"/>
        </w:rPr>
        <w:t>财政部、司法部关于政府采购支持监狱企业发展有关问题的通知</w:t>
      </w:r>
      <w:r>
        <w:rPr>
          <w:rFonts w:ascii="宋体" w:hAnsi="宋体" w:cs="宋体"/>
          <w:color w:val="auto"/>
          <w:highlight w:val="none"/>
        </w:rPr>
        <w:t>&gt;</w:t>
      </w:r>
      <w:r>
        <w:rPr>
          <w:rFonts w:hint="eastAsia" w:ascii="宋体" w:hAnsi="宋体" w:cs="宋体"/>
          <w:color w:val="auto"/>
          <w:highlight w:val="none"/>
        </w:rPr>
        <w:t>（财库〔</w:t>
      </w:r>
      <w:r>
        <w:rPr>
          <w:rFonts w:ascii="宋体" w:hAnsi="宋体" w:cs="宋体"/>
          <w:color w:val="auto"/>
          <w:highlight w:val="none"/>
        </w:rPr>
        <w:t>2014</w:t>
      </w:r>
      <w:r>
        <w:rPr>
          <w:rFonts w:hint="eastAsia" w:ascii="宋体" w:hAnsi="宋体" w:cs="宋体"/>
          <w:color w:val="auto"/>
          <w:highlight w:val="none"/>
        </w:rPr>
        <w:t>〕</w:t>
      </w:r>
      <w:r>
        <w:rPr>
          <w:rFonts w:ascii="宋体" w:hAnsi="宋体" w:cs="宋体"/>
          <w:color w:val="auto"/>
          <w:highlight w:val="none"/>
        </w:rPr>
        <w:t>68</w:t>
      </w:r>
      <w:r>
        <w:rPr>
          <w:rFonts w:hint="eastAsia" w:ascii="宋体" w:hAnsi="宋体" w:cs="宋体"/>
          <w:color w:val="auto"/>
          <w:highlight w:val="none"/>
        </w:rPr>
        <w:t>号）之规定，监狱企业应当符合以下条件：</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11.1.2.1</w:t>
      </w:r>
      <w:r>
        <w:rPr>
          <w:rFonts w:hint="eastAsia" w:ascii="宋体" w:hAnsi="宋体" w:cs="宋体"/>
          <w:color w:val="auto"/>
          <w:highlight w:val="none"/>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11.1.2.2</w:t>
      </w:r>
      <w:r>
        <w:rPr>
          <w:rFonts w:hint="eastAsia" w:ascii="宋体" w:hAnsi="宋体" w:cs="宋体"/>
          <w:color w:val="auto"/>
          <w:highlight w:val="none"/>
        </w:rPr>
        <w:t>监狱企业参加政府采购活动时，视同小型、微型企业，应当提供由省级以上监狱管理局、戒毒管理局（含新疆生产建设兵团）出具的属于监狱企业的证明文件。</w:t>
      </w:r>
    </w:p>
    <w:p>
      <w:pPr>
        <w:autoSpaceDE w:val="0"/>
        <w:autoSpaceDN w:val="0"/>
        <w:adjustRightInd w:val="0"/>
        <w:spacing w:line="440" w:lineRule="exact"/>
        <w:ind w:left="15" w:leftChars="7" w:firstLine="420" w:firstLineChars="200"/>
        <w:jc w:val="left"/>
        <w:rPr>
          <w:rFonts w:ascii="宋体" w:cs="宋体"/>
          <w:color w:val="auto"/>
          <w:highlight w:val="none"/>
        </w:rPr>
      </w:pPr>
      <w:r>
        <w:rPr>
          <w:rFonts w:ascii="宋体" w:hAnsi="宋体" w:cs="宋体"/>
          <w:color w:val="auto"/>
          <w:highlight w:val="none"/>
        </w:rPr>
        <w:t>11.</w:t>
      </w:r>
      <w:r>
        <w:rPr>
          <w:rFonts w:hint="eastAsia" w:ascii="宋体" w:hAnsi="宋体" w:cs="宋体"/>
          <w:color w:val="auto"/>
          <w:highlight w:val="none"/>
        </w:rPr>
        <w:t>2、其它未尽事宜，按国家有关法律、法规执行。</w:t>
      </w:r>
    </w:p>
    <w:p>
      <w:pPr>
        <w:spacing w:line="440" w:lineRule="exact"/>
        <w:ind w:firstLine="420" w:firstLineChars="200"/>
        <w:jc w:val="center"/>
        <w:outlineLvl w:val="1"/>
        <w:rPr>
          <w:rFonts w:asciiTheme="majorEastAsia" w:hAnsiTheme="majorEastAsia" w:eastAsiaTheme="majorEastAsia"/>
          <w:b/>
          <w:color w:val="auto"/>
          <w:sz w:val="24"/>
          <w:szCs w:val="24"/>
          <w:highlight w:val="none"/>
        </w:rPr>
      </w:pPr>
      <w:r>
        <w:rPr>
          <w:rFonts w:ascii="宋体" w:cs="宋体"/>
          <w:color w:val="auto"/>
          <w:highlight w:val="none"/>
        </w:rPr>
        <w:br w:type="page"/>
      </w:r>
      <w:r>
        <w:rPr>
          <w:rFonts w:ascii="宋体" w:hAnsi="宋体" w:cs="宋体"/>
          <w:color w:val="auto"/>
          <w:highlight w:val="none"/>
        </w:rPr>
        <w:t xml:space="preserve"> </w:t>
      </w:r>
      <w:bookmarkEnd w:id="13"/>
      <w:bookmarkStart w:id="44" w:name="_Toc18319"/>
      <w:bookmarkStart w:id="45" w:name="_Toc19848"/>
      <w:bookmarkStart w:id="46" w:name="_Toc5632"/>
      <w:r>
        <w:rPr>
          <w:rFonts w:hint="eastAsia" w:asciiTheme="majorEastAsia" w:hAnsiTheme="majorEastAsia" w:eastAsiaTheme="majorEastAsia"/>
          <w:b/>
          <w:color w:val="auto"/>
          <w:sz w:val="28"/>
          <w:szCs w:val="28"/>
          <w:highlight w:val="none"/>
        </w:rPr>
        <w:t>第三章  评标标准和评标方法</w:t>
      </w:r>
      <w:bookmarkEnd w:id="44"/>
      <w:bookmarkEnd w:id="45"/>
      <w:bookmarkEnd w:id="46"/>
    </w:p>
    <w:p>
      <w:pPr>
        <w:spacing w:line="300" w:lineRule="exact"/>
        <w:ind w:firstLine="422" w:firstLineChars="200"/>
        <w:rPr>
          <w:rFonts w:ascii="宋体" w:hAnsi="宋体" w:cs="宋体"/>
          <w:b/>
          <w:color w:val="auto"/>
          <w:szCs w:val="21"/>
          <w:highlight w:val="none"/>
        </w:rPr>
      </w:pPr>
      <w:bookmarkStart w:id="47" w:name="_Toc388541206"/>
      <w:bookmarkStart w:id="48" w:name="_Toc6110"/>
      <w:bookmarkStart w:id="49" w:name="_Toc27148130"/>
      <w:bookmarkStart w:id="50" w:name="_Toc21327"/>
      <w:bookmarkStart w:id="51" w:name="_Toc8539"/>
      <w:bookmarkStart w:id="52" w:name="_Toc421284751"/>
      <w:bookmarkStart w:id="53" w:name="_Toc7610"/>
      <w:r>
        <w:rPr>
          <w:rFonts w:hint="eastAsia" w:ascii="宋体" w:hAnsi="宋体" w:cs="宋体"/>
          <w:b/>
          <w:color w:val="auto"/>
          <w:szCs w:val="21"/>
          <w:highlight w:val="none"/>
        </w:rPr>
        <w:t>1.评标准则和评标方法</w:t>
      </w:r>
      <w:bookmarkEnd w:id="47"/>
      <w:bookmarkEnd w:id="48"/>
      <w:bookmarkEnd w:id="49"/>
      <w:bookmarkEnd w:id="50"/>
      <w:bookmarkEnd w:id="51"/>
      <w:bookmarkEnd w:id="52"/>
      <w:bookmarkEnd w:id="53"/>
    </w:p>
    <w:p>
      <w:pPr>
        <w:spacing w:line="3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1.1评标过程将遵循“公平、公正、科学、择优”的原则进行。</w:t>
      </w:r>
    </w:p>
    <w:p>
      <w:pPr>
        <w:spacing w:line="300" w:lineRule="exact"/>
        <w:ind w:firstLine="420" w:firstLineChars="200"/>
        <w:rPr>
          <w:rFonts w:ascii="宋体" w:hAnsi="宋体" w:cs="宋体"/>
          <w:color w:val="auto"/>
          <w:szCs w:val="21"/>
          <w:highlight w:val="none"/>
        </w:rPr>
      </w:pPr>
      <w:bookmarkStart w:id="54" w:name="_Toc371425843"/>
      <w:bookmarkStart w:id="55" w:name="_Toc4231"/>
      <w:bookmarkStart w:id="56" w:name="_Toc9035"/>
      <w:bookmarkStart w:id="57" w:name="_Toc27273"/>
      <w:bookmarkStart w:id="58" w:name="_Toc371423272"/>
      <w:r>
        <w:rPr>
          <w:rFonts w:hint="eastAsia" w:ascii="宋体" w:hAnsi="宋体" w:cs="宋体"/>
          <w:color w:val="auto"/>
          <w:szCs w:val="21"/>
          <w:highlight w:val="none"/>
        </w:rPr>
        <w:t>1.2评标将严格按照招标文件的要求和条件进行。对所有供应商的投标评定都采用相同的程序和标准。</w:t>
      </w:r>
    </w:p>
    <w:p>
      <w:pPr>
        <w:spacing w:line="3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1.3反对不正当竞争，投标人不得串通投标，如有违反者按《中华人民共和国政府采购法》有关规定处理。</w:t>
      </w:r>
    </w:p>
    <w:p>
      <w:pPr>
        <w:spacing w:line="300" w:lineRule="exact"/>
        <w:ind w:firstLine="422" w:firstLineChars="200"/>
        <w:rPr>
          <w:rFonts w:ascii="宋体" w:hAnsi="宋体" w:cs="宋体"/>
          <w:b/>
          <w:color w:val="auto"/>
          <w:szCs w:val="21"/>
          <w:highlight w:val="none"/>
        </w:rPr>
      </w:pPr>
      <w:bookmarkStart w:id="59" w:name="_Toc9507"/>
      <w:bookmarkStart w:id="60" w:name="_Toc12985"/>
      <w:bookmarkStart w:id="61" w:name="_Toc21051"/>
      <w:bookmarkStart w:id="62" w:name="_Toc27148131"/>
      <w:bookmarkStart w:id="63" w:name="_Toc380581853"/>
      <w:bookmarkStart w:id="64" w:name="_Toc14776"/>
      <w:bookmarkStart w:id="65" w:name="_Toc421284752"/>
      <w:bookmarkStart w:id="66" w:name="_Toc388541207"/>
      <w:r>
        <w:rPr>
          <w:rFonts w:hint="eastAsia" w:ascii="宋体" w:hAnsi="宋体" w:cs="宋体"/>
          <w:b/>
          <w:color w:val="auto"/>
          <w:szCs w:val="21"/>
          <w:highlight w:val="none"/>
        </w:rPr>
        <w:t>2.评审标准</w:t>
      </w:r>
      <w:bookmarkEnd w:id="54"/>
      <w:bookmarkEnd w:id="55"/>
      <w:bookmarkEnd w:id="56"/>
      <w:bookmarkEnd w:id="57"/>
      <w:bookmarkEnd w:id="58"/>
      <w:bookmarkEnd w:id="59"/>
      <w:bookmarkEnd w:id="60"/>
      <w:bookmarkEnd w:id="61"/>
      <w:bookmarkEnd w:id="62"/>
      <w:bookmarkEnd w:id="63"/>
      <w:bookmarkEnd w:id="64"/>
      <w:bookmarkEnd w:id="65"/>
      <w:bookmarkEnd w:id="66"/>
    </w:p>
    <w:p>
      <w:pPr>
        <w:spacing w:line="300" w:lineRule="exact"/>
        <w:ind w:firstLine="420" w:firstLineChars="200"/>
        <w:rPr>
          <w:rFonts w:ascii="宋体" w:hAnsi="宋体" w:cs="宋体"/>
          <w:color w:val="auto"/>
          <w:szCs w:val="21"/>
          <w:highlight w:val="none"/>
        </w:rPr>
      </w:pPr>
      <w:bookmarkStart w:id="67" w:name="_Toc23807"/>
      <w:bookmarkStart w:id="68" w:name="_Toc1062"/>
      <w:bookmarkStart w:id="69" w:name="_Toc421284753"/>
      <w:r>
        <w:rPr>
          <w:rFonts w:hint="eastAsia" w:ascii="宋体" w:hAnsi="宋体" w:cs="宋体"/>
          <w:color w:val="auto"/>
          <w:szCs w:val="21"/>
          <w:highlight w:val="none"/>
        </w:rPr>
        <w:t>2.1 初步评审标准</w:t>
      </w:r>
      <w:bookmarkEnd w:id="67"/>
      <w:bookmarkEnd w:id="68"/>
      <w:bookmarkEnd w:id="69"/>
    </w:p>
    <w:tbl>
      <w:tblPr>
        <w:tblStyle w:val="27"/>
        <w:tblW w:w="101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533"/>
        <w:gridCol w:w="3330"/>
        <w:gridCol w:w="5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exact"/>
          <w:jc w:val="center"/>
        </w:trPr>
        <w:tc>
          <w:tcPr>
            <w:tcW w:w="712" w:type="dxa"/>
            <w:vAlign w:val="center"/>
          </w:tcPr>
          <w:p>
            <w:pPr>
              <w:jc w:val="center"/>
              <w:textAlignment w:val="baseline"/>
              <w:rPr>
                <w:rFonts w:ascii="宋体" w:hAnsi="宋体" w:cs="宋体"/>
                <w:b/>
                <w:color w:val="auto"/>
                <w:sz w:val="20"/>
                <w:szCs w:val="21"/>
                <w:highlight w:val="none"/>
              </w:rPr>
            </w:pPr>
            <w:r>
              <w:rPr>
                <w:rFonts w:hint="eastAsia" w:ascii="宋体" w:hAnsi="宋体" w:cs="宋体"/>
                <w:b/>
                <w:color w:val="auto"/>
                <w:szCs w:val="21"/>
                <w:highlight w:val="none"/>
              </w:rPr>
              <w:t>审查</w:t>
            </w:r>
          </w:p>
          <w:p>
            <w:pPr>
              <w:jc w:val="center"/>
              <w:textAlignment w:val="baseline"/>
              <w:rPr>
                <w:rFonts w:ascii="宋体" w:hAnsi="宋体" w:cs="宋体"/>
                <w:b/>
                <w:color w:val="auto"/>
                <w:sz w:val="20"/>
                <w:szCs w:val="21"/>
                <w:highlight w:val="none"/>
              </w:rPr>
            </w:pPr>
            <w:r>
              <w:rPr>
                <w:rFonts w:hint="eastAsia" w:ascii="宋体" w:hAnsi="宋体" w:cs="宋体"/>
                <w:b/>
                <w:color w:val="auto"/>
                <w:szCs w:val="21"/>
                <w:highlight w:val="none"/>
              </w:rPr>
              <w:t>主体</w:t>
            </w:r>
          </w:p>
        </w:tc>
        <w:tc>
          <w:tcPr>
            <w:tcW w:w="3863" w:type="dxa"/>
            <w:gridSpan w:val="2"/>
            <w:vAlign w:val="center"/>
          </w:tcPr>
          <w:p>
            <w:pPr>
              <w:spacing w:line="440" w:lineRule="exact"/>
              <w:ind w:firstLine="422" w:firstLineChars="200"/>
              <w:jc w:val="center"/>
              <w:textAlignment w:val="baseline"/>
              <w:rPr>
                <w:rFonts w:ascii="宋体" w:hAnsi="宋体" w:cs="宋体"/>
                <w:b/>
                <w:color w:val="auto"/>
                <w:sz w:val="20"/>
                <w:szCs w:val="21"/>
                <w:highlight w:val="none"/>
              </w:rPr>
            </w:pPr>
            <w:r>
              <w:rPr>
                <w:rFonts w:hint="eastAsia" w:ascii="宋体" w:hAnsi="宋体" w:cs="宋体"/>
                <w:b/>
                <w:color w:val="auto"/>
                <w:szCs w:val="21"/>
                <w:highlight w:val="none"/>
              </w:rPr>
              <w:t>评审因素</w:t>
            </w:r>
          </w:p>
        </w:tc>
        <w:tc>
          <w:tcPr>
            <w:tcW w:w="5578" w:type="dxa"/>
            <w:vAlign w:val="center"/>
          </w:tcPr>
          <w:p>
            <w:pPr>
              <w:spacing w:line="440" w:lineRule="exact"/>
              <w:ind w:firstLine="422" w:firstLineChars="200"/>
              <w:jc w:val="center"/>
              <w:textAlignment w:val="baseline"/>
              <w:rPr>
                <w:rFonts w:ascii="宋体" w:hAnsi="宋体" w:cs="宋体"/>
                <w:b/>
                <w:color w:val="auto"/>
                <w:sz w:val="20"/>
                <w:szCs w:val="21"/>
                <w:highlight w:val="none"/>
              </w:rPr>
            </w:pPr>
            <w:r>
              <w:rPr>
                <w:rFonts w:hint="eastAsia" w:ascii="宋体" w:hAnsi="宋体" w:cs="宋体"/>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712" w:type="dxa"/>
            <w:vMerge w:val="restart"/>
            <w:vAlign w:val="center"/>
          </w:tcPr>
          <w:p>
            <w:pPr>
              <w:spacing w:line="440" w:lineRule="exact"/>
              <w:jc w:val="center"/>
              <w:textAlignment w:val="baseline"/>
              <w:rPr>
                <w:color w:val="auto"/>
                <w:szCs w:val="21"/>
                <w:highlight w:val="none"/>
              </w:rPr>
            </w:pPr>
            <w:r>
              <w:rPr>
                <w:rFonts w:hint="eastAsia"/>
                <w:color w:val="auto"/>
                <w:szCs w:val="21"/>
                <w:highlight w:val="none"/>
              </w:rPr>
              <w:t>评</w:t>
            </w:r>
          </w:p>
          <w:p>
            <w:pPr>
              <w:spacing w:line="440" w:lineRule="exact"/>
              <w:jc w:val="center"/>
              <w:textAlignment w:val="baseline"/>
              <w:rPr>
                <w:color w:val="auto"/>
                <w:szCs w:val="21"/>
                <w:highlight w:val="none"/>
              </w:rPr>
            </w:pPr>
            <w:r>
              <w:rPr>
                <w:rFonts w:hint="eastAsia"/>
                <w:color w:val="auto"/>
                <w:szCs w:val="21"/>
                <w:highlight w:val="none"/>
              </w:rPr>
              <w:t>标</w:t>
            </w:r>
          </w:p>
          <w:p>
            <w:pPr>
              <w:spacing w:line="440" w:lineRule="exact"/>
              <w:jc w:val="center"/>
              <w:textAlignment w:val="baseline"/>
              <w:rPr>
                <w:color w:val="auto"/>
                <w:szCs w:val="21"/>
                <w:highlight w:val="none"/>
              </w:rPr>
            </w:pPr>
            <w:r>
              <w:rPr>
                <w:rFonts w:hint="eastAsia"/>
                <w:color w:val="auto"/>
                <w:szCs w:val="21"/>
                <w:highlight w:val="none"/>
              </w:rPr>
              <w:t>委</w:t>
            </w:r>
          </w:p>
          <w:p>
            <w:pPr>
              <w:spacing w:line="440" w:lineRule="exact"/>
              <w:jc w:val="center"/>
              <w:textAlignment w:val="baseline"/>
              <w:rPr>
                <w:color w:val="auto"/>
                <w:szCs w:val="21"/>
                <w:highlight w:val="none"/>
              </w:rPr>
            </w:pPr>
            <w:r>
              <w:rPr>
                <w:rFonts w:hint="eastAsia"/>
                <w:color w:val="auto"/>
                <w:szCs w:val="21"/>
                <w:highlight w:val="none"/>
              </w:rPr>
              <w:t>员</w:t>
            </w:r>
          </w:p>
          <w:p>
            <w:pPr>
              <w:spacing w:line="440" w:lineRule="exact"/>
              <w:jc w:val="center"/>
              <w:textAlignment w:val="baseline"/>
              <w:rPr>
                <w:color w:val="auto"/>
                <w:szCs w:val="21"/>
                <w:highlight w:val="none"/>
              </w:rPr>
            </w:pPr>
            <w:r>
              <w:rPr>
                <w:rFonts w:hint="eastAsia"/>
                <w:color w:val="auto"/>
                <w:szCs w:val="21"/>
                <w:highlight w:val="none"/>
              </w:rPr>
              <w:t>会</w:t>
            </w:r>
          </w:p>
        </w:tc>
        <w:tc>
          <w:tcPr>
            <w:tcW w:w="533" w:type="dxa"/>
            <w:vMerge w:val="restart"/>
            <w:vAlign w:val="center"/>
          </w:tcPr>
          <w:p>
            <w:pPr>
              <w:spacing w:line="440" w:lineRule="exact"/>
              <w:jc w:val="center"/>
              <w:textAlignment w:val="baseline"/>
              <w:rPr>
                <w:color w:val="auto"/>
                <w:szCs w:val="21"/>
                <w:highlight w:val="none"/>
              </w:rPr>
            </w:pPr>
            <w:r>
              <w:rPr>
                <w:rFonts w:hint="eastAsia"/>
                <w:color w:val="auto"/>
                <w:szCs w:val="21"/>
                <w:highlight w:val="none"/>
              </w:rPr>
              <w:t>资</w:t>
            </w:r>
          </w:p>
          <w:p>
            <w:pPr>
              <w:spacing w:line="440" w:lineRule="exact"/>
              <w:jc w:val="center"/>
              <w:textAlignment w:val="baseline"/>
              <w:rPr>
                <w:color w:val="auto"/>
                <w:szCs w:val="21"/>
                <w:highlight w:val="none"/>
              </w:rPr>
            </w:pPr>
            <w:r>
              <w:rPr>
                <w:rFonts w:hint="eastAsia"/>
                <w:color w:val="auto"/>
                <w:szCs w:val="21"/>
                <w:highlight w:val="none"/>
              </w:rPr>
              <w:t>格</w:t>
            </w:r>
          </w:p>
          <w:p>
            <w:pPr>
              <w:spacing w:line="440" w:lineRule="exact"/>
              <w:jc w:val="center"/>
              <w:textAlignment w:val="baseline"/>
              <w:rPr>
                <w:color w:val="auto"/>
                <w:szCs w:val="21"/>
                <w:highlight w:val="none"/>
              </w:rPr>
            </w:pPr>
            <w:r>
              <w:rPr>
                <w:rFonts w:hint="eastAsia"/>
                <w:color w:val="auto"/>
                <w:szCs w:val="21"/>
                <w:highlight w:val="none"/>
              </w:rPr>
              <w:t>评</w:t>
            </w:r>
          </w:p>
          <w:p>
            <w:pPr>
              <w:spacing w:line="440" w:lineRule="exact"/>
              <w:jc w:val="center"/>
              <w:textAlignment w:val="baseline"/>
              <w:rPr>
                <w:color w:val="auto"/>
                <w:szCs w:val="21"/>
                <w:highlight w:val="none"/>
              </w:rPr>
            </w:pPr>
            <w:r>
              <w:rPr>
                <w:rFonts w:hint="eastAsia"/>
                <w:color w:val="auto"/>
                <w:szCs w:val="21"/>
                <w:highlight w:val="none"/>
              </w:rPr>
              <w:t>审</w:t>
            </w:r>
          </w:p>
          <w:p>
            <w:pPr>
              <w:spacing w:line="440" w:lineRule="exact"/>
              <w:jc w:val="center"/>
              <w:textAlignment w:val="baseline"/>
              <w:rPr>
                <w:color w:val="auto"/>
                <w:szCs w:val="21"/>
                <w:highlight w:val="none"/>
              </w:rPr>
            </w:pPr>
            <w:r>
              <w:rPr>
                <w:rFonts w:hint="eastAsia"/>
                <w:color w:val="auto"/>
                <w:szCs w:val="21"/>
                <w:highlight w:val="none"/>
              </w:rPr>
              <w:t>标</w:t>
            </w:r>
          </w:p>
          <w:p>
            <w:pPr>
              <w:spacing w:line="440" w:lineRule="exact"/>
              <w:jc w:val="center"/>
              <w:textAlignment w:val="baseline"/>
              <w:rPr>
                <w:color w:val="auto"/>
                <w:szCs w:val="21"/>
                <w:highlight w:val="none"/>
              </w:rPr>
            </w:pPr>
            <w:r>
              <w:rPr>
                <w:rFonts w:hint="eastAsia"/>
                <w:color w:val="auto"/>
                <w:szCs w:val="21"/>
                <w:highlight w:val="none"/>
              </w:rPr>
              <w:t>准</w:t>
            </w:r>
          </w:p>
          <w:p>
            <w:pPr>
              <w:spacing w:line="440" w:lineRule="exact"/>
              <w:ind w:firstLine="420" w:firstLineChars="200"/>
              <w:textAlignment w:val="baseline"/>
              <w:rPr>
                <w:color w:val="auto"/>
                <w:szCs w:val="21"/>
                <w:highlight w:val="none"/>
              </w:rPr>
            </w:pPr>
          </w:p>
        </w:tc>
        <w:tc>
          <w:tcPr>
            <w:tcW w:w="3330" w:type="dxa"/>
            <w:vAlign w:val="center"/>
          </w:tcPr>
          <w:p>
            <w:pPr>
              <w:spacing w:line="360" w:lineRule="auto"/>
              <w:textAlignment w:val="baseline"/>
              <w:rPr>
                <w:color w:val="auto"/>
                <w:szCs w:val="21"/>
                <w:highlight w:val="none"/>
              </w:rPr>
            </w:pPr>
            <w:r>
              <w:rPr>
                <w:rFonts w:hint="eastAsia"/>
                <w:color w:val="auto"/>
                <w:szCs w:val="21"/>
                <w:highlight w:val="none"/>
              </w:rPr>
              <w:t>温县政府采购供应商资格信用承诺函</w:t>
            </w:r>
          </w:p>
        </w:tc>
        <w:tc>
          <w:tcPr>
            <w:tcW w:w="5578" w:type="dxa"/>
            <w:vAlign w:val="center"/>
          </w:tcPr>
          <w:p>
            <w:pPr>
              <w:spacing w:line="360" w:lineRule="auto"/>
              <w:textAlignment w:val="baseline"/>
              <w:rPr>
                <w:rFonts w:hint="eastAsia" w:eastAsia="宋体"/>
                <w:color w:val="auto"/>
                <w:szCs w:val="21"/>
                <w:highlight w:val="none"/>
                <w:lang w:eastAsia="zh-CN"/>
              </w:rPr>
            </w:pPr>
            <w:r>
              <w:rPr>
                <w:rFonts w:hint="eastAsia"/>
                <w:color w:val="auto"/>
                <w:szCs w:val="21"/>
                <w:highlight w:val="none"/>
                <w:lang w:eastAsia="zh-CN"/>
              </w:rPr>
              <w:t>符合“</w:t>
            </w:r>
            <w:r>
              <w:rPr>
                <w:rFonts w:hint="eastAsia"/>
                <w:color w:val="auto"/>
                <w:szCs w:val="21"/>
                <w:highlight w:val="none"/>
              </w:rPr>
              <w:t>温县政府采购供应商资格信用承诺函</w:t>
            </w:r>
            <w:r>
              <w:rPr>
                <w:rFonts w:hint="eastAsia"/>
                <w:color w:val="auto"/>
                <w:szCs w:val="21"/>
                <w:highlight w:val="none"/>
                <w:lang w:eastAsia="zh-CN"/>
              </w:rPr>
              <w:t>”格式要求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712" w:type="dxa"/>
            <w:vMerge w:val="continue"/>
            <w:vAlign w:val="center"/>
          </w:tcPr>
          <w:p>
            <w:pPr>
              <w:spacing w:line="440" w:lineRule="exact"/>
              <w:ind w:firstLine="420" w:firstLineChars="200"/>
              <w:textAlignment w:val="baseline"/>
              <w:rPr>
                <w:color w:val="auto"/>
                <w:szCs w:val="21"/>
                <w:highlight w:val="none"/>
              </w:rPr>
            </w:pPr>
          </w:p>
        </w:tc>
        <w:tc>
          <w:tcPr>
            <w:tcW w:w="533" w:type="dxa"/>
            <w:vMerge w:val="continue"/>
            <w:vAlign w:val="center"/>
          </w:tcPr>
          <w:p>
            <w:pPr>
              <w:spacing w:line="440" w:lineRule="exact"/>
              <w:ind w:firstLine="420" w:firstLineChars="200"/>
              <w:textAlignment w:val="baseline"/>
              <w:rPr>
                <w:color w:val="auto"/>
                <w:szCs w:val="21"/>
                <w:highlight w:val="none"/>
              </w:rPr>
            </w:pPr>
          </w:p>
        </w:tc>
        <w:tc>
          <w:tcPr>
            <w:tcW w:w="3330" w:type="dxa"/>
            <w:vAlign w:val="center"/>
          </w:tcPr>
          <w:p>
            <w:pPr>
              <w:spacing w:line="360" w:lineRule="auto"/>
              <w:textAlignment w:val="baseline"/>
              <w:rPr>
                <w:color w:val="auto"/>
                <w:szCs w:val="21"/>
                <w:highlight w:val="none"/>
              </w:rPr>
            </w:pPr>
            <w:r>
              <w:rPr>
                <w:rFonts w:hint="eastAsia"/>
                <w:color w:val="auto"/>
                <w:szCs w:val="21"/>
                <w:highlight w:val="none"/>
              </w:rPr>
              <w:t>法定代表人身份证明或授权委托书及被授权人本人身份证</w:t>
            </w:r>
          </w:p>
        </w:tc>
        <w:tc>
          <w:tcPr>
            <w:tcW w:w="5578" w:type="dxa"/>
            <w:vAlign w:val="center"/>
          </w:tcPr>
          <w:p>
            <w:pPr>
              <w:spacing w:line="360" w:lineRule="auto"/>
              <w:textAlignment w:val="baseline"/>
              <w:rPr>
                <w:color w:val="auto"/>
                <w:szCs w:val="21"/>
                <w:highlight w:val="none"/>
              </w:rPr>
            </w:pPr>
            <w:r>
              <w:rPr>
                <w:rFonts w:hint="eastAsia"/>
                <w:color w:val="auto"/>
                <w:szCs w:val="21"/>
                <w:highlight w:val="none"/>
              </w:rPr>
              <w:t>法定代表人身份证明或授权委托书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712" w:type="dxa"/>
            <w:vMerge w:val="continue"/>
            <w:vAlign w:val="center"/>
          </w:tcPr>
          <w:p>
            <w:pPr>
              <w:spacing w:line="440" w:lineRule="exact"/>
              <w:ind w:firstLine="420" w:firstLineChars="200"/>
              <w:textAlignment w:val="baseline"/>
              <w:rPr>
                <w:color w:val="auto"/>
                <w:szCs w:val="21"/>
                <w:highlight w:val="none"/>
              </w:rPr>
            </w:pPr>
          </w:p>
        </w:tc>
        <w:tc>
          <w:tcPr>
            <w:tcW w:w="533" w:type="dxa"/>
            <w:vMerge w:val="continue"/>
            <w:vAlign w:val="center"/>
          </w:tcPr>
          <w:p>
            <w:pPr>
              <w:spacing w:line="440" w:lineRule="exact"/>
              <w:ind w:firstLine="420" w:firstLineChars="200"/>
              <w:textAlignment w:val="baseline"/>
              <w:rPr>
                <w:color w:val="auto"/>
                <w:szCs w:val="21"/>
                <w:highlight w:val="none"/>
              </w:rPr>
            </w:pPr>
          </w:p>
        </w:tc>
        <w:tc>
          <w:tcPr>
            <w:tcW w:w="3330" w:type="dxa"/>
            <w:vAlign w:val="center"/>
          </w:tcPr>
          <w:p>
            <w:pPr>
              <w:spacing w:line="360" w:lineRule="auto"/>
              <w:textAlignment w:val="baseline"/>
              <w:rPr>
                <w:color w:val="auto"/>
                <w:szCs w:val="21"/>
                <w:highlight w:val="none"/>
              </w:rPr>
            </w:pPr>
            <w:r>
              <w:rPr>
                <w:rFonts w:hint="eastAsia"/>
                <w:color w:val="auto"/>
                <w:szCs w:val="21"/>
                <w:highlight w:val="none"/>
              </w:rPr>
              <w:t>无行贿犯罪记录</w:t>
            </w:r>
          </w:p>
        </w:tc>
        <w:tc>
          <w:tcPr>
            <w:tcW w:w="5578" w:type="dxa"/>
            <w:vAlign w:val="center"/>
          </w:tcPr>
          <w:p>
            <w:pPr>
              <w:spacing w:line="360" w:lineRule="auto"/>
              <w:textAlignment w:val="baseline"/>
              <w:rPr>
                <w:color w:val="auto"/>
                <w:szCs w:val="21"/>
                <w:highlight w:val="none"/>
              </w:rPr>
            </w:pPr>
            <w:r>
              <w:rPr>
                <w:rFonts w:hint="eastAsia"/>
                <w:color w:val="auto"/>
                <w:szCs w:val="21"/>
                <w:highlight w:val="none"/>
              </w:rPr>
              <w:t>符合第二章供应商须知前附表</w:t>
            </w:r>
            <w:r>
              <w:rPr>
                <w:rFonts w:hint="eastAsia" w:ascii="宋体" w:hAnsi="宋体" w:cs="宋体"/>
                <w:color w:val="auto"/>
                <w:szCs w:val="21"/>
                <w:highlight w:val="none"/>
              </w:rPr>
              <w:t>1.3.4</w:t>
            </w:r>
            <w:r>
              <w:rPr>
                <w:rFonts w:hint="eastAsia"/>
                <w:color w:val="auto"/>
                <w:szCs w:val="21"/>
                <w:highlight w:val="none"/>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12" w:type="dxa"/>
            <w:vMerge w:val="continue"/>
            <w:vAlign w:val="center"/>
          </w:tcPr>
          <w:p>
            <w:pPr>
              <w:spacing w:line="440" w:lineRule="exact"/>
              <w:ind w:firstLine="420" w:firstLineChars="200"/>
              <w:textAlignment w:val="baseline"/>
              <w:rPr>
                <w:color w:val="auto"/>
                <w:szCs w:val="21"/>
                <w:highlight w:val="none"/>
              </w:rPr>
            </w:pPr>
          </w:p>
        </w:tc>
        <w:tc>
          <w:tcPr>
            <w:tcW w:w="533" w:type="dxa"/>
            <w:vMerge w:val="continue"/>
            <w:vAlign w:val="center"/>
          </w:tcPr>
          <w:p>
            <w:pPr>
              <w:spacing w:line="440" w:lineRule="exact"/>
              <w:ind w:firstLine="420" w:firstLineChars="200"/>
              <w:textAlignment w:val="baseline"/>
              <w:rPr>
                <w:color w:val="auto"/>
                <w:szCs w:val="21"/>
                <w:highlight w:val="none"/>
              </w:rPr>
            </w:pPr>
          </w:p>
        </w:tc>
        <w:tc>
          <w:tcPr>
            <w:tcW w:w="3330" w:type="dxa"/>
            <w:vAlign w:val="center"/>
          </w:tcPr>
          <w:p>
            <w:pPr>
              <w:spacing w:line="360" w:lineRule="auto"/>
              <w:jc w:val="left"/>
              <w:textAlignment w:val="baseline"/>
              <w:rPr>
                <w:color w:val="auto"/>
                <w:szCs w:val="21"/>
                <w:highlight w:val="none"/>
              </w:rPr>
            </w:pPr>
            <w:r>
              <w:rPr>
                <w:rFonts w:hint="eastAsia"/>
                <w:color w:val="auto"/>
                <w:szCs w:val="21"/>
                <w:highlight w:val="none"/>
              </w:rPr>
              <w:t>信誉要求</w:t>
            </w:r>
          </w:p>
        </w:tc>
        <w:tc>
          <w:tcPr>
            <w:tcW w:w="5578" w:type="dxa"/>
            <w:vAlign w:val="center"/>
          </w:tcPr>
          <w:p>
            <w:pPr>
              <w:spacing w:line="360" w:lineRule="auto"/>
              <w:jc w:val="left"/>
              <w:textAlignment w:val="baseline"/>
              <w:rPr>
                <w:color w:val="auto"/>
                <w:szCs w:val="21"/>
                <w:highlight w:val="none"/>
              </w:rPr>
            </w:pPr>
            <w:r>
              <w:rPr>
                <w:rFonts w:hint="eastAsia"/>
                <w:color w:val="auto"/>
                <w:szCs w:val="21"/>
                <w:highlight w:val="none"/>
              </w:rPr>
              <w:t>符合第二章供应商须知前附表</w:t>
            </w:r>
            <w:r>
              <w:rPr>
                <w:rFonts w:hint="eastAsia" w:ascii="宋体" w:hAnsi="宋体" w:cs="宋体"/>
                <w:color w:val="auto"/>
                <w:szCs w:val="21"/>
                <w:highlight w:val="none"/>
              </w:rPr>
              <w:t>1.3.4</w:t>
            </w:r>
            <w:r>
              <w:rPr>
                <w:rFonts w:hint="eastAsia"/>
                <w:color w:val="auto"/>
                <w:szCs w:val="21"/>
                <w:highlight w:val="none"/>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712" w:type="dxa"/>
            <w:vMerge w:val="continue"/>
            <w:vAlign w:val="center"/>
          </w:tcPr>
          <w:p>
            <w:pPr>
              <w:spacing w:line="440" w:lineRule="exact"/>
              <w:jc w:val="center"/>
              <w:textAlignment w:val="baseline"/>
              <w:rPr>
                <w:color w:val="auto"/>
                <w:szCs w:val="21"/>
                <w:highlight w:val="none"/>
              </w:rPr>
            </w:pPr>
          </w:p>
        </w:tc>
        <w:tc>
          <w:tcPr>
            <w:tcW w:w="533" w:type="dxa"/>
            <w:vMerge w:val="restart"/>
            <w:vAlign w:val="center"/>
          </w:tcPr>
          <w:p>
            <w:pPr>
              <w:spacing w:line="440" w:lineRule="exact"/>
              <w:jc w:val="center"/>
              <w:textAlignment w:val="baseline"/>
              <w:rPr>
                <w:color w:val="auto"/>
                <w:szCs w:val="21"/>
                <w:highlight w:val="none"/>
              </w:rPr>
            </w:pPr>
            <w:r>
              <w:rPr>
                <w:rFonts w:hint="eastAsia"/>
                <w:color w:val="auto"/>
                <w:szCs w:val="21"/>
                <w:highlight w:val="none"/>
              </w:rPr>
              <w:t>符</w:t>
            </w:r>
          </w:p>
          <w:p>
            <w:pPr>
              <w:spacing w:line="440" w:lineRule="exact"/>
              <w:jc w:val="center"/>
              <w:textAlignment w:val="baseline"/>
              <w:rPr>
                <w:color w:val="auto"/>
                <w:szCs w:val="21"/>
                <w:highlight w:val="none"/>
              </w:rPr>
            </w:pPr>
            <w:r>
              <w:rPr>
                <w:rFonts w:hint="eastAsia"/>
                <w:color w:val="auto"/>
                <w:szCs w:val="21"/>
                <w:highlight w:val="none"/>
              </w:rPr>
              <w:t>合</w:t>
            </w:r>
          </w:p>
          <w:p>
            <w:pPr>
              <w:spacing w:line="440" w:lineRule="exact"/>
              <w:jc w:val="center"/>
              <w:textAlignment w:val="baseline"/>
              <w:rPr>
                <w:color w:val="auto"/>
                <w:szCs w:val="21"/>
                <w:highlight w:val="none"/>
              </w:rPr>
            </w:pPr>
            <w:r>
              <w:rPr>
                <w:rFonts w:hint="eastAsia"/>
                <w:color w:val="auto"/>
                <w:szCs w:val="21"/>
                <w:highlight w:val="none"/>
              </w:rPr>
              <w:t>性</w:t>
            </w:r>
          </w:p>
          <w:p>
            <w:pPr>
              <w:spacing w:line="440" w:lineRule="exact"/>
              <w:jc w:val="center"/>
              <w:textAlignment w:val="baseline"/>
              <w:rPr>
                <w:color w:val="auto"/>
                <w:szCs w:val="21"/>
                <w:highlight w:val="none"/>
              </w:rPr>
            </w:pPr>
            <w:r>
              <w:rPr>
                <w:rFonts w:hint="eastAsia"/>
                <w:color w:val="auto"/>
                <w:szCs w:val="21"/>
                <w:highlight w:val="none"/>
              </w:rPr>
              <w:t>评</w:t>
            </w:r>
          </w:p>
          <w:p>
            <w:pPr>
              <w:spacing w:line="440" w:lineRule="exact"/>
              <w:jc w:val="center"/>
              <w:textAlignment w:val="baseline"/>
              <w:rPr>
                <w:color w:val="auto"/>
                <w:szCs w:val="21"/>
                <w:highlight w:val="none"/>
              </w:rPr>
            </w:pPr>
            <w:r>
              <w:rPr>
                <w:rFonts w:hint="eastAsia"/>
                <w:color w:val="auto"/>
                <w:szCs w:val="21"/>
                <w:highlight w:val="none"/>
              </w:rPr>
              <w:t>审</w:t>
            </w:r>
          </w:p>
          <w:p>
            <w:pPr>
              <w:spacing w:line="440" w:lineRule="exact"/>
              <w:jc w:val="center"/>
              <w:textAlignment w:val="baseline"/>
              <w:rPr>
                <w:color w:val="auto"/>
                <w:szCs w:val="21"/>
                <w:highlight w:val="none"/>
              </w:rPr>
            </w:pPr>
            <w:r>
              <w:rPr>
                <w:rFonts w:hint="eastAsia"/>
                <w:color w:val="auto"/>
                <w:szCs w:val="21"/>
                <w:highlight w:val="none"/>
              </w:rPr>
              <w:t>标</w:t>
            </w:r>
          </w:p>
          <w:p>
            <w:pPr>
              <w:spacing w:line="440" w:lineRule="exact"/>
              <w:jc w:val="center"/>
              <w:textAlignment w:val="baseline"/>
              <w:rPr>
                <w:color w:val="auto"/>
                <w:szCs w:val="21"/>
                <w:highlight w:val="none"/>
              </w:rPr>
            </w:pPr>
            <w:r>
              <w:rPr>
                <w:rFonts w:hint="eastAsia"/>
                <w:color w:val="auto"/>
                <w:szCs w:val="21"/>
                <w:highlight w:val="none"/>
              </w:rPr>
              <w:t>准</w:t>
            </w:r>
          </w:p>
          <w:p>
            <w:pPr>
              <w:spacing w:line="440" w:lineRule="exact"/>
              <w:ind w:firstLine="420" w:firstLineChars="200"/>
              <w:textAlignment w:val="baseline"/>
              <w:rPr>
                <w:color w:val="auto"/>
                <w:szCs w:val="21"/>
                <w:highlight w:val="none"/>
              </w:rPr>
            </w:pPr>
          </w:p>
        </w:tc>
        <w:tc>
          <w:tcPr>
            <w:tcW w:w="3330" w:type="dxa"/>
            <w:vAlign w:val="center"/>
          </w:tcPr>
          <w:p>
            <w:pPr>
              <w:spacing w:line="600" w:lineRule="auto"/>
              <w:jc w:val="left"/>
              <w:textAlignment w:val="baseline"/>
              <w:rPr>
                <w:color w:val="auto"/>
                <w:szCs w:val="21"/>
                <w:highlight w:val="none"/>
              </w:rPr>
            </w:pPr>
            <w:r>
              <w:rPr>
                <w:rFonts w:hint="eastAsia"/>
                <w:color w:val="auto"/>
                <w:szCs w:val="21"/>
                <w:highlight w:val="none"/>
              </w:rPr>
              <w:t>投标函签字盖章</w:t>
            </w:r>
          </w:p>
        </w:tc>
        <w:tc>
          <w:tcPr>
            <w:tcW w:w="5578" w:type="dxa"/>
            <w:vAlign w:val="center"/>
          </w:tcPr>
          <w:p>
            <w:pPr>
              <w:spacing w:line="600" w:lineRule="auto"/>
              <w:jc w:val="left"/>
              <w:textAlignment w:val="baseline"/>
              <w:rPr>
                <w:color w:val="auto"/>
                <w:szCs w:val="21"/>
                <w:highlight w:val="none"/>
              </w:rPr>
            </w:pPr>
            <w:r>
              <w:rPr>
                <w:rFonts w:hint="eastAsia"/>
                <w:color w:val="auto"/>
                <w:szCs w:val="21"/>
                <w:highlight w:val="none"/>
              </w:rPr>
              <w:t>由法定代表人（负责人）或委托代理人签字并加盖单位公章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12"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3330" w:type="dxa"/>
            <w:vAlign w:val="center"/>
          </w:tcPr>
          <w:p>
            <w:pPr>
              <w:spacing w:line="600" w:lineRule="auto"/>
              <w:jc w:val="left"/>
              <w:textAlignment w:val="baseline"/>
              <w:rPr>
                <w:color w:val="auto"/>
                <w:szCs w:val="21"/>
                <w:highlight w:val="none"/>
              </w:rPr>
            </w:pPr>
            <w:r>
              <w:rPr>
                <w:rFonts w:hint="eastAsia"/>
                <w:color w:val="auto"/>
                <w:szCs w:val="21"/>
                <w:highlight w:val="none"/>
              </w:rPr>
              <w:t>投标文件格式</w:t>
            </w:r>
          </w:p>
        </w:tc>
        <w:tc>
          <w:tcPr>
            <w:tcW w:w="5578" w:type="dxa"/>
            <w:vAlign w:val="center"/>
          </w:tcPr>
          <w:p>
            <w:pPr>
              <w:spacing w:line="600" w:lineRule="auto"/>
              <w:jc w:val="left"/>
              <w:textAlignment w:val="baseline"/>
              <w:rPr>
                <w:color w:val="auto"/>
                <w:szCs w:val="21"/>
                <w:highlight w:val="none"/>
              </w:rPr>
            </w:pPr>
            <w:r>
              <w:rPr>
                <w:rFonts w:hint="eastAsia"/>
                <w:color w:val="auto"/>
                <w:szCs w:val="21"/>
                <w:highlight w:val="none"/>
              </w:rPr>
              <w:t>符合磋商文件格式要求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12"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3330" w:type="dxa"/>
            <w:vAlign w:val="center"/>
          </w:tcPr>
          <w:p>
            <w:pPr>
              <w:spacing w:line="600" w:lineRule="auto"/>
              <w:jc w:val="left"/>
              <w:textAlignment w:val="baseline"/>
              <w:rPr>
                <w:color w:val="auto"/>
                <w:szCs w:val="21"/>
                <w:highlight w:val="none"/>
              </w:rPr>
            </w:pPr>
            <w:r>
              <w:rPr>
                <w:rFonts w:hint="eastAsia"/>
                <w:color w:val="auto"/>
                <w:szCs w:val="21"/>
                <w:highlight w:val="none"/>
              </w:rPr>
              <w:t>合同履行期限</w:t>
            </w:r>
          </w:p>
        </w:tc>
        <w:tc>
          <w:tcPr>
            <w:tcW w:w="5578" w:type="dxa"/>
            <w:vAlign w:val="center"/>
          </w:tcPr>
          <w:p>
            <w:pPr>
              <w:spacing w:line="600" w:lineRule="auto"/>
              <w:jc w:val="left"/>
              <w:textAlignment w:val="baseline"/>
              <w:rPr>
                <w:color w:val="auto"/>
                <w:szCs w:val="21"/>
                <w:highlight w:val="none"/>
              </w:rPr>
            </w:pPr>
            <w:r>
              <w:rPr>
                <w:rFonts w:hint="eastAsia"/>
                <w:color w:val="auto"/>
                <w:szCs w:val="21"/>
                <w:highlight w:val="none"/>
              </w:rPr>
              <w:t>符合第二章供应商须知前附表1.3.2规定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3330" w:type="dxa"/>
            <w:vAlign w:val="center"/>
          </w:tcPr>
          <w:p>
            <w:pPr>
              <w:spacing w:line="600" w:lineRule="auto"/>
              <w:jc w:val="left"/>
              <w:textAlignment w:val="baseline"/>
              <w:rPr>
                <w:color w:val="auto"/>
                <w:szCs w:val="21"/>
                <w:highlight w:val="none"/>
              </w:rPr>
            </w:pPr>
            <w:r>
              <w:rPr>
                <w:rFonts w:hint="eastAsia"/>
                <w:color w:val="auto"/>
                <w:szCs w:val="21"/>
                <w:highlight w:val="none"/>
              </w:rPr>
              <w:t>质量要求</w:t>
            </w:r>
          </w:p>
        </w:tc>
        <w:tc>
          <w:tcPr>
            <w:tcW w:w="5578" w:type="dxa"/>
            <w:vAlign w:val="center"/>
          </w:tcPr>
          <w:p>
            <w:pPr>
              <w:spacing w:line="600" w:lineRule="auto"/>
              <w:jc w:val="left"/>
              <w:textAlignment w:val="baseline"/>
              <w:rPr>
                <w:rFonts w:hint="eastAsia" w:eastAsia="宋体"/>
                <w:color w:val="auto"/>
                <w:szCs w:val="21"/>
                <w:highlight w:val="none"/>
                <w:lang w:eastAsia="zh-CN"/>
              </w:rPr>
            </w:pPr>
            <w:r>
              <w:rPr>
                <w:rFonts w:hint="eastAsia"/>
                <w:color w:val="auto"/>
                <w:szCs w:val="21"/>
                <w:highlight w:val="none"/>
                <w:lang w:eastAsia="zh-CN"/>
              </w:rPr>
              <w:t>符合国家、行业及地区现行相关规范和标准。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3330" w:type="dxa"/>
            <w:vAlign w:val="center"/>
          </w:tcPr>
          <w:p>
            <w:pPr>
              <w:spacing w:line="600" w:lineRule="auto"/>
              <w:jc w:val="left"/>
              <w:textAlignment w:val="baseline"/>
              <w:rPr>
                <w:color w:val="auto"/>
                <w:szCs w:val="21"/>
                <w:highlight w:val="none"/>
              </w:rPr>
            </w:pPr>
            <w:r>
              <w:rPr>
                <w:rFonts w:hint="eastAsia"/>
                <w:color w:val="auto"/>
                <w:szCs w:val="21"/>
                <w:highlight w:val="none"/>
              </w:rPr>
              <w:t>投标报价</w:t>
            </w:r>
          </w:p>
        </w:tc>
        <w:tc>
          <w:tcPr>
            <w:tcW w:w="5578" w:type="dxa"/>
            <w:vAlign w:val="center"/>
          </w:tcPr>
          <w:p>
            <w:pPr>
              <w:spacing w:line="600" w:lineRule="auto"/>
              <w:jc w:val="left"/>
              <w:textAlignment w:val="baseline"/>
              <w:rPr>
                <w:color w:val="auto"/>
                <w:szCs w:val="21"/>
                <w:highlight w:val="none"/>
              </w:rPr>
            </w:pPr>
            <w:r>
              <w:rPr>
                <w:rFonts w:hint="eastAsia"/>
                <w:color w:val="auto"/>
                <w:szCs w:val="21"/>
                <w:highlight w:val="none"/>
              </w:rPr>
              <w:t>只能有一个有效报价，且不能超过预算价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3330" w:type="dxa"/>
            <w:vAlign w:val="center"/>
          </w:tcPr>
          <w:p>
            <w:pPr>
              <w:spacing w:line="600" w:lineRule="auto"/>
              <w:jc w:val="left"/>
              <w:textAlignment w:val="baseline"/>
              <w:rPr>
                <w:color w:val="auto"/>
                <w:szCs w:val="21"/>
                <w:highlight w:val="none"/>
              </w:rPr>
            </w:pPr>
            <w:r>
              <w:rPr>
                <w:rFonts w:hint="eastAsia"/>
                <w:color w:val="auto"/>
                <w:szCs w:val="21"/>
                <w:highlight w:val="none"/>
              </w:rPr>
              <w:t>投标承诺函</w:t>
            </w:r>
          </w:p>
        </w:tc>
        <w:tc>
          <w:tcPr>
            <w:tcW w:w="5578" w:type="dxa"/>
            <w:vAlign w:val="center"/>
          </w:tcPr>
          <w:p>
            <w:pPr>
              <w:spacing w:line="600" w:lineRule="auto"/>
              <w:jc w:val="left"/>
              <w:textAlignment w:val="baseline"/>
              <w:rPr>
                <w:color w:val="auto"/>
                <w:szCs w:val="21"/>
                <w:highlight w:val="none"/>
              </w:rPr>
            </w:pPr>
            <w:r>
              <w:rPr>
                <w:rFonts w:hint="eastAsia"/>
                <w:color w:val="auto"/>
                <w:szCs w:val="21"/>
                <w:highlight w:val="none"/>
              </w:rPr>
              <w:t>符合第二章“供应商须知”规定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3330" w:type="dxa"/>
            <w:vAlign w:val="center"/>
          </w:tcPr>
          <w:p>
            <w:pPr>
              <w:spacing w:line="600" w:lineRule="auto"/>
              <w:jc w:val="left"/>
              <w:textAlignment w:val="baseline"/>
              <w:rPr>
                <w:color w:val="auto"/>
                <w:szCs w:val="21"/>
                <w:highlight w:val="none"/>
              </w:rPr>
            </w:pPr>
            <w:r>
              <w:rPr>
                <w:rFonts w:hint="eastAsia"/>
                <w:color w:val="auto"/>
                <w:szCs w:val="21"/>
                <w:highlight w:val="none"/>
              </w:rPr>
              <w:t>磋商有效期</w:t>
            </w:r>
          </w:p>
        </w:tc>
        <w:tc>
          <w:tcPr>
            <w:tcW w:w="5578" w:type="dxa"/>
            <w:vAlign w:val="center"/>
          </w:tcPr>
          <w:p>
            <w:pPr>
              <w:spacing w:line="600" w:lineRule="auto"/>
              <w:jc w:val="left"/>
              <w:textAlignment w:val="baseline"/>
              <w:rPr>
                <w:color w:val="auto"/>
                <w:szCs w:val="21"/>
                <w:highlight w:val="none"/>
              </w:rPr>
            </w:pPr>
            <w:r>
              <w:rPr>
                <w:rFonts w:hint="eastAsia"/>
                <w:color w:val="auto"/>
                <w:szCs w:val="21"/>
                <w:highlight w:val="none"/>
              </w:rPr>
              <w:t>响应文件递交截止日起60日历天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12" w:type="dxa"/>
            <w:vMerge w:val="continue"/>
            <w:vAlign w:val="center"/>
          </w:tcPr>
          <w:p>
            <w:pPr>
              <w:spacing w:line="440" w:lineRule="exact"/>
              <w:jc w:val="center"/>
              <w:textAlignment w:val="baseline"/>
              <w:rPr>
                <w:color w:val="auto"/>
                <w:szCs w:val="21"/>
                <w:highlight w:val="none"/>
              </w:rPr>
            </w:pPr>
          </w:p>
        </w:tc>
        <w:tc>
          <w:tcPr>
            <w:tcW w:w="533" w:type="dxa"/>
            <w:vMerge w:val="continue"/>
            <w:vAlign w:val="center"/>
          </w:tcPr>
          <w:p>
            <w:pPr>
              <w:spacing w:line="440" w:lineRule="exact"/>
              <w:jc w:val="center"/>
              <w:textAlignment w:val="baseline"/>
              <w:rPr>
                <w:color w:val="auto"/>
                <w:szCs w:val="21"/>
                <w:highlight w:val="none"/>
              </w:rPr>
            </w:pPr>
          </w:p>
        </w:tc>
        <w:tc>
          <w:tcPr>
            <w:tcW w:w="3330" w:type="dxa"/>
            <w:vAlign w:val="center"/>
          </w:tcPr>
          <w:p>
            <w:pPr>
              <w:spacing w:line="600" w:lineRule="auto"/>
              <w:jc w:val="left"/>
              <w:textAlignment w:val="baseline"/>
              <w:rPr>
                <w:color w:val="auto"/>
                <w:szCs w:val="21"/>
                <w:highlight w:val="none"/>
              </w:rPr>
            </w:pPr>
            <w:r>
              <w:rPr>
                <w:rFonts w:hint="eastAsia"/>
                <w:color w:val="auto"/>
                <w:szCs w:val="21"/>
                <w:highlight w:val="none"/>
              </w:rPr>
              <w:t>其他要求</w:t>
            </w:r>
          </w:p>
        </w:tc>
        <w:tc>
          <w:tcPr>
            <w:tcW w:w="5578" w:type="dxa"/>
            <w:vAlign w:val="center"/>
          </w:tcPr>
          <w:p>
            <w:pPr>
              <w:spacing w:line="600" w:lineRule="auto"/>
              <w:jc w:val="left"/>
              <w:textAlignment w:val="baseline"/>
              <w:rPr>
                <w:color w:val="auto"/>
                <w:szCs w:val="21"/>
                <w:highlight w:val="none"/>
              </w:rPr>
            </w:pPr>
            <w:r>
              <w:rPr>
                <w:rFonts w:hint="eastAsia"/>
                <w:color w:val="auto"/>
                <w:szCs w:val="21"/>
                <w:highlight w:val="none"/>
              </w:rPr>
              <w:t>符合法律、法规和磋商文件中规定的其他实质性要求的。</w:t>
            </w:r>
          </w:p>
        </w:tc>
      </w:tr>
    </w:tbl>
    <w:p>
      <w:pPr>
        <w:spacing w:line="260" w:lineRule="exact"/>
        <w:ind w:firstLine="422" w:firstLineChars="200"/>
        <w:rPr>
          <w:rFonts w:hint="eastAsia" w:ascii="宋体" w:hAnsi="宋体" w:cs="宋体"/>
          <w:b/>
          <w:bCs/>
          <w:color w:val="auto"/>
          <w:kern w:val="0"/>
          <w:szCs w:val="21"/>
          <w:highlight w:val="none"/>
        </w:rPr>
      </w:pPr>
      <w:bookmarkStart w:id="70" w:name="_Toc388091815"/>
      <w:bookmarkStart w:id="71" w:name="_Toc380581854"/>
      <w:bookmarkStart w:id="72" w:name="_Toc388541209"/>
      <w:bookmarkStart w:id="73" w:name="_Toc13205"/>
      <w:bookmarkStart w:id="74" w:name="_Toc18099"/>
      <w:bookmarkStart w:id="75" w:name="_Toc421284754"/>
      <w:bookmarkStart w:id="76" w:name="_Toc241"/>
      <w:bookmarkStart w:id="77" w:name="_Toc371425844"/>
      <w:bookmarkStart w:id="78" w:name="_Toc31363"/>
      <w:bookmarkStart w:id="79" w:name="_Toc17206"/>
      <w:bookmarkStart w:id="80" w:name="_Toc371423273"/>
      <w:bookmarkStart w:id="81" w:name="_Toc31569"/>
    </w:p>
    <w:p>
      <w:pPr>
        <w:spacing w:line="260" w:lineRule="exact"/>
        <w:ind w:firstLine="422" w:firstLineChars="200"/>
        <w:rPr>
          <w:rFonts w:hint="eastAsia" w:ascii="宋体" w:hAnsi="宋体"/>
          <w:b/>
          <w:color w:val="auto"/>
          <w:highlight w:val="none"/>
        </w:rPr>
      </w:pPr>
      <w:r>
        <w:rPr>
          <w:rFonts w:hint="eastAsia" w:ascii="宋体" w:hAnsi="宋体" w:cs="宋体"/>
          <w:b/>
          <w:bCs/>
          <w:color w:val="auto"/>
          <w:kern w:val="0"/>
          <w:szCs w:val="21"/>
          <w:highlight w:val="none"/>
        </w:rPr>
        <w:t>2.2</w:t>
      </w:r>
      <w:r>
        <w:rPr>
          <w:rFonts w:hint="eastAsia" w:ascii="宋体" w:hAnsi="宋体"/>
          <w:b/>
          <w:color w:val="auto"/>
          <w:highlight w:val="none"/>
        </w:rPr>
        <w:t>详细评标标准</w:t>
      </w:r>
    </w:p>
    <w:p>
      <w:pPr>
        <w:pStyle w:val="11"/>
        <w:spacing w:line="260" w:lineRule="exact"/>
        <w:ind w:firstLine="402" w:firstLineChars="200"/>
        <w:rPr>
          <w:rFonts w:hint="eastAsia" w:ascii="宋体" w:eastAsia="宋体" w:cs="宋体"/>
          <w:b/>
          <w:bCs/>
          <w:color w:val="auto"/>
          <w:kern w:val="0"/>
          <w:sz w:val="20"/>
          <w:szCs w:val="20"/>
          <w:highlight w:val="none"/>
          <w:lang w:bidi="ar"/>
        </w:rPr>
      </w:pPr>
      <w:r>
        <w:rPr>
          <w:rFonts w:hint="eastAsia" w:ascii="宋体" w:eastAsia="宋体" w:cs="宋体"/>
          <w:b/>
          <w:bCs/>
          <w:color w:val="auto"/>
          <w:kern w:val="0"/>
          <w:sz w:val="20"/>
          <w:szCs w:val="20"/>
          <w:highlight w:val="none"/>
          <w:lang w:bidi="ar"/>
        </w:rPr>
        <w:t>分值构成 (总分 100 分) 报价部分：</w:t>
      </w:r>
      <w:r>
        <w:rPr>
          <w:rFonts w:hint="eastAsia" w:ascii="宋体" w:cs="宋体"/>
          <w:b/>
          <w:bCs/>
          <w:color w:val="auto"/>
          <w:kern w:val="0"/>
          <w:sz w:val="20"/>
          <w:szCs w:val="20"/>
          <w:highlight w:val="none"/>
          <w:lang w:val="en-US" w:eastAsia="zh-CN" w:bidi="ar"/>
        </w:rPr>
        <w:t>3</w:t>
      </w:r>
      <w:r>
        <w:rPr>
          <w:rFonts w:hint="eastAsia" w:ascii="宋体" w:eastAsia="宋体" w:cs="宋体"/>
          <w:b/>
          <w:bCs/>
          <w:color w:val="auto"/>
          <w:kern w:val="0"/>
          <w:sz w:val="20"/>
          <w:szCs w:val="20"/>
          <w:highlight w:val="none"/>
          <w:lang w:val="en-US" w:eastAsia="zh-CN" w:bidi="ar"/>
        </w:rPr>
        <w:t>0</w:t>
      </w:r>
      <w:r>
        <w:rPr>
          <w:rFonts w:hint="eastAsia" w:ascii="宋体" w:eastAsia="宋体" w:cs="宋体"/>
          <w:b/>
          <w:bCs/>
          <w:color w:val="auto"/>
          <w:kern w:val="0"/>
          <w:sz w:val="20"/>
          <w:szCs w:val="20"/>
          <w:highlight w:val="none"/>
          <w:lang w:bidi="ar"/>
        </w:rPr>
        <w:t>分</w:t>
      </w:r>
      <w:r>
        <w:rPr>
          <w:rFonts w:hint="eastAsia" w:ascii="宋体" w:cs="宋体"/>
          <w:b/>
          <w:bCs/>
          <w:color w:val="auto"/>
          <w:kern w:val="0"/>
          <w:sz w:val="20"/>
          <w:szCs w:val="20"/>
          <w:highlight w:val="none"/>
          <w:lang w:eastAsia="zh-CN" w:bidi="ar"/>
        </w:rPr>
        <w:t>；</w:t>
      </w:r>
      <w:r>
        <w:rPr>
          <w:rFonts w:hint="eastAsia" w:ascii="宋体" w:eastAsia="宋体" w:cs="宋体"/>
          <w:b/>
          <w:bCs/>
          <w:color w:val="auto"/>
          <w:kern w:val="0"/>
          <w:sz w:val="20"/>
          <w:szCs w:val="20"/>
          <w:highlight w:val="none"/>
          <w:lang w:eastAsia="zh-CN" w:bidi="ar"/>
        </w:rPr>
        <w:t>综合</w:t>
      </w:r>
      <w:r>
        <w:rPr>
          <w:rFonts w:hint="eastAsia" w:ascii="宋体" w:eastAsia="宋体" w:cs="宋体"/>
          <w:b/>
          <w:bCs/>
          <w:color w:val="auto"/>
          <w:kern w:val="0"/>
          <w:sz w:val="20"/>
          <w:szCs w:val="20"/>
          <w:highlight w:val="none"/>
          <w:lang w:bidi="ar"/>
        </w:rPr>
        <w:t>部分：</w:t>
      </w:r>
      <w:r>
        <w:rPr>
          <w:rFonts w:hint="eastAsia" w:ascii="宋体" w:eastAsia="宋体" w:cs="宋体"/>
          <w:b/>
          <w:bCs/>
          <w:color w:val="auto"/>
          <w:kern w:val="0"/>
          <w:sz w:val="20"/>
          <w:szCs w:val="20"/>
          <w:highlight w:val="none"/>
          <w:lang w:val="en-US" w:eastAsia="zh-CN" w:bidi="ar"/>
        </w:rPr>
        <w:t>20</w:t>
      </w:r>
      <w:r>
        <w:rPr>
          <w:rFonts w:hint="eastAsia" w:ascii="宋体" w:eastAsia="宋体" w:cs="宋体"/>
          <w:b/>
          <w:bCs/>
          <w:color w:val="auto"/>
          <w:kern w:val="0"/>
          <w:sz w:val="20"/>
          <w:szCs w:val="20"/>
          <w:highlight w:val="none"/>
          <w:lang w:bidi="ar"/>
        </w:rPr>
        <w:t>分；技术部分：</w:t>
      </w:r>
      <w:r>
        <w:rPr>
          <w:rFonts w:hint="eastAsia" w:ascii="宋体" w:eastAsia="宋体" w:cs="宋体"/>
          <w:b/>
          <w:bCs/>
          <w:color w:val="auto"/>
          <w:kern w:val="0"/>
          <w:sz w:val="20"/>
          <w:szCs w:val="20"/>
          <w:highlight w:val="none"/>
          <w:lang w:val="en-US" w:eastAsia="zh-CN" w:bidi="ar"/>
        </w:rPr>
        <w:t>50</w:t>
      </w:r>
      <w:r>
        <w:rPr>
          <w:rFonts w:hint="eastAsia" w:ascii="宋体" w:eastAsia="宋体" w:cs="宋体"/>
          <w:b/>
          <w:bCs/>
          <w:color w:val="auto"/>
          <w:kern w:val="0"/>
          <w:sz w:val="20"/>
          <w:szCs w:val="20"/>
          <w:highlight w:val="none"/>
          <w:lang w:bidi="ar"/>
        </w:rPr>
        <w:t>分；</w:t>
      </w:r>
    </w:p>
    <w:p>
      <w:pPr>
        <w:pStyle w:val="11"/>
        <w:spacing w:line="260" w:lineRule="exact"/>
        <w:ind w:firstLine="422" w:firstLineChars="200"/>
        <w:rPr>
          <w:rFonts w:hint="eastAsia"/>
          <w:b/>
          <w:bCs/>
          <w:color w:val="auto"/>
          <w:highlight w:val="none"/>
        </w:rPr>
      </w:pPr>
    </w:p>
    <w:tbl>
      <w:tblPr>
        <w:tblStyle w:val="27"/>
        <w:tblpPr w:leftFromText="180" w:rightFromText="180" w:vertAnchor="text" w:horzAnchor="page" w:tblpX="1648" w:tblpY="137"/>
        <w:tblOverlap w:val="never"/>
        <w:tblW w:w="51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
        <w:gridCol w:w="1217"/>
        <w:gridCol w:w="842"/>
        <w:gridCol w:w="6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479" w:type="pct"/>
            <w:vAlign w:val="center"/>
          </w:tcPr>
          <w:p>
            <w:pPr>
              <w:rPr>
                <w:rFonts w:ascii="宋体" w:hAnsi="宋体" w:cs="宋体"/>
              </w:rPr>
            </w:pPr>
            <w:r>
              <w:rPr>
                <w:rFonts w:hint="eastAsia" w:ascii="宋体" w:hAnsi="宋体" w:cs="宋体"/>
              </w:rPr>
              <w:t>序号</w:t>
            </w:r>
          </w:p>
        </w:tc>
        <w:tc>
          <w:tcPr>
            <w:tcW w:w="636" w:type="pct"/>
            <w:vAlign w:val="center"/>
          </w:tcPr>
          <w:p>
            <w:pPr>
              <w:rPr>
                <w:rFonts w:ascii="宋体" w:hAnsi="宋体" w:cs="宋体"/>
              </w:rPr>
            </w:pPr>
            <w:r>
              <w:rPr>
                <w:rFonts w:hint="eastAsia" w:ascii="宋体" w:hAnsi="宋体" w:cs="宋体"/>
              </w:rPr>
              <w:t>评审因素</w:t>
            </w:r>
          </w:p>
        </w:tc>
        <w:tc>
          <w:tcPr>
            <w:tcW w:w="440" w:type="pct"/>
            <w:vAlign w:val="center"/>
          </w:tcPr>
          <w:p>
            <w:pPr>
              <w:rPr>
                <w:rFonts w:ascii="宋体" w:hAnsi="宋体" w:cs="宋体"/>
              </w:rPr>
            </w:pPr>
            <w:r>
              <w:rPr>
                <w:rFonts w:hint="eastAsia" w:ascii="宋体" w:hAnsi="宋体" w:cs="宋体"/>
              </w:rPr>
              <w:t>分值</w:t>
            </w:r>
          </w:p>
        </w:tc>
        <w:tc>
          <w:tcPr>
            <w:tcW w:w="3444" w:type="pct"/>
            <w:vAlign w:val="center"/>
          </w:tcPr>
          <w:p>
            <w:pPr>
              <w:rPr>
                <w:rFonts w:ascii="宋体" w:hAnsi="宋体" w:cs="宋体"/>
              </w:rPr>
            </w:pPr>
            <w:r>
              <w:rPr>
                <w:rFonts w:hint="eastAsia" w:ascii="宋体" w:hAnsi="宋体" w:cs="宋体"/>
              </w:rPr>
              <w:t>评  分  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9" w:type="pct"/>
            <w:vAlign w:val="center"/>
          </w:tcPr>
          <w:p>
            <w:pPr>
              <w:rPr>
                <w:rFonts w:ascii="宋体" w:hAnsi="宋体" w:cs="宋体"/>
              </w:rPr>
            </w:pPr>
            <w:r>
              <w:rPr>
                <w:rFonts w:hint="eastAsia" w:ascii="宋体" w:hAnsi="宋体" w:cs="宋体"/>
              </w:rPr>
              <w:t>1</w:t>
            </w:r>
          </w:p>
        </w:tc>
        <w:tc>
          <w:tcPr>
            <w:tcW w:w="636" w:type="pct"/>
            <w:vAlign w:val="center"/>
          </w:tcPr>
          <w:p>
            <w:pPr>
              <w:rPr>
                <w:rFonts w:ascii="宋体" w:hAnsi="宋体" w:cs="宋体"/>
              </w:rPr>
            </w:pPr>
            <w:r>
              <w:rPr>
                <w:rFonts w:hint="eastAsia" w:ascii="宋体" w:hAnsi="宋体" w:cs="宋体"/>
              </w:rPr>
              <w:t>报价部分</w:t>
            </w:r>
            <w:r>
              <w:rPr>
                <w:rFonts w:hint="eastAsia" w:ascii="宋体" w:hAnsi="宋体" w:cs="宋体"/>
                <w:lang w:val="en-US" w:eastAsia="zh-CN"/>
              </w:rPr>
              <w:t>3</w:t>
            </w:r>
            <w:r>
              <w:rPr>
                <w:rFonts w:ascii="宋体" w:hAnsi="宋体" w:cs="宋体"/>
              </w:rPr>
              <w:t>0</w:t>
            </w:r>
            <w:r>
              <w:rPr>
                <w:rFonts w:hint="eastAsia" w:ascii="宋体" w:hAnsi="宋体" w:cs="宋体"/>
              </w:rPr>
              <w:t>分</w:t>
            </w:r>
          </w:p>
        </w:tc>
        <w:tc>
          <w:tcPr>
            <w:tcW w:w="440" w:type="pct"/>
            <w:vAlign w:val="center"/>
          </w:tcPr>
          <w:p>
            <w:pPr>
              <w:rPr>
                <w:rFonts w:ascii="宋体" w:hAnsi="宋体" w:cs="宋体"/>
              </w:rPr>
            </w:pPr>
            <w:r>
              <w:rPr>
                <w:rFonts w:hint="eastAsia" w:ascii="宋体" w:hAnsi="宋体" w:cs="宋体"/>
                <w:lang w:eastAsia="zh-CN"/>
              </w:rPr>
              <w:t>报价：</w:t>
            </w:r>
            <w:r>
              <w:rPr>
                <w:rFonts w:hint="eastAsia" w:ascii="宋体" w:hAnsi="宋体" w:cs="宋体"/>
                <w:lang w:val="en-US" w:eastAsia="zh-CN"/>
              </w:rPr>
              <w:t>3</w:t>
            </w:r>
            <w:r>
              <w:rPr>
                <w:rFonts w:ascii="宋体" w:hAnsi="宋体" w:cs="宋体"/>
              </w:rPr>
              <w:t>0</w:t>
            </w:r>
            <w:r>
              <w:rPr>
                <w:rFonts w:hint="eastAsia" w:ascii="宋体" w:hAnsi="宋体" w:cs="宋体"/>
              </w:rPr>
              <w:t>分</w:t>
            </w:r>
          </w:p>
        </w:tc>
        <w:tc>
          <w:tcPr>
            <w:tcW w:w="3444" w:type="pct"/>
            <w:vAlign w:val="center"/>
          </w:tcPr>
          <w:p>
            <w:pPr>
              <w:spacing w:line="400" w:lineRule="exact"/>
              <w:ind w:firstLine="440" w:firstLineChars="200"/>
              <w:rPr>
                <w:rFonts w:hint="eastAsia" w:ascii="宋体" w:hAnsi="宋体" w:eastAsia="宋体" w:cs="宋体"/>
                <w:sz w:val="22"/>
                <w:szCs w:val="20"/>
              </w:rPr>
            </w:pPr>
            <w:r>
              <w:rPr>
                <w:rFonts w:hint="eastAsia" w:ascii="宋体" w:hAnsi="宋体" w:eastAsia="宋体" w:cs="宋体"/>
                <w:sz w:val="22"/>
                <w:szCs w:val="20"/>
              </w:rPr>
              <w:t>满足磋商文件要求且最后报价最低的供应商的价格为磋商基准价，其价格分为满分。其他供应商的价格分统一按照下列公式计算：</w:t>
            </w:r>
          </w:p>
          <w:p>
            <w:pPr>
              <w:spacing w:line="400" w:lineRule="exact"/>
              <w:ind w:firstLine="440" w:firstLineChars="200"/>
              <w:rPr>
                <w:rFonts w:hint="eastAsia" w:ascii="宋体" w:hAnsi="宋体" w:eastAsia="宋体" w:cs="宋体"/>
                <w:sz w:val="22"/>
                <w:szCs w:val="20"/>
              </w:rPr>
            </w:pPr>
            <w:r>
              <w:rPr>
                <w:rFonts w:hint="eastAsia" w:ascii="宋体" w:hAnsi="宋体" w:eastAsia="宋体" w:cs="宋体"/>
                <w:sz w:val="22"/>
                <w:szCs w:val="20"/>
              </w:rPr>
              <w:t>磋商报价得分=（磋商基准价/最后磋商报价）×价格权值（</w:t>
            </w:r>
            <w:r>
              <w:rPr>
                <w:rFonts w:hint="eastAsia" w:ascii="宋体" w:hAnsi="宋体" w:cs="宋体"/>
                <w:sz w:val="22"/>
                <w:szCs w:val="20"/>
                <w:lang w:val="en-US" w:eastAsia="zh-CN"/>
              </w:rPr>
              <w:t>3</w:t>
            </w:r>
            <w:r>
              <w:rPr>
                <w:rFonts w:hint="eastAsia" w:ascii="宋体" w:hAnsi="宋体" w:eastAsia="宋体" w:cs="宋体"/>
                <w:sz w:val="22"/>
                <w:szCs w:val="20"/>
              </w:rPr>
              <w:t>0分）×100%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1" w:hRule="atLeast"/>
        </w:trPr>
        <w:tc>
          <w:tcPr>
            <w:tcW w:w="479" w:type="pct"/>
            <w:vMerge w:val="restart"/>
            <w:vAlign w:val="center"/>
          </w:tcPr>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eastAsia="宋体" w:cs="宋体"/>
                <w:lang w:val="en-US" w:eastAsia="zh-CN"/>
              </w:rPr>
            </w:pPr>
            <w:r>
              <w:rPr>
                <w:rFonts w:hint="eastAsia" w:ascii="宋体" w:hAnsi="宋体" w:cs="宋体"/>
                <w:lang w:val="en-US" w:eastAsia="zh-CN"/>
              </w:rPr>
              <w:t>2</w:t>
            </w:r>
          </w:p>
          <w:p>
            <w:pPr>
              <w:rPr>
                <w:rFonts w:hint="eastAsia" w:ascii="宋体" w:hAnsi="宋体" w:cs="宋体"/>
              </w:rPr>
            </w:pPr>
          </w:p>
          <w:p>
            <w:pPr>
              <w:rPr>
                <w:rFonts w:hint="eastAsia" w:ascii="宋体" w:hAnsi="宋体" w:cs="宋体"/>
              </w:rPr>
            </w:pPr>
          </w:p>
          <w:p>
            <w:pPr>
              <w:rPr>
                <w:rFonts w:hint="eastAsia" w:ascii="宋体" w:hAnsi="宋体" w:cs="宋体"/>
              </w:rPr>
            </w:pPr>
          </w:p>
        </w:tc>
        <w:tc>
          <w:tcPr>
            <w:tcW w:w="636" w:type="pct"/>
            <w:vMerge w:val="restart"/>
            <w:vAlign w:val="center"/>
          </w:tcPr>
          <w:p>
            <w:pPr>
              <w:rPr>
                <w:rFonts w:hint="eastAsia" w:ascii="宋体" w:hAnsi="宋体" w:cs="宋体"/>
              </w:rPr>
            </w:pPr>
          </w:p>
          <w:p>
            <w:pPr>
              <w:rPr>
                <w:rFonts w:hint="eastAsia" w:ascii="宋体" w:hAnsi="宋体" w:cs="宋体"/>
              </w:rPr>
            </w:pPr>
          </w:p>
          <w:p>
            <w:pPr>
              <w:rPr>
                <w:rFonts w:hint="eastAsia" w:ascii="宋体" w:hAnsi="宋体" w:cs="宋体"/>
              </w:rPr>
            </w:pPr>
          </w:p>
          <w:p>
            <w:pPr>
              <w:rPr>
                <w:rFonts w:hint="eastAsia" w:ascii="宋体" w:hAnsi="宋体" w:cs="宋体"/>
              </w:rPr>
            </w:pPr>
            <w:r>
              <w:rPr>
                <w:rFonts w:hint="eastAsia" w:ascii="宋体" w:hAnsi="宋体" w:cs="宋体"/>
                <w:lang w:eastAsia="zh-CN"/>
              </w:rPr>
              <w:t>综合</w:t>
            </w:r>
            <w:r>
              <w:rPr>
                <w:rFonts w:hint="eastAsia" w:ascii="宋体" w:hAnsi="宋体" w:cs="宋体"/>
              </w:rPr>
              <w:t>部分</w:t>
            </w:r>
            <w:r>
              <w:rPr>
                <w:rFonts w:hint="eastAsia" w:ascii="宋体" w:hAnsi="宋体" w:cs="宋体"/>
                <w:b w:val="0"/>
                <w:bCs w:val="0"/>
                <w:color w:val="auto"/>
                <w:lang w:val="en-US" w:eastAsia="zh-CN"/>
              </w:rPr>
              <w:t>20</w:t>
            </w:r>
            <w:r>
              <w:rPr>
                <w:rFonts w:hint="eastAsia" w:ascii="宋体" w:hAnsi="宋体" w:cs="宋体"/>
                <w:b w:val="0"/>
                <w:bCs w:val="0"/>
                <w:color w:val="auto"/>
              </w:rPr>
              <w:t>分</w:t>
            </w:r>
          </w:p>
        </w:tc>
        <w:tc>
          <w:tcPr>
            <w:tcW w:w="440" w:type="pct"/>
            <w:vAlign w:val="center"/>
          </w:tcPr>
          <w:p>
            <w:pPr>
              <w:spacing w:line="500" w:lineRule="exact"/>
              <w:jc w:val="center"/>
              <w:rPr>
                <w:rFonts w:hint="eastAsia" w:ascii="宋体" w:hAnsi="宋体" w:cs="宋体"/>
              </w:rPr>
            </w:pPr>
            <w:r>
              <w:rPr>
                <w:rFonts w:hint="eastAsia" w:ascii="宋体" w:hAnsi="宋体" w:cs="宋体"/>
              </w:rPr>
              <w:t>企业信用</w:t>
            </w:r>
          </w:p>
          <w:p>
            <w:pPr>
              <w:spacing w:line="500" w:lineRule="exact"/>
              <w:jc w:val="center"/>
              <w:rPr>
                <w:rFonts w:hint="eastAsia" w:ascii="宋体" w:hAnsi="宋体" w:eastAsia="宋体" w:cs="宋体"/>
                <w:b/>
                <w:bCs/>
                <w:sz w:val="22"/>
                <w:szCs w:val="20"/>
              </w:rPr>
            </w:pPr>
            <w:r>
              <w:rPr>
                <w:rFonts w:hint="eastAsia" w:ascii="宋体" w:hAnsi="宋体" w:cs="宋体"/>
                <w:lang w:val="en-US" w:eastAsia="zh-CN"/>
              </w:rPr>
              <w:t>3</w:t>
            </w:r>
            <w:r>
              <w:rPr>
                <w:rFonts w:hint="eastAsia" w:ascii="宋体" w:hAnsi="宋体" w:cs="宋体"/>
              </w:rPr>
              <w:t>分</w:t>
            </w:r>
          </w:p>
          <w:p>
            <w:pPr>
              <w:jc w:val="center"/>
              <w:rPr>
                <w:rFonts w:ascii="宋体" w:hAnsi="宋体" w:cs="宋体"/>
              </w:rPr>
            </w:pPr>
          </w:p>
        </w:tc>
        <w:tc>
          <w:tcPr>
            <w:tcW w:w="3444" w:type="pct"/>
            <w:vAlign w:val="center"/>
          </w:tcPr>
          <w:p>
            <w:pPr>
              <w:spacing w:line="500" w:lineRule="exact"/>
              <w:rPr>
                <w:rFonts w:hint="eastAsia" w:ascii="宋体" w:hAnsi="宋体" w:eastAsia="宋体" w:cs="宋体"/>
                <w:b/>
                <w:bCs/>
                <w:sz w:val="22"/>
                <w:szCs w:val="20"/>
                <w:lang w:eastAsia="zh-CN"/>
              </w:rPr>
            </w:pPr>
            <w:r>
              <w:rPr>
                <w:rFonts w:hint="eastAsia" w:ascii="宋体" w:hAnsi="宋体" w:eastAsia="宋体" w:cs="宋体"/>
                <w:color w:val="auto"/>
                <w:kern w:val="2"/>
                <w:sz w:val="21"/>
                <w:szCs w:val="21"/>
                <w:highlight w:val="none"/>
                <w:lang w:val="en-US" w:eastAsia="zh-CN" w:bidi="ar-SA"/>
              </w:rPr>
              <w:t>投标企业提供有效期内的信用评估等级证书</w:t>
            </w:r>
            <w:r>
              <w:rPr>
                <w:rFonts w:hint="eastAsia" w:ascii="宋体" w:hAnsi="宋体" w:eastAsia="宋体" w:cs="宋体"/>
                <w:spacing w:val="0"/>
                <w:sz w:val="24"/>
                <w:szCs w:val="24"/>
              </w:rPr>
              <w:t>同时提供出具该信用报告的第三方信用服务机构在中国人民银行备案的证明材料</w:t>
            </w:r>
            <w:r>
              <w:rPr>
                <w:rFonts w:hint="eastAsia" w:ascii="宋体" w:hAnsi="宋体" w:eastAsia="宋体" w:cs="宋体"/>
                <w:spacing w:val="0"/>
                <w:sz w:val="24"/>
                <w:szCs w:val="24"/>
                <w:lang w:val="en-US" w:eastAsia="zh-CN"/>
              </w:rPr>
              <w:t>。信用等级为 AAA 级得3 分，AA 级得2 分，A 级得 1 分，A 级以下不得分。</w:t>
            </w:r>
            <w:r>
              <w:rPr>
                <w:rFonts w:hint="eastAsia" w:ascii="宋体" w:hAnsi="宋体" w:cs="宋体"/>
                <w:b/>
                <w:bCs/>
                <w:color w:val="000000" w:themeColor="text1"/>
                <w:sz w:val="22"/>
                <w:szCs w:val="20"/>
                <w:lang w:val="en-US" w:eastAsia="zh-CN"/>
                <w14:textFill>
                  <w14:solidFill>
                    <w14:schemeClr w14:val="tx1"/>
                  </w14:solidFill>
                </w14:textFill>
              </w:rPr>
              <w:t>(</w:t>
            </w:r>
            <w:r>
              <w:rPr>
                <w:rFonts w:hint="eastAsia" w:ascii="宋体" w:hAnsi="宋体" w:cs="宋体"/>
                <w:b/>
                <w:bCs/>
                <w:color w:val="000000" w:themeColor="text1"/>
                <w:sz w:val="22"/>
                <w:szCs w:val="20"/>
                <w:u w:val="single"/>
                <w:lang w:val="en-US" w:eastAsia="zh-CN"/>
                <w14:textFill>
                  <w14:solidFill>
                    <w14:schemeClr w14:val="tx1"/>
                  </w14:solidFill>
                </w14:textFill>
              </w:rPr>
              <w:t>投标文件中提供原件的扫描件并加盖公章</w:t>
            </w:r>
            <w:r>
              <w:rPr>
                <w:rFonts w:hint="eastAsia" w:ascii="宋体" w:hAnsi="宋体" w:cs="宋体"/>
                <w:b/>
                <w:bCs/>
                <w:color w:val="000000" w:themeColor="text1"/>
                <w:sz w:val="22"/>
                <w:szCs w:val="20"/>
                <w:u w:val="single"/>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3" w:hRule="atLeast"/>
        </w:trPr>
        <w:tc>
          <w:tcPr>
            <w:tcW w:w="479" w:type="pct"/>
            <w:vMerge w:val="continue"/>
            <w:vAlign w:val="center"/>
          </w:tcPr>
          <w:p>
            <w:pPr>
              <w:rPr>
                <w:rFonts w:ascii="宋体" w:hAnsi="宋体" w:cs="宋体"/>
              </w:rPr>
            </w:pPr>
          </w:p>
        </w:tc>
        <w:tc>
          <w:tcPr>
            <w:tcW w:w="636" w:type="pct"/>
            <w:vMerge w:val="continue"/>
            <w:vAlign w:val="center"/>
          </w:tcPr>
          <w:p>
            <w:pPr>
              <w:rPr>
                <w:rFonts w:ascii="宋体" w:hAnsi="宋体" w:cs="宋体"/>
              </w:rPr>
            </w:pPr>
          </w:p>
        </w:tc>
        <w:tc>
          <w:tcPr>
            <w:tcW w:w="440" w:type="pct"/>
            <w:vAlign w:val="center"/>
          </w:tcPr>
          <w:p>
            <w:pPr>
              <w:rPr>
                <w:rFonts w:hint="eastAsia" w:ascii="宋体" w:hAnsi="宋体" w:eastAsia="宋体" w:cs="宋体"/>
                <w:lang w:val="en-US" w:eastAsia="zh-CN"/>
              </w:rPr>
            </w:pPr>
            <w:r>
              <w:rPr>
                <w:rFonts w:hint="eastAsia" w:ascii="宋体" w:hAnsi="宋体" w:cs="宋体"/>
                <w:sz w:val="22"/>
                <w:szCs w:val="22"/>
              </w:rPr>
              <w:t>供货计划及保证措施</w:t>
            </w:r>
            <w:r>
              <w:rPr>
                <w:rFonts w:hint="eastAsia" w:ascii="宋体" w:hAnsi="宋体" w:cs="宋体"/>
                <w:lang w:val="en-US" w:eastAsia="zh-CN"/>
              </w:rPr>
              <w:t>5分</w:t>
            </w:r>
          </w:p>
        </w:tc>
        <w:tc>
          <w:tcPr>
            <w:tcW w:w="3444" w:type="pct"/>
            <w:vAlign w:val="center"/>
          </w:tcPr>
          <w:p>
            <w:pPr>
              <w:spacing w:line="280" w:lineRule="exact"/>
              <w:jc w:val="left"/>
              <w:rPr>
                <w:rFonts w:hint="eastAsia" w:ascii="宋体" w:hAnsi="宋体" w:cs="宋体"/>
                <w:sz w:val="22"/>
                <w:szCs w:val="22"/>
              </w:rPr>
            </w:pPr>
            <w:r>
              <w:rPr>
                <w:rFonts w:hint="eastAsia" w:ascii="宋体" w:hAnsi="宋体" w:cs="宋体"/>
                <w:sz w:val="22"/>
                <w:szCs w:val="22"/>
              </w:rPr>
              <w:t>根据产品特征，制定供货计划、保证措施。</w:t>
            </w:r>
          </w:p>
          <w:p>
            <w:pPr>
              <w:spacing w:line="280" w:lineRule="exact"/>
              <w:jc w:val="left"/>
              <w:rPr>
                <w:rFonts w:hint="eastAsia" w:ascii="宋体" w:hAnsi="宋体" w:cs="宋体"/>
                <w:sz w:val="22"/>
                <w:szCs w:val="22"/>
              </w:rPr>
            </w:pPr>
            <w:r>
              <w:rPr>
                <w:rFonts w:hint="eastAsia" w:ascii="宋体" w:hAnsi="宋体" w:cs="宋体"/>
                <w:sz w:val="22"/>
                <w:szCs w:val="22"/>
              </w:rPr>
              <w:t>①供货计划及保证措施科学、合理、完善、可行，有针对性、根据实际需求保证供货时间的，得</w:t>
            </w:r>
            <w:r>
              <w:rPr>
                <w:rFonts w:hint="eastAsia" w:ascii="宋体" w:hAnsi="宋体" w:cs="宋体"/>
                <w:sz w:val="22"/>
                <w:szCs w:val="22"/>
                <w:lang w:val="en-US" w:eastAsia="zh-CN"/>
              </w:rPr>
              <w:t>5</w:t>
            </w:r>
            <w:r>
              <w:rPr>
                <w:rFonts w:hint="eastAsia" w:ascii="宋体" w:hAnsi="宋体" w:cs="宋体"/>
                <w:sz w:val="22"/>
                <w:szCs w:val="22"/>
              </w:rPr>
              <w:t>分；</w:t>
            </w:r>
          </w:p>
          <w:p>
            <w:pPr>
              <w:spacing w:line="280" w:lineRule="exact"/>
              <w:jc w:val="left"/>
              <w:rPr>
                <w:rFonts w:hint="eastAsia" w:ascii="宋体" w:hAnsi="宋体" w:cs="宋体"/>
                <w:sz w:val="22"/>
                <w:szCs w:val="22"/>
              </w:rPr>
            </w:pPr>
            <w:r>
              <w:rPr>
                <w:rFonts w:hint="eastAsia" w:ascii="宋体" w:hAnsi="宋体" w:cs="宋体"/>
                <w:sz w:val="22"/>
                <w:szCs w:val="22"/>
              </w:rPr>
              <w:t>②供货计划及保证措施</w:t>
            </w:r>
            <w:r>
              <w:rPr>
                <w:rFonts w:hint="eastAsia" w:ascii="宋体" w:hAnsi="宋体" w:cs="宋体"/>
                <w:sz w:val="22"/>
                <w:szCs w:val="22"/>
                <w:lang w:eastAsia="zh-CN"/>
              </w:rPr>
              <w:t>基本</w:t>
            </w:r>
            <w:r>
              <w:rPr>
                <w:rFonts w:hint="eastAsia" w:ascii="宋体" w:hAnsi="宋体" w:cs="宋体"/>
                <w:sz w:val="22"/>
                <w:szCs w:val="22"/>
              </w:rPr>
              <w:t>合理、完善、可行，根据实际需求保证供货时间的，得 3 分；</w:t>
            </w:r>
          </w:p>
          <w:p>
            <w:pPr>
              <w:spacing w:line="280" w:lineRule="exact"/>
              <w:jc w:val="left"/>
              <w:rPr>
                <w:rFonts w:ascii="宋体" w:hAnsi="宋体" w:cs="宋体"/>
                <w:sz w:val="22"/>
                <w:szCs w:val="22"/>
              </w:rPr>
            </w:pPr>
            <w:r>
              <w:rPr>
                <w:rFonts w:hint="eastAsia" w:ascii="宋体" w:hAnsi="宋体" w:cs="宋体"/>
                <w:sz w:val="22"/>
                <w:szCs w:val="22"/>
              </w:rPr>
              <w:t>③供货计划及保证措施</w:t>
            </w:r>
            <w:r>
              <w:rPr>
                <w:rFonts w:hint="eastAsia" w:ascii="宋体" w:hAnsi="宋体" w:cs="宋体"/>
                <w:sz w:val="22"/>
                <w:szCs w:val="22"/>
                <w:lang w:eastAsia="zh-CN"/>
              </w:rPr>
              <w:t>差的</w:t>
            </w:r>
            <w:r>
              <w:rPr>
                <w:rFonts w:hint="eastAsia" w:ascii="宋体" w:hAnsi="宋体" w:cs="宋体"/>
                <w:sz w:val="22"/>
                <w:szCs w:val="22"/>
              </w:rPr>
              <w:t>，得 1分；</w:t>
            </w:r>
          </w:p>
          <w:p>
            <w:pPr>
              <w:spacing w:line="500" w:lineRule="exact"/>
              <w:rPr>
                <w:rFonts w:hint="eastAsia" w:eastAsia="宋体" w:cs="Calibri"/>
                <w:sz w:val="22"/>
                <w:szCs w:val="20"/>
              </w:rPr>
            </w:pPr>
            <w:r>
              <w:rPr>
                <w:rFonts w:hint="eastAsia" w:ascii="宋体" w:hAnsi="宋体" w:cs="宋体"/>
                <w:sz w:val="22"/>
                <w:szCs w:val="22"/>
              </w:rPr>
              <w:t>④未提供供货计划及保证措施的，得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5" w:hRule="atLeast"/>
        </w:trPr>
        <w:tc>
          <w:tcPr>
            <w:tcW w:w="479" w:type="pct"/>
            <w:vMerge w:val="continue"/>
            <w:vAlign w:val="center"/>
          </w:tcPr>
          <w:p>
            <w:pPr>
              <w:rPr>
                <w:rFonts w:ascii="宋体" w:hAnsi="宋体" w:cs="宋体"/>
              </w:rPr>
            </w:pPr>
          </w:p>
        </w:tc>
        <w:tc>
          <w:tcPr>
            <w:tcW w:w="636" w:type="pct"/>
            <w:vMerge w:val="continue"/>
            <w:vAlign w:val="center"/>
          </w:tcPr>
          <w:p>
            <w:pPr>
              <w:rPr>
                <w:rFonts w:ascii="宋体" w:hAnsi="宋体" w:cs="宋体"/>
              </w:rPr>
            </w:pPr>
          </w:p>
        </w:tc>
        <w:tc>
          <w:tcPr>
            <w:tcW w:w="440" w:type="pct"/>
            <w:vAlign w:val="center"/>
          </w:tcPr>
          <w:p>
            <w:pPr>
              <w:rPr>
                <w:rFonts w:hint="default" w:ascii="宋体" w:hAnsi="宋体" w:eastAsia="宋体" w:cs="宋体"/>
                <w:b/>
                <w:bCs/>
                <w:color w:val="FF0000"/>
                <w:lang w:val="en-US" w:eastAsia="zh-CN"/>
              </w:rPr>
            </w:pPr>
            <w:r>
              <w:rPr>
                <w:rFonts w:hint="eastAsia" w:ascii="宋体" w:hAnsi="宋体" w:cs="宋体"/>
                <w:sz w:val="22"/>
                <w:szCs w:val="22"/>
              </w:rPr>
              <w:t>质量保证措施</w:t>
            </w:r>
            <w:r>
              <w:rPr>
                <w:rFonts w:hint="eastAsia" w:ascii="宋体" w:hAnsi="宋体" w:cs="宋体"/>
                <w:b w:val="0"/>
                <w:bCs w:val="0"/>
                <w:color w:val="auto"/>
                <w:lang w:val="en-US" w:eastAsia="zh-CN"/>
              </w:rPr>
              <w:t>6分</w:t>
            </w:r>
          </w:p>
        </w:tc>
        <w:tc>
          <w:tcPr>
            <w:tcW w:w="3444" w:type="pct"/>
            <w:vAlign w:val="center"/>
          </w:tcPr>
          <w:p>
            <w:pPr>
              <w:spacing w:line="280" w:lineRule="exact"/>
              <w:jc w:val="left"/>
              <w:rPr>
                <w:rFonts w:hint="eastAsia"/>
              </w:rPr>
            </w:pPr>
            <w:r>
              <w:t>①</w:t>
            </w:r>
            <w:r>
              <w:rPr>
                <w:rFonts w:hint="eastAsia"/>
              </w:rPr>
              <w:t>质量保证措施编制科学、完善、合理，可实施性强，保障有力，得</w:t>
            </w:r>
            <w:r>
              <w:rPr>
                <w:rFonts w:hint="eastAsia"/>
                <w:lang w:val="en-US" w:eastAsia="zh-CN"/>
              </w:rPr>
              <w:t>6</w:t>
            </w:r>
            <w:r>
              <w:rPr>
                <w:rFonts w:hint="eastAsia"/>
              </w:rPr>
              <w:t>分；</w:t>
            </w:r>
          </w:p>
          <w:p>
            <w:pPr>
              <w:spacing w:line="280" w:lineRule="exact"/>
              <w:jc w:val="left"/>
              <w:rPr>
                <w:rFonts w:hint="eastAsia"/>
              </w:rPr>
            </w:pPr>
            <w:r>
              <w:rPr>
                <w:rFonts w:hint="eastAsia"/>
              </w:rPr>
              <w:t>②质量保证措施编制</w:t>
            </w:r>
            <w:r>
              <w:rPr>
                <w:rFonts w:hint="eastAsia" w:ascii="宋体" w:hAnsi="宋体" w:cs="宋体"/>
                <w:sz w:val="22"/>
                <w:szCs w:val="22"/>
                <w:lang w:eastAsia="zh-CN"/>
              </w:rPr>
              <w:t>基本</w:t>
            </w:r>
            <w:r>
              <w:rPr>
                <w:rFonts w:hint="eastAsia"/>
              </w:rPr>
              <w:t>完善、合理，可实施性强，基本保障，得3分；</w:t>
            </w:r>
          </w:p>
          <w:p>
            <w:pPr>
              <w:spacing w:line="280" w:lineRule="exact"/>
              <w:jc w:val="left"/>
              <w:rPr>
                <w:rFonts w:hint="eastAsia"/>
              </w:rPr>
            </w:pPr>
            <w:r>
              <w:t>③</w:t>
            </w:r>
            <w:r>
              <w:rPr>
                <w:rFonts w:hint="eastAsia"/>
              </w:rPr>
              <w:t>质量保证措施编制合理，可实施性</w:t>
            </w:r>
            <w:r>
              <w:rPr>
                <w:rFonts w:hint="eastAsia"/>
                <w:lang w:eastAsia="zh-CN"/>
              </w:rPr>
              <w:t>差的，</w:t>
            </w:r>
            <w:r>
              <w:rPr>
                <w:rFonts w:hint="eastAsia"/>
              </w:rPr>
              <w:t>得1分；</w:t>
            </w:r>
          </w:p>
          <w:p>
            <w:pPr>
              <w:spacing w:line="500" w:lineRule="exact"/>
              <w:rPr>
                <w:rFonts w:hint="default"/>
                <w:lang w:val="en-US" w:eastAsia="zh-CN"/>
              </w:rPr>
            </w:pPr>
            <w:r>
              <w:rPr>
                <w:rFonts w:hint="eastAsia"/>
              </w:rPr>
              <w:t>④未提供质量保证措施</w:t>
            </w:r>
            <w:r>
              <w:rPr>
                <w:rFonts w:hint="eastAsia"/>
                <w:lang w:eastAsia="zh-CN"/>
              </w:rPr>
              <w:t>的</w:t>
            </w:r>
            <w:r>
              <w:rPr>
                <w:rFonts w:hint="eastAsia"/>
              </w:rPr>
              <w:t>，得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5" w:hRule="atLeast"/>
        </w:trPr>
        <w:tc>
          <w:tcPr>
            <w:tcW w:w="479" w:type="pct"/>
            <w:vMerge w:val="continue"/>
            <w:vAlign w:val="center"/>
          </w:tcPr>
          <w:p>
            <w:pPr>
              <w:rPr>
                <w:rFonts w:ascii="宋体" w:hAnsi="宋体" w:cs="宋体"/>
              </w:rPr>
            </w:pPr>
          </w:p>
        </w:tc>
        <w:tc>
          <w:tcPr>
            <w:tcW w:w="636" w:type="pct"/>
            <w:vMerge w:val="continue"/>
            <w:vAlign w:val="center"/>
          </w:tcPr>
          <w:p>
            <w:pPr>
              <w:rPr>
                <w:rFonts w:ascii="宋体" w:hAnsi="宋体" w:cs="宋体"/>
              </w:rPr>
            </w:pPr>
          </w:p>
        </w:tc>
        <w:tc>
          <w:tcPr>
            <w:tcW w:w="440" w:type="pct"/>
            <w:vAlign w:val="center"/>
          </w:tcPr>
          <w:p>
            <w:pPr>
              <w:spacing w:line="500" w:lineRule="exact"/>
              <w:rPr>
                <w:rFonts w:hint="eastAsia" w:ascii="宋体" w:hAnsi="宋体" w:eastAsia="宋体" w:cs="宋体"/>
                <w:b/>
                <w:bCs/>
                <w:color w:val="auto"/>
                <w:sz w:val="22"/>
                <w:szCs w:val="20"/>
              </w:rPr>
            </w:pPr>
            <w:r>
              <w:rPr>
                <w:rFonts w:hint="eastAsia" w:ascii="宋体" w:hAnsi="宋体" w:eastAsia="宋体" w:cs="宋体"/>
                <w:b/>
                <w:bCs/>
                <w:color w:val="auto"/>
                <w:sz w:val="22"/>
                <w:szCs w:val="20"/>
              </w:rPr>
              <w:t>售后服务：</w:t>
            </w:r>
          </w:p>
          <w:p>
            <w:pPr>
              <w:rPr>
                <w:rFonts w:hint="eastAsia" w:ascii="宋体" w:hAnsi="宋体" w:cs="宋体"/>
                <w:sz w:val="22"/>
                <w:szCs w:val="22"/>
              </w:rPr>
            </w:pPr>
            <w:r>
              <w:rPr>
                <w:rFonts w:hint="eastAsia" w:ascii="宋体" w:hAnsi="宋体" w:cs="宋体"/>
                <w:b w:val="0"/>
                <w:bCs w:val="0"/>
                <w:color w:val="auto"/>
                <w:lang w:val="en-US" w:eastAsia="zh-CN"/>
              </w:rPr>
              <w:t>6</w:t>
            </w:r>
            <w:r>
              <w:rPr>
                <w:rFonts w:hint="eastAsia" w:ascii="宋体" w:hAnsi="宋体" w:cs="宋体"/>
                <w:b w:val="0"/>
                <w:bCs w:val="0"/>
                <w:color w:val="auto"/>
              </w:rPr>
              <w:t>分</w:t>
            </w:r>
          </w:p>
        </w:tc>
        <w:tc>
          <w:tcPr>
            <w:tcW w:w="3444" w:type="pct"/>
            <w:vAlign w:val="center"/>
          </w:tcPr>
          <w:p>
            <w:pPr>
              <w:spacing w:line="280" w:lineRule="exact"/>
              <w:jc w:val="left"/>
              <w:rPr>
                <w:rFonts w:hint="eastAsia" w:ascii="宋体" w:hAnsi="宋体" w:cs="宋体"/>
                <w:sz w:val="22"/>
                <w:szCs w:val="22"/>
              </w:rPr>
            </w:pPr>
            <w:r>
              <w:rPr>
                <w:rFonts w:hint="eastAsia" w:ascii="宋体" w:hAnsi="宋体" w:cs="宋体"/>
                <w:sz w:val="22"/>
                <w:szCs w:val="22"/>
              </w:rPr>
              <w:t>①售后服务方案完善，技术支持能力强，售后服务响应快，具有本地化售后服务队伍服务能力，得</w:t>
            </w:r>
            <w:r>
              <w:rPr>
                <w:rFonts w:hint="eastAsia" w:ascii="宋体" w:hAnsi="宋体" w:cs="宋体"/>
                <w:sz w:val="22"/>
                <w:szCs w:val="22"/>
                <w:lang w:val="en-US" w:eastAsia="zh-CN"/>
              </w:rPr>
              <w:t>6</w:t>
            </w:r>
            <w:r>
              <w:rPr>
                <w:rFonts w:hint="eastAsia" w:ascii="宋体" w:hAnsi="宋体" w:cs="宋体"/>
                <w:sz w:val="22"/>
                <w:szCs w:val="22"/>
              </w:rPr>
              <w:t>分；</w:t>
            </w:r>
          </w:p>
          <w:p>
            <w:pPr>
              <w:spacing w:line="280" w:lineRule="exact"/>
              <w:jc w:val="left"/>
              <w:rPr>
                <w:rFonts w:hint="eastAsia" w:ascii="宋体" w:hAnsi="宋体" w:cs="宋体"/>
                <w:sz w:val="22"/>
                <w:szCs w:val="22"/>
              </w:rPr>
            </w:pPr>
            <w:r>
              <w:rPr>
                <w:rFonts w:hint="eastAsia" w:ascii="宋体" w:hAnsi="宋体" w:cs="宋体"/>
                <w:sz w:val="22"/>
                <w:szCs w:val="22"/>
              </w:rPr>
              <w:t>②售后服务方案较完善，技术支持能力</w:t>
            </w:r>
            <w:r>
              <w:rPr>
                <w:rFonts w:hint="eastAsia" w:ascii="宋体" w:hAnsi="宋体" w:cs="宋体"/>
                <w:sz w:val="22"/>
                <w:szCs w:val="22"/>
                <w:lang w:eastAsia="zh-CN"/>
              </w:rPr>
              <w:t>基本</w:t>
            </w:r>
            <w:r>
              <w:rPr>
                <w:rFonts w:hint="eastAsia" w:ascii="宋体" w:hAnsi="宋体" w:cs="宋体"/>
                <w:sz w:val="22"/>
                <w:szCs w:val="22"/>
              </w:rPr>
              <w:t>强，售后服务响应</w:t>
            </w:r>
            <w:r>
              <w:rPr>
                <w:rFonts w:hint="eastAsia" w:ascii="宋体" w:hAnsi="宋体" w:cs="宋体"/>
                <w:sz w:val="22"/>
                <w:szCs w:val="22"/>
                <w:lang w:eastAsia="zh-CN"/>
              </w:rPr>
              <w:t>基本</w:t>
            </w:r>
            <w:r>
              <w:rPr>
                <w:rFonts w:hint="eastAsia" w:ascii="宋体" w:hAnsi="宋体" w:cs="宋体"/>
                <w:sz w:val="22"/>
                <w:szCs w:val="22"/>
              </w:rPr>
              <w:t>快</w:t>
            </w:r>
            <w:r>
              <w:rPr>
                <w:rFonts w:hint="eastAsia" w:ascii="宋体" w:hAnsi="宋体" w:cs="宋体"/>
                <w:sz w:val="22"/>
                <w:szCs w:val="22"/>
                <w:lang w:eastAsia="zh-CN"/>
              </w:rPr>
              <w:t>的</w:t>
            </w:r>
            <w:r>
              <w:rPr>
                <w:rFonts w:hint="eastAsia" w:ascii="宋体" w:hAnsi="宋体" w:cs="宋体"/>
                <w:sz w:val="22"/>
                <w:szCs w:val="22"/>
              </w:rPr>
              <w:t>，得3分；</w:t>
            </w:r>
          </w:p>
          <w:p>
            <w:pPr>
              <w:spacing w:line="280" w:lineRule="exact"/>
              <w:jc w:val="left"/>
              <w:rPr>
                <w:rFonts w:hint="eastAsia" w:ascii="宋体" w:hAnsi="宋体" w:cs="宋体"/>
                <w:sz w:val="22"/>
                <w:szCs w:val="22"/>
              </w:rPr>
            </w:pPr>
            <w:r>
              <w:rPr>
                <w:rFonts w:hint="eastAsia" w:ascii="宋体" w:hAnsi="宋体" w:cs="宋体"/>
                <w:sz w:val="22"/>
                <w:szCs w:val="22"/>
              </w:rPr>
              <w:t>③售后服务方案</w:t>
            </w:r>
            <w:r>
              <w:rPr>
                <w:rFonts w:hint="eastAsia" w:ascii="宋体" w:hAnsi="宋体" w:cs="宋体"/>
                <w:sz w:val="22"/>
                <w:szCs w:val="22"/>
                <w:lang w:eastAsia="zh-CN"/>
              </w:rPr>
              <w:t>、</w:t>
            </w:r>
            <w:r>
              <w:rPr>
                <w:rFonts w:hint="eastAsia" w:ascii="宋体" w:hAnsi="宋体" w:cs="宋体"/>
                <w:sz w:val="22"/>
                <w:szCs w:val="22"/>
              </w:rPr>
              <w:t>技术支持能力</w:t>
            </w:r>
            <w:r>
              <w:rPr>
                <w:rFonts w:hint="eastAsia" w:ascii="宋体" w:hAnsi="宋体" w:cs="宋体"/>
                <w:sz w:val="22"/>
                <w:szCs w:val="22"/>
                <w:lang w:eastAsia="zh-CN"/>
              </w:rPr>
              <w:t>、</w:t>
            </w:r>
            <w:r>
              <w:rPr>
                <w:rFonts w:hint="eastAsia" w:ascii="宋体" w:hAnsi="宋体" w:cs="宋体"/>
                <w:sz w:val="22"/>
                <w:szCs w:val="22"/>
              </w:rPr>
              <w:t>售后服务响应</w:t>
            </w:r>
            <w:r>
              <w:rPr>
                <w:rFonts w:hint="eastAsia" w:ascii="宋体" w:hAnsi="宋体" w:cs="宋体"/>
                <w:sz w:val="22"/>
                <w:szCs w:val="22"/>
                <w:lang w:eastAsia="zh-CN"/>
              </w:rPr>
              <w:t>差的</w:t>
            </w:r>
            <w:r>
              <w:rPr>
                <w:rFonts w:hint="eastAsia" w:ascii="宋体" w:hAnsi="宋体" w:cs="宋体"/>
                <w:sz w:val="22"/>
                <w:szCs w:val="22"/>
              </w:rPr>
              <w:t>，得 1分；</w:t>
            </w:r>
          </w:p>
          <w:p>
            <w:pPr>
              <w:spacing w:line="500" w:lineRule="exact"/>
              <w:rPr>
                <w:rFonts w:hint="eastAsia"/>
              </w:rPr>
            </w:pPr>
            <w:r>
              <w:rPr>
                <w:rFonts w:hint="eastAsia" w:ascii="宋体" w:hAnsi="宋体" w:cs="宋体"/>
                <w:sz w:val="22"/>
                <w:szCs w:val="22"/>
              </w:rPr>
              <w:t>④未提供售后服务方案的，得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479" w:type="pct"/>
            <w:vMerge w:val="restart"/>
            <w:vAlign w:val="center"/>
          </w:tcPr>
          <w:p>
            <w:pPr>
              <w:rPr>
                <w:rFonts w:ascii="宋体" w:hAnsi="宋体" w:cs="宋体"/>
              </w:rPr>
            </w:pPr>
            <w:r>
              <w:rPr>
                <w:rFonts w:hint="eastAsia" w:ascii="宋体" w:hAnsi="宋体" w:cs="宋体"/>
              </w:rPr>
              <w:t>3</w:t>
            </w:r>
          </w:p>
        </w:tc>
        <w:tc>
          <w:tcPr>
            <w:tcW w:w="636" w:type="pct"/>
            <w:vMerge w:val="restart"/>
            <w:vAlign w:val="center"/>
          </w:tcPr>
          <w:p>
            <w:pPr>
              <w:rPr>
                <w:rFonts w:ascii="宋体" w:hAnsi="宋体" w:cs="宋体"/>
              </w:rPr>
            </w:pPr>
            <w:r>
              <w:rPr>
                <w:rFonts w:hint="eastAsia" w:ascii="宋体" w:hAnsi="宋体" w:cs="宋体"/>
              </w:rPr>
              <w:t>技术部分</w:t>
            </w:r>
            <w:r>
              <w:rPr>
                <w:rFonts w:hint="eastAsia" w:ascii="宋体" w:hAnsi="宋体" w:cs="宋体"/>
                <w:lang w:val="en-US" w:eastAsia="zh-CN"/>
              </w:rPr>
              <w:t>5</w:t>
            </w:r>
            <w:r>
              <w:rPr>
                <w:rFonts w:ascii="宋体" w:hAnsi="宋体" w:cs="宋体"/>
              </w:rPr>
              <w:t>0</w:t>
            </w:r>
            <w:r>
              <w:rPr>
                <w:rFonts w:hint="eastAsia" w:ascii="宋体" w:hAnsi="宋体" w:cs="宋体"/>
              </w:rPr>
              <w:t>分</w:t>
            </w:r>
          </w:p>
        </w:tc>
        <w:tc>
          <w:tcPr>
            <w:tcW w:w="440" w:type="pct"/>
            <w:vAlign w:val="center"/>
          </w:tcPr>
          <w:p>
            <w:pPr>
              <w:spacing w:line="500" w:lineRule="exact"/>
              <w:rPr>
                <w:rFonts w:hint="eastAsia" w:ascii="宋体" w:hAnsi="宋体" w:eastAsia="宋体" w:cs="宋体"/>
                <w:b/>
                <w:bCs/>
                <w:sz w:val="22"/>
                <w:szCs w:val="20"/>
              </w:rPr>
            </w:pPr>
            <w:r>
              <w:rPr>
                <w:rFonts w:hint="eastAsia" w:ascii="宋体" w:hAnsi="宋体" w:cs="宋体"/>
                <w:b/>
                <w:bCs/>
                <w:sz w:val="22"/>
                <w:szCs w:val="20"/>
                <w:lang w:eastAsia="zh-CN"/>
              </w:rPr>
              <w:t>供货</w:t>
            </w:r>
            <w:r>
              <w:rPr>
                <w:rFonts w:hint="eastAsia" w:ascii="宋体" w:hAnsi="宋体" w:eastAsia="宋体" w:cs="宋体"/>
                <w:b/>
                <w:bCs/>
                <w:sz w:val="22"/>
                <w:szCs w:val="20"/>
              </w:rPr>
              <w:t>方案：</w:t>
            </w:r>
          </w:p>
          <w:p>
            <w:pPr>
              <w:rPr>
                <w:rFonts w:ascii="宋体" w:hAnsi="宋体" w:cs="宋体"/>
              </w:rPr>
            </w:pPr>
            <w:r>
              <w:rPr>
                <w:rFonts w:hint="eastAsia" w:ascii="宋体" w:hAnsi="宋体" w:cs="宋体"/>
                <w:lang w:val="en-US" w:eastAsia="zh-CN"/>
              </w:rPr>
              <w:t>25</w:t>
            </w:r>
            <w:r>
              <w:rPr>
                <w:rFonts w:hint="eastAsia" w:ascii="宋体" w:hAnsi="宋体" w:cs="宋体"/>
              </w:rPr>
              <w:t>分</w:t>
            </w:r>
          </w:p>
        </w:tc>
        <w:tc>
          <w:tcPr>
            <w:tcW w:w="3444" w:type="pct"/>
            <w:vAlign w:val="center"/>
          </w:tcPr>
          <w:p>
            <w:pPr>
              <w:spacing w:line="500" w:lineRule="exact"/>
              <w:ind w:firstLine="440" w:firstLineChars="200"/>
              <w:rPr>
                <w:rFonts w:hint="eastAsia" w:ascii="宋体" w:hAnsi="宋体" w:eastAsia="宋体" w:cs="宋体"/>
                <w:b/>
                <w:bCs/>
                <w:sz w:val="22"/>
                <w:szCs w:val="20"/>
              </w:rPr>
            </w:pPr>
            <w:r>
              <w:rPr>
                <w:rFonts w:hint="eastAsia" w:ascii="宋体" w:hAnsi="宋体" w:eastAsia="宋体" w:cs="宋体"/>
                <w:sz w:val="22"/>
                <w:szCs w:val="20"/>
              </w:rPr>
              <w:t>磋商小组根据供应商提供的</w:t>
            </w:r>
            <w:r>
              <w:rPr>
                <w:rFonts w:hint="eastAsia" w:ascii="宋体" w:hAnsi="宋体" w:cs="宋体"/>
                <w:sz w:val="22"/>
                <w:szCs w:val="20"/>
                <w:lang w:eastAsia="zh-CN"/>
              </w:rPr>
              <w:t>供货</w:t>
            </w:r>
            <w:r>
              <w:rPr>
                <w:rFonts w:hint="eastAsia" w:ascii="宋体" w:hAnsi="宋体" w:eastAsia="宋体" w:cs="宋体"/>
                <w:sz w:val="22"/>
                <w:szCs w:val="20"/>
              </w:rPr>
              <w:t>方案先进、合理、思路清晰，完全满足采购单位的</w:t>
            </w:r>
            <w:r>
              <w:rPr>
                <w:rFonts w:hint="eastAsia" w:ascii="宋体" w:hAnsi="宋体" w:cs="宋体"/>
                <w:sz w:val="22"/>
                <w:szCs w:val="20"/>
                <w:lang w:eastAsia="zh-CN"/>
              </w:rPr>
              <w:t>采购</w:t>
            </w:r>
            <w:r>
              <w:rPr>
                <w:rFonts w:hint="eastAsia" w:ascii="宋体" w:hAnsi="宋体" w:eastAsia="宋体" w:cs="宋体"/>
                <w:sz w:val="22"/>
                <w:szCs w:val="20"/>
              </w:rPr>
              <w:t>要求，进行综合比较，根据投标人提供的方案进行综合评定后分档计分：方案架构清晰合理、技术先进、逻辑清晰可行的计</w:t>
            </w:r>
            <w:r>
              <w:rPr>
                <w:rFonts w:hint="eastAsia" w:ascii="宋体" w:hAnsi="宋体" w:eastAsia="宋体" w:cs="宋体"/>
                <w:sz w:val="22"/>
                <w:szCs w:val="20"/>
                <w:lang w:val="en-US" w:eastAsia="zh-CN"/>
              </w:rPr>
              <w:t>25</w:t>
            </w:r>
            <w:r>
              <w:rPr>
                <w:rFonts w:hint="eastAsia" w:ascii="宋体" w:hAnsi="宋体" w:eastAsia="宋体" w:cs="宋体"/>
                <w:sz w:val="22"/>
                <w:szCs w:val="20"/>
              </w:rPr>
              <w:t>分；方案架构</w:t>
            </w:r>
            <w:r>
              <w:rPr>
                <w:rFonts w:hint="eastAsia" w:ascii="宋体" w:hAnsi="宋体" w:cs="宋体"/>
                <w:sz w:val="22"/>
                <w:szCs w:val="20"/>
                <w:lang w:eastAsia="zh-CN"/>
              </w:rPr>
              <w:t>基本</w:t>
            </w:r>
            <w:r>
              <w:rPr>
                <w:rFonts w:hint="eastAsia" w:ascii="宋体" w:hAnsi="宋体" w:eastAsia="宋体" w:cs="宋体"/>
                <w:sz w:val="22"/>
                <w:szCs w:val="20"/>
              </w:rPr>
              <w:t>清晰合理、技术</w:t>
            </w:r>
            <w:r>
              <w:rPr>
                <w:rFonts w:hint="eastAsia" w:ascii="宋体" w:hAnsi="宋体" w:cs="宋体"/>
                <w:sz w:val="22"/>
                <w:szCs w:val="20"/>
                <w:lang w:eastAsia="zh-CN"/>
              </w:rPr>
              <w:t>基本</w:t>
            </w:r>
            <w:r>
              <w:rPr>
                <w:rFonts w:hint="eastAsia" w:ascii="宋体" w:hAnsi="宋体" w:eastAsia="宋体" w:cs="宋体"/>
                <w:sz w:val="22"/>
                <w:szCs w:val="20"/>
              </w:rPr>
              <w:t>先进、逻辑</w:t>
            </w:r>
            <w:r>
              <w:rPr>
                <w:rFonts w:hint="eastAsia" w:ascii="宋体" w:hAnsi="宋体" w:cs="宋体"/>
                <w:sz w:val="22"/>
                <w:szCs w:val="20"/>
                <w:lang w:eastAsia="zh-CN"/>
              </w:rPr>
              <w:t>基本</w:t>
            </w:r>
            <w:r>
              <w:rPr>
                <w:rFonts w:hint="eastAsia" w:ascii="宋体" w:hAnsi="宋体" w:eastAsia="宋体" w:cs="宋体"/>
                <w:sz w:val="22"/>
                <w:szCs w:val="20"/>
              </w:rPr>
              <w:t>清晰的计</w:t>
            </w:r>
            <w:r>
              <w:rPr>
                <w:rFonts w:hint="eastAsia" w:ascii="宋体" w:hAnsi="宋体" w:eastAsia="宋体" w:cs="宋体"/>
                <w:sz w:val="22"/>
                <w:szCs w:val="20"/>
                <w:lang w:val="en-US" w:eastAsia="zh-CN"/>
              </w:rPr>
              <w:t>20</w:t>
            </w:r>
            <w:r>
              <w:rPr>
                <w:rFonts w:hint="eastAsia" w:ascii="宋体" w:hAnsi="宋体" w:eastAsia="宋体" w:cs="宋体"/>
                <w:sz w:val="22"/>
                <w:szCs w:val="20"/>
              </w:rPr>
              <w:t>分；方案架构</w:t>
            </w:r>
            <w:r>
              <w:rPr>
                <w:rFonts w:hint="eastAsia" w:ascii="宋体" w:hAnsi="宋体" w:cs="宋体"/>
                <w:sz w:val="22"/>
                <w:szCs w:val="20"/>
                <w:lang w:eastAsia="zh-CN"/>
              </w:rPr>
              <w:t>不</w:t>
            </w:r>
            <w:r>
              <w:rPr>
                <w:rFonts w:hint="eastAsia" w:ascii="宋体" w:hAnsi="宋体" w:eastAsia="宋体" w:cs="宋体"/>
                <w:sz w:val="22"/>
                <w:szCs w:val="20"/>
              </w:rPr>
              <w:t>清晰合理、技术</w:t>
            </w:r>
            <w:r>
              <w:rPr>
                <w:rFonts w:hint="eastAsia" w:ascii="宋体" w:hAnsi="宋体" w:cs="宋体"/>
                <w:sz w:val="22"/>
                <w:szCs w:val="20"/>
                <w:lang w:eastAsia="zh-CN"/>
              </w:rPr>
              <w:t>不</w:t>
            </w:r>
            <w:r>
              <w:rPr>
                <w:rFonts w:hint="eastAsia" w:ascii="宋体" w:hAnsi="宋体" w:eastAsia="宋体" w:cs="宋体"/>
                <w:sz w:val="22"/>
                <w:szCs w:val="20"/>
              </w:rPr>
              <w:t>先进、逻辑</w:t>
            </w:r>
            <w:r>
              <w:rPr>
                <w:rFonts w:hint="eastAsia" w:ascii="宋体" w:hAnsi="宋体" w:cs="宋体"/>
                <w:sz w:val="22"/>
                <w:szCs w:val="20"/>
                <w:lang w:eastAsia="zh-CN"/>
              </w:rPr>
              <w:t>不</w:t>
            </w:r>
            <w:r>
              <w:rPr>
                <w:rFonts w:hint="eastAsia" w:ascii="宋体" w:hAnsi="宋体" w:eastAsia="宋体" w:cs="宋体"/>
                <w:sz w:val="22"/>
                <w:szCs w:val="20"/>
              </w:rPr>
              <w:t>清晰的计</w:t>
            </w:r>
            <w:r>
              <w:rPr>
                <w:rFonts w:hint="eastAsia" w:ascii="宋体" w:hAnsi="宋体" w:cs="宋体"/>
                <w:sz w:val="22"/>
                <w:szCs w:val="20"/>
                <w:lang w:val="en-US" w:eastAsia="zh-CN"/>
              </w:rPr>
              <w:t>15</w:t>
            </w:r>
            <w:r>
              <w:rPr>
                <w:rFonts w:hint="eastAsia" w:ascii="宋体" w:hAnsi="宋体" w:eastAsia="宋体" w:cs="宋体"/>
                <w:sz w:val="22"/>
                <w:szCs w:val="20"/>
              </w:rPr>
              <w:t>分。未提供方案或方案有重大不合理性或完全不可行的计0分。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3" w:hRule="atLeast"/>
        </w:trPr>
        <w:tc>
          <w:tcPr>
            <w:tcW w:w="479" w:type="pct"/>
            <w:vMerge w:val="continue"/>
            <w:vAlign w:val="center"/>
          </w:tcPr>
          <w:p>
            <w:pPr>
              <w:rPr>
                <w:rFonts w:ascii="宋体" w:hAnsi="宋体" w:cs="宋体"/>
              </w:rPr>
            </w:pPr>
          </w:p>
        </w:tc>
        <w:tc>
          <w:tcPr>
            <w:tcW w:w="636" w:type="pct"/>
            <w:vMerge w:val="continue"/>
            <w:vAlign w:val="center"/>
          </w:tcPr>
          <w:p>
            <w:pPr>
              <w:rPr>
                <w:rFonts w:ascii="宋体" w:hAnsi="宋体" w:cs="宋体"/>
              </w:rPr>
            </w:pPr>
          </w:p>
        </w:tc>
        <w:tc>
          <w:tcPr>
            <w:tcW w:w="440" w:type="pct"/>
            <w:vAlign w:val="center"/>
          </w:tcPr>
          <w:p>
            <w:pPr>
              <w:spacing w:line="500" w:lineRule="exact"/>
              <w:rPr>
                <w:rFonts w:hint="eastAsia" w:ascii="宋体" w:hAnsi="宋体" w:eastAsia="宋体" w:cs="宋体"/>
                <w:b/>
                <w:bCs/>
                <w:color w:val="auto"/>
                <w:sz w:val="22"/>
                <w:szCs w:val="20"/>
              </w:rPr>
            </w:pPr>
            <w:r>
              <w:rPr>
                <w:rFonts w:hint="eastAsia" w:ascii="宋体" w:hAnsi="宋体" w:eastAsia="宋体" w:cs="宋体"/>
                <w:b/>
                <w:bCs/>
                <w:color w:val="auto"/>
                <w:sz w:val="22"/>
                <w:szCs w:val="20"/>
              </w:rPr>
              <w:t>培训方案：</w:t>
            </w:r>
          </w:p>
          <w:p>
            <w:pPr>
              <w:rPr>
                <w:rFonts w:ascii="宋体" w:hAnsi="宋体" w:cs="宋体"/>
                <w:b w:val="0"/>
                <w:bCs w:val="0"/>
                <w:color w:val="auto"/>
              </w:rPr>
            </w:pPr>
            <w:r>
              <w:rPr>
                <w:rFonts w:hint="eastAsia" w:ascii="宋体" w:hAnsi="宋体" w:cs="宋体"/>
                <w:b w:val="0"/>
                <w:bCs w:val="0"/>
                <w:color w:val="auto"/>
                <w:lang w:val="en-US" w:eastAsia="zh-CN"/>
              </w:rPr>
              <w:t>5</w:t>
            </w:r>
            <w:r>
              <w:rPr>
                <w:rFonts w:hint="eastAsia" w:ascii="宋体" w:hAnsi="宋体" w:cs="宋体"/>
                <w:b w:val="0"/>
                <w:bCs w:val="0"/>
                <w:color w:val="auto"/>
              </w:rPr>
              <w:t>分</w:t>
            </w:r>
          </w:p>
        </w:tc>
        <w:tc>
          <w:tcPr>
            <w:tcW w:w="3444" w:type="pct"/>
            <w:vAlign w:val="center"/>
          </w:tcPr>
          <w:p>
            <w:pPr>
              <w:spacing w:line="500" w:lineRule="exact"/>
              <w:rPr>
                <w:rFonts w:hint="eastAsia" w:ascii="宋体" w:hAnsi="宋体" w:eastAsia="宋体" w:cs="宋体"/>
                <w:sz w:val="22"/>
                <w:szCs w:val="20"/>
              </w:rPr>
            </w:pPr>
            <w:r>
              <w:rPr>
                <w:rFonts w:hint="eastAsia" w:ascii="宋体" w:hAnsi="宋体" w:eastAsia="宋体" w:cs="宋体"/>
                <w:sz w:val="22"/>
                <w:szCs w:val="20"/>
              </w:rPr>
              <w:t>根据设备特点，制定培训方案和计划：</w:t>
            </w:r>
          </w:p>
          <w:p>
            <w:pPr>
              <w:spacing w:line="500" w:lineRule="exact"/>
              <w:rPr>
                <w:rFonts w:hint="eastAsia" w:ascii="宋体" w:hAnsi="宋体" w:eastAsia="宋体" w:cs="宋体"/>
                <w:sz w:val="22"/>
                <w:szCs w:val="20"/>
              </w:rPr>
            </w:pPr>
            <w:r>
              <w:rPr>
                <w:rFonts w:hint="eastAsia" w:ascii="宋体" w:hAnsi="宋体" w:eastAsia="宋体" w:cs="宋体"/>
                <w:sz w:val="22"/>
                <w:szCs w:val="20"/>
              </w:rPr>
              <w:t>①方案及计划完整，计划安排全面合理，培训内容详实的，得</w:t>
            </w:r>
            <w:r>
              <w:rPr>
                <w:rFonts w:hint="eastAsia" w:ascii="宋体" w:hAnsi="宋体" w:eastAsia="宋体" w:cs="宋体"/>
                <w:sz w:val="22"/>
                <w:szCs w:val="20"/>
                <w:lang w:val="en-US" w:eastAsia="zh-CN"/>
              </w:rPr>
              <w:t>5</w:t>
            </w:r>
            <w:r>
              <w:rPr>
                <w:rFonts w:hint="eastAsia" w:ascii="宋体" w:hAnsi="宋体" w:eastAsia="宋体" w:cs="宋体"/>
                <w:sz w:val="22"/>
                <w:szCs w:val="20"/>
              </w:rPr>
              <w:t>分；</w:t>
            </w:r>
          </w:p>
          <w:p>
            <w:pPr>
              <w:spacing w:line="500" w:lineRule="exact"/>
              <w:rPr>
                <w:rFonts w:hint="eastAsia" w:ascii="宋体" w:hAnsi="宋体" w:eastAsia="宋体" w:cs="宋体"/>
                <w:sz w:val="22"/>
                <w:szCs w:val="20"/>
              </w:rPr>
            </w:pPr>
            <w:r>
              <w:rPr>
                <w:rFonts w:hint="eastAsia" w:ascii="宋体" w:hAnsi="宋体" w:eastAsia="宋体" w:cs="宋体"/>
                <w:sz w:val="22"/>
                <w:szCs w:val="20"/>
              </w:rPr>
              <w:t>②方案及计划安排</w:t>
            </w:r>
            <w:r>
              <w:rPr>
                <w:rFonts w:hint="eastAsia" w:ascii="宋体" w:hAnsi="宋体" w:cs="宋体"/>
                <w:sz w:val="22"/>
                <w:szCs w:val="20"/>
                <w:lang w:eastAsia="zh-CN"/>
              </w:rPr>
              <w:t>基本</w:t>
            </w:r>
            <w:r>
              <w:rPr>
                <w:rFonts w:hint="eastAsia" w:ascii="宋体" w:hAnsi="宋体" w:eastAsia="宋体" w:cs="宋体"/>
                <w:sz w:val="22"/>
                <w:szCs w:val="20"/>
              </w:rPr>
              <w:t>合理，培训内容详实的，得3分；</w:t>
            </w:r>
          </w:p>
          <w:p>
            <w:pPr>
              <w:spacing w:line="500" w:lineRule="exact"/>
              <w:rPr>
                <w:rFonts w:hint="eastAsia" w:ascii="宋体" w:hAnsi="宋体" w:eastAsia="宋体" w:cs="宋体"/>
                <w:sz w:val="22"/>
                <w:szCs w:val="20"/>
              </w:rPr>
            </w:pPr>
            <w:r>
              <w:rPr>
                <w:rFonts w:hint="eastAsia" w:ascii="宋体" w:hAnsi="宋体" w:eastAsia="宋体" w:cs="宋体"/>
                <w:sz w:val="22"/>
                <w:szCs w:val="20"/>
              </w:rPr>
              <w:t>③方案及计划安排</w:t>
            </w:r>
            <w:r>
              <w:rPr>
                <w:rFonts w:hint="eastAsia" w:ascii="宋体" w:hAnsi="宋体" w:cs="宋体"/>
                <w:sz w:val="22"/>
                <w:szCs w:val="20"/>
                <w:lang w:eastAsia="zh-CN"/>
              </w:rPr>
              <w:t>差的</w:t>
            </w:r>
            <w:r>
              <w:rPr>
                <w:rFonts w:hint="eastAsia" w:ascii="宋体" w:hAnsi="宋体" w:eastAsia="宋体" w:cs="宋体"/>
                <w:sz w:val="22"/>
                <w:szCs w:val="20"/>
              </w:rPr>
              <w:t>，培训内容</w:t>
            </w:r>
            <w:r>
              <w:rPr>
                <w:rFonts w:hint="eastAsia" w:ascii="宋体" w:hAnsi="宋体" w:cs="宋体"/>
                <w:sz w:val="22"/>
                <w:szCs w:val="20"/>
                <w:lang w:eastAsia="zh-CN"/>
              </w:rPr>
              <w:t>差的</w:t>
            </w:r>
            <w:r>
              <w:rPr>
                <w:rFonts w:hint="eastAsia" w:ascii="宋体" w:hAnsi="宋体" w:eastAsia="宋体" w:cs="宋体"/>
                <w:sz w:val="22"/>
                <w:szCs w:val="20"/>
              </w:rPr>
              <w:t>，得 1分；</w:t>
            </w:r>
          </w:p>
          <w:p>
            <w:pPr>
              <w:spacing w:line="500" w:lineRule="exact"/>
              <w:rPr>
                <w:rFonts w:hint="eastAsia" w:ascii="宋体" w:hAnsi="宋体" w:eastAsia="宋体" w:cs="宋体"/>
                <w:b w:val="0"/>
                <w:bCs w:val="0"/>
                <w:color w:val="auto"/>
                <w:sz w:val="22"/>
                <w:szCs w:val="20"/>
              </w:rPr>
            </w:pPr>
            <w:r>
              <w:rPr>
                <w:rFonts w:hint="eastAsia" w:ascii="宋体" w:hAnsi="宋体" w:eastAsia="宋体" w:cs="宋体"/>
                <w:sz w:val="22"/>
                <w:szCs w:val="20"/>
              </w:rPr>
              <w:t>④未提供技术培训方案的，得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6" w:hRule="atLeast"/>
        </w:trPr>
        <w:tc>
          <w:tcPr>
            <w:tcW w:w="479" w:type="pct"/>
            <w:vMerge w:val="continue"/>
            <w:vAlign w:val="center"/>
          </w:tcPr>
          <w:p>
            <w:pPr>
              <w:rPr>
                <w:rFonts w:ascii="宋体" w:hAnsi="宋体" w:cs="宋体"/>
              </w:rPr>
            </w:pPr>
          </w:p>
        </w:tc>
        <w:tc>
          <w:tcPr>
            <w:tcW w:w="636" w:type="pct"/>
            <w:vMerge w:val="continue"/>
            <w:vAlign w:val="center"/>
          </w:tcPr>
          <w:p>
            <w:pPr>
              <w:rPr>
                <w:rFonts w:ascii="宋体" w:hAnsi="宋体" w:cs="宋体"/>
              </w:rPr>
            </w:pPr>
          </w:p>
        </w:tc>
        <w:tc>
          <w:tcPr>
            <w:tcW w:w="440" w:type="pct"/>
            <w:vAlign w:val="center"/>
          </w:tcPr>
          <w:p>
            <w:pPr>
              <w:rPr>
                <w:rFonts w:hint="default" w:ascii="宋体" w:hAnsi="宋体" w:eastAsia="宋体" w:cs="宋体"/>
                <w:b w:val="0"/>
                <w:bCs w:val="0"/>
                <w:color w:val="auto"/>
                <w:lang w:val="en-US" w:eastAsia="zh-CN"/>
              </w:rPr>
            </w:pPr>
            <w:r>
              <w:rPr>
                <w:rFonts w:hint="eastAsia" w:ascii="宋体" w:hAnsi="宋体" w:cs="宋体"/>
                <w:b/>
                <w:bCs/>
                <w:sz w:val="22"/>
                <w:szCs w:val="22"/>
              </w:rPr>
              <w:t>技术响应情况</w:t>
            </w:r>
            <w:r>
              <w:rPr>
                <w:rFonts w:hint="eastAsia" w:ascii="宋体" w:hAnsi="宋体" w:cs="宋体"/>
                <w:sz w:val="22"/>
                <w:szCs w:val="22"/>
                <w:lang w:val="en-US" w:eastAsia="zh-CN"/>
              </w:rPr>
              <w:t>20分</w:t>
            </w:r>
          </w:p>
        </w:tc>
        <w:tc>
          <w:tcPr>
            <w:tcW w:w="3444" w:type="pct"/>
            <w:vAlign w:val="center"/>
          </w:tcPr>
          <w:p>
            <w:pPr>
              <w:spacing w:line="500" w:lineRule="exact"/>
              <w:rPr>
                <w:rFonts w:hint="eastAsia" w:ascii="宋体" w:hAnsi="宋体" w:eastAsia="宋体" w:cs="宋体"/>
                <w:sz w:val="22"/>
                <w:szCs w:val="22"/>
                <w:lang w:eastAsia="zh-CN"/>
              </w:rPr>
            </w:pPr>
            <w:r>
              <w:rPr>
                <w:rFonts w:hint="eastAsia" w:ascii="宋体" w:hAnsi="宋体" w:cs="宋体"/>
                <w:sz w:val="22"/>
                <w:szCs w:val="22"/>
              </w:rPr>
              <w:t xml:space="preserve">根据投标人所投产品与采购要求的响应情况确定得分：全部满足技术指标要求的得 </w:t>
            </w:r>
            <w:r>
              <w:rPr>
                <w:rFonts w:hint="eastAsia" w:ascii="宋体" w:hAnsi="宋体" w:cs="宋体"/>
                <w:sz w:val="22"/>
                <w:szCs w:val="22"/>
                <w:lang w:val="en-US" w:eastAsia="zh-CN"/>
              </w:rPr>
              <w:t>2</w:t>
            </w:r>
            <w:r>
              <w:rPr>
                <w:rFonts w:hint="eastAsia" w:ascii="宋体" w:hAnsi="宋体" w:cs="宋体"/>
                <w:sz w:val="22"/>
                <w:szCs w:val="22"/>
              </w:rPr>
              <w:t>0分，按照标准，逐一核对，每有一条不能满足的扣1分，扣完为止。</w:t>
            </w:r>
          </w:p>
        </w:tc>
      </w:tr>
    </w:tbl>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cs="宋体"/>
          <w:color w:val="auto"/>
          <w:kern w:val="0"/>
          <w:szCs w:val="21"/>
          <w:highlight w:val="none"/>
        </w:rPr>
      </w:pP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cs="宋体"/>
          <w:color w:val="auto"/>
          <w:kern w:val="0"/>
          <w:szCs w:val="21"/>
          <w:highlight w:val="none"/>
        </w:rPr>
      </w:pPr>
      <w:r>
        <w:rPr>
          <w:rFonts w:hint="eastAsia" w:ascii="宋体" w:cs="宋体"/>
          <w:color w:val="auto"/>
          <w:kern w:val="0"/>
          <w:szCs w:val="21"/>
          <w:highlight w:val="none"/>
        </w:rPr>
        <w:t>1.磋商小组根据磋商文件要求，在满足符合性审查的前提下，对技术标部分、综合部分、</w:t>
      </w:r>
      <w:r>
        <w:rPr>
          <w:rFonts w:hint="eastAsia" w:ascii="宋体" w:cs="宋体"/>
          <w:color w:val="auto"/>
          <w:kern w:val="0"/>
          <w:szCs w:val="21"/>
          <w:highlight w:val="none"/>
          <w:lang w:eastAsia="zh-CN"/>
        </w:rPr>
        <w:t>报价</w:t>
      </w:r>
      <w:r>
        <w:rPr>
          <w:rFonts w:hint="eastAsia" w:ascii="宋体" w:cs="宋体"/>
          <w:color w:val="auto"/>
          <w:kern w:val="0"/>
          <w:szCs w:val="21"/>
          <w:highlight w:val="none"/>
        </w:rPr>
        <w:t>部分的分值实行磋商小组署名评审打分，平均值为该项得分。</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cs="宋体"/>
          <w:color w:val="auto"/>
          <w:kern w:val="0"/>
          <w:szCs w:val="21"/>
          <w:highlight w:val="none"/>
        </w:rPr>
      </w:pPr>
      <w:r>
        <w:rPr>
          <w:rFonts w:hint="eastAsia" w:ascii="宋体" w:cs="宋体"/>
          <w:color w:val="auto"/>
          <w:kern w:val="0"/>
          <w:szCs w:val="21"/>
          <w:highlight w:val="none"/>
        </w:rPr>
        <w:t>2.统分原则：供应商最终得分=报价分值得分+技术分值得分+</w:t>
      </w:r>
      <w:r>
        <w:rPr>
          <w:rFonts w:hint="eastAsia" w:ascii="宋体" w:cs="宋体"/>
          <w:color w:val="auto"/>
          <w:kern w:val="0"/>
          <w:szCs w:val="21"/>
          <w:highlight w:val="none"/>
          <w:lang w:eastAsia="zh-CN"/>
        </w:rPr>
        <w:t>综合</w:t>
      </w:r>
      <w:r>
        <w:rPr>
          <w:rFonts w:hint="eastAsia" w:ascii="宋体" w:cs="宋体"/>
          <w:color w:val="auto"/>
          <w:kern w:val="0"/>
          <w:szCs w:val="21"/>
          <w:highlight w:val="none"/>
        </w:rPr>
        <w:t>分值得分（所有得分四舍五入取小数点后两位）。</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cs="宋体"/>
          <w:color w:val="auto"/>
          <w:kern w:val="0"/>
          <w:szCs w:val="21"/>
          <w:highlight w:val="none"/>
        </w:rPr>
      </w:pPr>
      <w:r>
        <w:rPr>
          <w:rFonts w:hint="eastAsia" w:ascii="宋体" w:cs="宋体"/>
          <w:color w:val="auto"/>
          <w:kern w:val="0"/>
          <w:szCs w:val="21"/>
          <w:highlight w:val="none"/>
        </w:rPr>
        <w:t>3.磋商小组根据综合评分情况，按照评审得分由高到低顺序推荐</w:t>
      </w:r>
      <w:r>
        <w:rPr>
          <w:rFonts w:hint="eastAsia" w:ascii="宋体" w:cs="宋体"/>
          <w:color w:val="auto"/>
          <w:kern w:val="0"/>
          <w:szCs w:val="21"/>
          <w:highlight w:val="none"/>
          <w:lang w:val="en-US" w:eastAsia="zh-CN"/>
        </w:rPr>
        <w:t>1</w:t>
      </w:r>
      <w:r>
        <w:rPr>
          <w:rFonts w:hint="eastAsia" w:ascii="宋体" w:cs="宋体"/>
          <w:color w:val="auto"/>
          <w:kern w:val="0"/>
          <w:szCs w:val="21"/>
          <w:highlight w:val="none"/>
        </w:rPr>
        <w:t>名成交候选供应商，并编写评审报告。</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cs="宋体"/>
          <w:color w:val="auto"/>
          <w:kern w:val="0"/>
          <w:szCs w:val="21"/>
          <w:highlight w:val="none"/>
        </w:rPr>
      </w:pPr>
      <w:r>
        <w:rPr>
          <w:rFonts w:hint="eastAsia" w:ascii="宋体" w:cs="宋体"/>
          <w:color w:val="auto"/>
          <w:kern w:val="0"/>
          <w:szCs w:val="21"/>
          <w:highlight w:val="none"/>
        </w:rPr>
        <w:t>4.最终得分一致时报价低的优先。</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cs="宋体"/>
          <w:color w:val="auto"/>
          <w:kern w:val="0"/>
          <w:szCs w:val="21"/>
          <w:highlight w:val="none"/>
        </w:rPr>
      </w:pPr>
      <w:r>
        <w:rPr>
          <w:rFonts w:hint="eastAsia" w:ascii="宋体" w:cs="宋体"/>
          <w:color w:val="auto"/>
          <w:kern w:val="0"/>
          <w:szCs w:val="21"/>
          <w:highlight w:val="none"/>
        </w:rPr>
        <w:t>5.</w:t>
      </w:r>
      <w:r>
        <w:rPr>
          <w:rFonts w:ascii="宋体" w:cs="宋体"/>
          <w:color w:val="auto"/>
          <w:kern w:val="0"/>
          <w:szCs w:val="21"/>
          <w:highlight w:val="none"/>
        </w:rPr>
        <w:t>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r>
        <w:rPr>
          <w:rFonts w:hint="eastAsia" w:ascii="宋体" w:cs="宋体"/>
          <w:color w:val="auto"/>
          <w:kern w:val="0"/>
          <w:szCs w:val="21"/>
          <w:highlight w:val="none"/>
        </w:rPr>
        <w:t>。</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ascii="宋体" w:cs="宋体"/>
          <w:color w:val="auto"/>
          <w:kern w:val="0"/>
          <w:szCs w:val="21"/>
          <w:highlight w:val="none"/>
        </w:rPr>
      </w:pPr>
      <w:r>
        <w:rPr>
          <w:rFonts w:hint="eastAsia" w:ascii="宋体" w:cs="宋体"/>
          <w:color w:val="auto"/>
          <w:kern w:val="0"/>
          <w:szCs w:val="21"/>
          <w:highlight w:val="none"/>
        </w:rPr>
        <w:t>6.若供应商的最后报价高于项目预算，磋商小组有权拒绝该报价。</w:t>
      </w:r>
    </w:p>
    <w:p>
      <w:pPr>
        <w:spacing w:line="420" w:lineRule="exact"/>
        <w:rPr>
          <w:rFonts w:ascii="宋体" w:cs="宋体"/>
          <w:color w:val="auto"/>
          <w:kern w:val="0"/>
          <w:szCs w:val="21"/>
          <w:highlight w:val="none"/>
        </w:rPr>
      </w:pPr>
      <w:r>
        <w:rPr>
          <w:rFonts w:hint="eastAsia" w:ascii="宋体" w:cs="宋体"/>
          <w:color w:val="auto"/>
          <w:kern w:val="0"/>
          <w:szCs w:val="21"/>
          <w:highlight w:val="none"/>
        </w:rPr>
        <w:t>7. 在竞争性磋商期间，采购代理机构将有专门人员与供应商进行联络。</w:t>
      </w:r>
    </w:p>
    <w:p>
      <w:pPr>
        <w:spacing w:line="420" w:lineRule="exact"/>
        <w:rPr>
          <w:rFonts w:ascii="宋体" w:cs="宋体"/>
          <w:color w:val="auto"/>
          <w:kern w:val="0"/>
          <w:szCs w:val="21"/>
          <w:highlight w:val="none"/>
        </w:rPr>
      </w:pPr>
      <w:r>
        <w:rPr>
          <w:rFonts w:hint="eastAsia" w:ascii="宋体" w:cs="宋体"/>
          <w:color w:val="auto"/>
          <w:kern w:val="0"/>
          <w:szCs w:val="21"/>
          <w:highlight w:val="none"/>
        </w:rPr>
        <w:t>8.竞争性磋商终止</w:t>
      </w:r>
    </w:p>
    <w:p>
      <w:pPr>
        <w:spacing w:line="420" w:lineRule="exact"/>
        <w:rPr>
          <w:rFonts w:ascii="宋体" w:cs="宋体"/>
          <w:color w:val="auto"/>
          <w:kern w:val="0"/>
          <w:szCs w:val="21"/>
          <w:highlight w:val="none"/>
        </w:rPr>
      </w:pPr>
      <w:r>
        <w:rPr>
          <w:rFonts w:hint="eastAsia" w:ascii="宋体" w:cs="宋体"/>
          <w:color w:val="auto"/>
          <w:kern w:val="0"/>
          <w:szCs w:val="21"/>
          <w:highlight w:val="none"/>
        </w:rPr>
        <w:t>8.1出现下列情形之一的，采购人或者采购代理机构应当终止竞争性磋商采购活动，发布项目终止公告并说明原因，重新开展采购活动：</w:t>
      </w:r>
    </w:p>
    <w:p>
      <w:pPr>
        <w:spacing w:line="420" w:lineRule="exact"/>
        <w:rPr>
          <w:rFonts w:ascii="宋体" w:cs="宋体"/>
          <w:color w:val="auto"/>
          <w:kern w:val="0"/>
          <w:szCs w:val="21"/>
          <w:highlight w:val="none"/>
        </w:rPr>
      </w:pPr>
      <w:r>
        <w:rPr>
          <w:rFonts w:hint="eastAsia" w:ascii="宋体" w:cs="宋体"/>
          <w:color w:val="auto"/>
          <w:kern w:val="0"/>
          <w:szCs w:val="21"/>
          <w:highlight w:val="none"/>
        </w:rPr>
        <w:t>　　 （一）因情况变化，不再符合规定的竞争性磋商采购方式适用情形的；</w:t>
      </w:r>
    </w:p>
    <w:p>
      <w:pPr>
        <w:spacing w:line="420" w:lineRule="exact"/>
        <w:rPr>
          <w:rFonts w:ascii="宋体" w:cs="宋体"/>
          <w:color w:val="auto"/>
          <w:kern w:val="0"/>
          <w:szCs w:val="21"/>
          <w:highlight w:val="none"/>
        </w:rPr>
      </w:pPr>
      <w:r>
        <w:rPr>
          <w:rFonts w:hint="eastAsia" w:ascii="宋体" w:cs="宋体"/>
          <w:color w:val="auto"/>
          <w:kern w:val="0"/>
          <w:szCs w:val="21"/>
          <w:highlight w:val="none"/>
        </w:rPr>
        <w:t>　　 （二）出现影响采购公正的违法、违规行为的；</w:t>
      </w:r>
    </w:p>
    <w:p>
      <w:pPr>
        <w:spacing w:line="420" w:lineRule="exact"/>
        <w:rPr>
          <w:rFonts w:hint="eastAsia" w:ascii="宋体" w:cs="宋体"/>
          <w:color w:val="auto"/>
          <w:kern w:val="0"/>
          <w:szCs w:val="21"/>
          <w:highlight w:val="none"/>
        </w:rPr>
      </w:pPr>
      <w:r>
        <w:rPr>
          <w:rFonts w:hint="eastAsia" w:ascii="宋体" w:cs="宋体"/>
          <w:color w:val="auto"/>
          <w:kern w:val="0"/>
          <w:szCs w:val="21"/>
          <w:highlight w:val="none"/>
        </w:rPr>
        <w:t>　　 （三）除《政府采购竞争性磋商采购方式管理暂行办法》第二十一条第三款规定的情形外，在采购过程中符合要求的供应商或者报价未超过采购预算的供应商不足3家的。</w:t>
      </w:r>
      <w:bookmarkEnd w:id="70"/>
      <w:bookmarkEnd w:id="71"/>
      <w:bookmarkEnd w:id="72"/>
      <w:bookmarkEnd w:id="73"/>
      <w:bookmarkEnd w:id="74"/>
      <w:bookmarkEnd w:id="75"/>
      <w:bookmarkEnd w:id="76"/>
      <w:bookmarkEnd w:id="77"/>
      <w:bookmarkEnd w:id="78"/>
      <w:bookmarkEnd w:id="79"/>
      <w:bookmarkEnd w:id="80"/>
    </w:p>
    <w:p>
      <w:pPr>
        <w:pStyle w:val="8"/>
        <w:rPr>
          <w:color w:val="auto"/>
          <w:highlight w:val="none"/>
        </w:rPr>
      </w:pPr>
      <w:r>
        <w:rPr>
          <w:rFonts w:hint="eastAsia" w:ascii="宋体" w:cs="宋体"/>
          <w:color w:val="auto"/>
          <w:kern w:val="0"/>
          <w:szCs w:val="21"/>
          <w:highlight w:val="none"/>
        </w:rPr>
        <w:br w:type="page"/>
      </w:r>
    </w:p>
    <w:bookmarkEnd w:id="81"/>
    <w:p>
      <w:pPr>
        <w:pStyle w:val="25"/>
        <w:keepNext w:val="0"/>
        <w:keepLines w:val="0"/>
        <w:pageBreakBefore w:val="0"/>
        <w:widowControl w:val="0"/>
        <w:numPr>
          <w:ilvl w:val="0"/>
          <w:numId w:val="7"/>
        </w:numPr>
        <w:kinsoku/>
        <w:wordWrap/>
        <w:overflowPunct/>
        <w:topLinePunct w:val="0"/>
        <w:autoSpaceDE/>
        <w:autoSpaceDN/>
        <w:bidi w:val="0"/>
        <w:adjustRightInd/>
        <w:snapToGrid/>
        <w:spacing w:line="440" w:lineRule="exact"/>
        <w:textAlignment w:val="auto"/>
        <w:rPr>
          <w:rFonts w:hint="eastAsia" w:ascii="宋体" w:hAnsi="宋体" w:cs="宋体"/>
        </w:rPr>
      </w:pPr>
      <w:bookmarkStart w:id="82" w:name="_Toc24375"/>
      <w:r>
        <w:rPr>
          <w:rFonts w:hint="eastAsia" w:ascii="宋体" w:hAnsi="宋体" w:cs="宋体"/>
          <w:color w:val="auto"/>
          <w:sz w:val="36"/>
          <w:szCs w:val="36"/>
          <w:highlight w:val="none"/>
          <w:lang w:val="en-US" w:eastAsia="zh-CN"/>
        </w:rPr>
        <w:t>采购需求</w:t>
      </w:r>
      <w:r>
        <w:rPr>
          <w:rFonts w:hint="eastAsia" w:ascii="宋体" w:hAnsi="宋体" w:cs="宋体"/>
          <w:color w:val="auto"/>
          <w:sz w:val="36"/>
          <w:szCs w:val="36"/>
          <w:highlight w:val="none"/>
        </w:rPr>
        <w:t>及</w:t>
      </w:r>
      <w:r>
        <w:rPr>
          <w:rFonts w:hint="eastAsia" w:ascii="宋体" w:hAnsi="宋体" w:cs="宋体"/>
          <w:color w:val="auto"/>
          <w:sz w:val="36"/>
          <w:szCs w:val="36"/>
          <w:highlight w:val="none"/>
          <w:lang w:eastAsia="zh-CN"/>
        </w:rPr>
        <w:t>内容</w:t>
      </w:r>
      <w:bookmarkEnd w:id="82"/>
    </w:p>
    <w:p>
      <w:pPr>
        <w:spacing w:line="240" w:lineRule="auto"/>
        <w:jc w:val="center"/>
        <w:rPr>
          <w:rFonts w:hint="eastAsia" w:ascii="宋体" w:hAnsi="宋体" w:eastAsia="宋体" w:cs="宋体"/>
          <w:b/>
          <w:bCs/>
          <w:color w:val="auto"/>
          <w:kern w:val="2"/>
          <w:sz w:val="36"/>
          <w:szCs w:val="36"/>
          <w:highlight w:val="none"/>
          <w:lang w:val="en-US" w:eastAsia="zh-CN" w:bidi="ar-SA"/>
        </w:rPr>
      </w:pPr>
      <w:r>
        <w:rPr>
          <w:rFonts w:hint="eastAsia" w:ascii="宋体" w:hAnsi="宋体" w:eastAsia="宋体" w:cs="宋体"/>
          <w:b/>
          <w:bCs/>
          <w:color w:val="auto"/>
          <w:kern w:val="2"/>
          <w:sz w:val="36"/>
          <w:szCs w:val="36"/>
          <w:highlight w:val="none"/>
          <w:lang w:val="en-US" w:eastAsia="zh-CN" w:bidi="ar-SA"/>
        </w:rPr>
        <w:t>2023年度温县番田镇粮食烘干仓储采购设备项目</w:t>
      </w:r>
    </w:p>
    <w:p>
      <w:pPr>
        <w:spacing w:line="240" w:lineRule="auto"/>
        <w:jc w:val="center"/>
        <w:rPr>
          <w:rFonts w:hint="eastAsia" w:ascii="宋体" w:hAnsi="宋体" w:eastAsia="宋体" w:cs="宋体"/>
          <w:b/>
          <w:bCs/>
          <w:color w:val="auto"/>
          <w:kern w:val="2"/>
          <w:sz w:val="36"/>
          <w:szCs w:val="36"/>
          <w:highlight w:val="none"/>
          <w:lang w:val="zh-CN" w:eastAsia="zh-CN" w:bidi="ar-SA"/>
        </w:rPr>
      </w:pPr>
      <w:r>
        <w:rPr>
          <w:rFonts w:hint="eastAsia" w:ascii="宋体" w:hAnsi="宋体" w:eastAsia="宋体" w:cs="宋体"/>
          <w:b/>
          <w:bCs/>
          <w:color w:val="auto"/>
          <w:kern w:val="2"/>
          <w:sz w:val="36"/>
          <w:szCs w:val="36"/>
          <w:highlight w:val="none"/>
          <w:lang w:val="en-US" w:eastAsia="zh-CN" w:bidi="ar-SA"/>
        </w:rPr>
        <w:t>设备采购清单</w:t>
      </w:r>
    </w:p>
    <w:p>
      <w:pPr>
        <w:spacing w:line="240" w:lineRule="auto"/>
        <w:ind w:firstLine="640" w:firstLineChars="200"/>
        <w:jc w:val="left"/>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 xml:space="preserve">                     </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lang w:val="zh-CN"/>
        </w:rPr>
        <w:t xml:space="preserve"> 单位：人民币</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lang w:val="zh-CN"/>
        </w:rPr>
        <w:t>元</w:t>
      </w:r>
    </w:p>
    <w:tbl>
      <w:tblPr>
        <w:tblStyle w:val="27"/>
        <w:tblW w:w="5060" w:type="pct"/>
        <w:jc w:val="center"/>
        <w:tblLayout w:type="fixed"/>
        <w:tblCellMar>
          <w:top w:w="0" w:type="dxa"/>
          <w:left w:w="108" w:type="dxa"/>
          <w:bottom w:w="0" w:type="dxa"/>
          <w:right w:w="108" w:type="dxa"/>
        </w:tblCellMar>
      </w:tblPr>
      <w:tblGrid>
        <w:gridCol w:w="706"/>
        <w:gridCol w:w="1677"/>
        <w:gridCol w:w="2835"/>
        <w:gridCol w:w="810"/>
        <w:gridCol w:w="870"/>
        <w:gridCol w:w="810"/>
        <w:gridCol w:w="960"/>
        <w:gridCol w:w="732"/>
      </w:tblGrid>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zh-CN"/>
              </w:rPr>
            </w:pPr>
            <w:r>
              <w:rPr>
                <w:rFonts w:hint="eastAsia" w:ascii="仿宋_GB2312" w:hAnsi="仿宋_GB2312" w:eastAsia="仿宋_GB2312" w:cs="仿宋_GB2312"/>
                <w:color w:val="000000"/>
                <w:sz w:val="24"/>
                <w:szCs w:val="24"/>
                <w:lang w:val="zh-CN"/>
              </w:rPr>
              <w:t>序号</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eastAsia" w:ascii="仿宋_GB2312" w:hAnsi="仿宋_GB2312" w:eastAsia="仿宋_GB2312" w:cs="仿宋_GB2312"/>
                <w:color w:val="000000"/>
                <w:sz w:val="24"/>
                <w:szCs w:val="24"/>
                <w:lang w:val="zh-CN"/>
              </w:rPr>
            </w:pPr>
            <w:r>
              <w:rPr>
                <w:rFonts w:hint="eastAsia" w:ascii="仿宋_GB2312" w:hAnsi="仿宋_GB2312" w:eastAsia="仿宋_GB2312" w:cs="仿宋_GB2312"/>
                <w:color w:val="000000"/>
                <w:sz w:val="24"/>
                <w:szCs w:val="24"/>
                <w:lang w:val="zh-CN"/>
              </w:rPr>
              <w:t>设备名称</w:t>
            </w:r>
          </w:p>
        </w:tc>
        <w:tc>
          <w:tcPr>
            <w:tcW w:w="1507"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eastAsia" w:ascii="仿宋_GB2312" w:hAnsi="仿宋_GB2312" w:eastAsia="仿宋_GB2312" w:cs="仿宋_GB2312"/>
                <w:color w:val="000000"/>
                <w:sz w:val="24"/>
                <w:szCs w:val="24"/>
                <w:lang w:val="zh-CN"/>
              </w:rPr>
            </w:pPr>
            <w:r>
              <w:rPr>
                <w:rFonts w:hint="eastAsia" w:ascii="仿宋_GB2312" w:hAnsi="仿宋_GB2312" w:eastAsia="仿宋_GB2312" w:cs="仿宋_GB2312"/>
                <w:color w:val="000000"/>
                <w:sz w:val="24"/>
                <w:szCs w:val="24"/>
                <w:lang w:val="zh-CN"/>
              </w:rPr>
              <w:t>技术参数</w:t>
            </w:r>
          </w:p>
          <w:p>
            <w:pPr>
              <w:spacing w:line="240" w:lineRule="auto"/>
              <w:jc w:val="center"/>
              <w:rPr>
                <w:rFonts w:hint="eastAsia" w:ascii="仿宋_GB2312" w:hAnsi="仿宋_GB2312" w:eastAsia="仿宋_GB2312" w:cs="仿宋_GB2312"/>
                <w:color w:val="000000"/>
                <w:sz w:val="24"/>
                <w:szCs w:val="24"/>
                <w:lang w:val="zh-CN"/>
              </w:rPr>
            </w:pPr>
            <w:r>
              <w:rPr>
                <w:rFonts w:hint="eastAsia" w:ascii="仿宋_GB2312" w:hAnsi="仿宋_GB2312" w:eastAsia="仿宋_GB2312" w:cs="仿宋_GB2312"/>
                <w:color w:val="000000"/>
                <w:sz w:val="24"/>
                <w:szCs w:val="24"/>
                <w:lang w:val="zh-CN"/>
              </w:rPr>
              <w:t>(详细配置)</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eastAsia" w:ascii="仿宋_GB2312" w:hAnsi="仿宋_GB2312" w:eastAsia="仿宋_GB2312" w:cs="仿宋_GB2312"/>
                <w:color w:val="000000"/>
                <w:sz w:val="24"/>
                <w:szCs w:val="24"/>
                <w:lang w:val="zh-CN"/>
              </w:rPr>
            </w:pPr>
            <w:r>
              <w:rPr>
                <w:rFonts w:hint="eastAsia" w:ascii="仿宋_GB2312" w:hAnsi="仿宋_GB2312" w:eastAsia="仿宋_GB2312" w:cs="仿宋_GB2312"/>
                <w:color w:val="000000"/>
                <w:sz w:val="24"/>
                <w:szCs w:val="24"/>
                <w:lang w:val="zh-CN"/>
              </w:rPr>
              <w:t>单位</w:t>
            </w: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eastAsia" w:ascii="仿宋_GB2312" w:hAnsi="仿宋_GB2312" w:eastAsia="仿宋_GB2312" w:cs="仿宋_GB2312"/>
                <w:color w:val="000000"/>
                <w:sz w:val="24"/>
                <w:szCs w:val="24"/>
                <w:lang w:val="zh-CN"/>
              </w:rPr>
            </w:pPr>
            <w:r>
              <w:rPr>
                <w:rFonts w:hint="eastAsia" w:ascii="仿宋_GB2312" w:hAnsi="仿宋_GB2312" w:eastAsia="仿宋_GB2312" w:cs="仿宋_GB2312"/>
                <w:color w:val="000000"/>
                <w:sz w:val="24"/>
                <w:szCs w:val="24"/>
                <w:lang w:val="zh-CN"/>
              </w:rPr>
              <w:t>数量</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eastAsia" w:ascii="仿宋_GB2312" w:hAnsi="仿宋_GB2312" w:eastAsia="仿宋_GB2312" w:cs="仿宋_GB2312"/>
                <w:color w:val="000000"/>
                <w:sz w:val="24"/>
                <w:szCs w:val="24"/>
                <w:lang w:val="zh-CN"/>
              </w:rPr>
            </w:pPr>
            <w:r>
              <w:rPr>
                <w:rFonts w:hint="eastAsia" w:ascii="仿宋_GB2312" w:hAnsi="仿宋_GB2312" w:eastAsia="仿宋_GB2312" w:cs="仿宋_GB2312"/>
                <w:color w:val="000000"/>
                <w:sz w:val="24"/>
                <w:szCs w:val="24"/>
                <w:lang w:val="zh-CN"/>
              </w:rPr>
              <w:t>单价</w:t>
            </w: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zh-CN"/>
              </w:rPr>
              <w:t>合计</w:t>
            </w:r>
            <w:r>
              <w:rPr>
                <w:rFonts w:hint="eastAsia" w:ascii="仿宋_GB2312" w:hAnsi="仿宋_GB2312" w:eastAsia="仿宋_GB2312" w:cs="仿宋_GB2312"/>
                <w:color w:val="000000"/>
                <w:sz w:val="24"/>
                <w:szCs w:val="24"/>
                <w:lang w:val="en-US" w:eastAsia="zh-CN"/>
              </w:rPr>
              <w:t>(元)</w:t>
            </w:r>
          </w:p>
        </w:tc>
        <w:tc>
          <w:tcPr>
            <w:tcW w:w="389" w:type="pct"/>
            <w:tcBorders>
              <w:top w:val="single" w:color="auto" w:sz="6" w:space="0"/>
              <w:left w:val="single" w:color="auto" w:sz="4" w:space="0"/>
              <w:bottom w:val="single" w:color="auto" w:sz="6" w:space="0"/>
              <w:right w:val="single" w:color="auto" w:sz="6" w:space="0"/>
            </w:tcBorders>
            <w:noWrap w:val="0"/>
            <w:vAlign w:val="center"/>
          </w:tcPr>
          <w:p>
            <w:pPr>
              <w:spacing w:line="240" w:lineRule="auto"/>
              <w:jc w:val="center"/>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其它</w:t>
            </w:r>
          </w:p>
        </w:tc>
      </w:tr>
      <w:tr>
        <w:tblPrEx>
          <w:tblCellMar>
            <w:top w:w="0" w:type="dxa"/>
            <w:left w:w="108" w:type="dxa"/>
            <w:bottom w:w="0" w:type="dxa"/>
            <w:right w:w="108" w:type="dxa"/>
          </w:tblCellMar>
        </w:tblPrEx>
        <w:trPr>
          <w:trHeight w:val="2488" w:hRule="atLeast"/>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2吨铲车</w:t>
            </w:r>
          </w:p>
        </w:tc>
        <w:tc>
          <w:tcPr>
            <w:tcW w:w="1507" w:type="pct"/>
            <w:tcBorders>
              <w:top w:val="single" w:color="auto" w:sz="6" w:space="0"/>
              <w:left w:val="single" w:color="auto" w:sz="6" w:space="0"/>
              <w:bottom w:val="single" w:color="auto" w:sz="6" w:space="0"/>
              <w:right w:val="single" w:color="auto" w:sz="6" w:space="0"/>
            </w:tcBorders>
            <w:noWrap w:val="0"/>
            <w:vAlign w:val="top"/>
          </w:tcPr>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 xml:space="preserve"> 产品型号：ZL942CM</w:t>
            </w:r>
          </w:p>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额定载重：1700kg</w:t>
            </w:r>
          </w:p>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卸载高度：4500mm</w:t>
            </w:r>
          </w:p>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工作质量：6180kg</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台</w:t>
            </w: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8"/>
                <w:szCs w:val="28"/>
                <w:lang w:val="en-US" w:eastAsia="zh-CN"/>
              </w:rPr>
            </w:pPr>
          </w:p>
        </w:tc>
      </w:tr>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100吨地磅</w:t>
            </w:r>
          </w:p>
        </w:tc>
        <w:tc>
          <w:tcPr>
            <w:tcW w:w="1507" w:type="pct"/>
            <w:tcBorders>
              <w:top w:val="single" w:color="auto" w:sz="6" w:space="0"/>
              <w:left w:val="single" w:color="auto" w:sz="6" w:space="0"/>
              <w:bottom w:val="single" w:color="auto" w:sz="6" w:space="0"/>
              <w:right w:val="single" w:color="auto" w:sz="6" w:space="0"/>
            </w:tcBorders>
            <w:noWrap w:val="0"/>
            <w:vAlign w:val="top"/>
          </w:tcPr>
          <w:p>
            <w:pPr>
              <w:numPr>
                <w:ilvl w:val="0"/>
                <w:numId w:val="0"/>
              </w:numPr>
              <w:spacing w:line="240" w:lineRule="auto"/>
              <w:jc w:val="left"/>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16米X3.2米，上面12板U型梁结构4节，数字免标定传感器10只，数字仪表微打壹块</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吨</w:t>
            </w: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eastAsia" w:ascii="仿宋_GB2312" w:hAnsi="仿宋_GB2312" w:eastAsia="仿宋_GB2312" w:cs="仿宋_GB2312"/>
                <w:color w:val="000000"/>
                <w:sz w:val="28"/>
                <w:szCs w:val="28"/>
                <w:lang w:val="zh-CN"/>
              </w:rPr>
            </w:pPr>
          </w:p>
        </w:tc>
      </w:tr>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3</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烘干塔</w:t>
            </w:r>
          </w:p>
        </w:tc>
        <w:tc>
          <w:tcPr>
            <w:tcW w:w="1507" w:type="pct"/>
            <w:tcBorders>
              <w:top w:val="single" w:color="auto" w:sz="6" w:space="0"/>
              <w:left w:val="single" w:color="auto" w:sz="6" w:space="0"/>
              <w:bottom w:val="single" w:color="auto" w:sz="6" w:space="0"/>
              <w:right w:val="single" w:color="auto" w:sz="6" w:space="0"/>
            </w:tcBorders>
            <w:noWrap w:val="0"/>
            <w:vAlign w:val="top"/>
          </w:tcPr>
          <w:p>
            <w:pPr>
              <w:numPr>
                <w:ilvl w:val="0"/>
                <w:numId w:val="0"/>
              </w:numPr>
              <w:spacing w:line="240" w:lineRule="auto"/>
              <w:jc w:val="left"/>
              <w:rPr>
                <w:rFonts w:hint="default"/>
                <w:sz w:val="24"/>
                <w:szCs w:val="24"/>
                <w:lang w:val="en-US" w:eastAsia="zh-CN"/>
              </w:rPr>
            </w:pPr>
            <w:r>
              <w:rPr>
                <w:rFonts w:hint="eastAsia" w:ascii="仿宋_GB2312" w:hAnsi="仿宋_GB2312" w:eastAsia="仿宋_GB2312" w:cs="仿宋_GB2312"/>
                <w:color w:val="000000"/>
                <w:sz w:val="24"/>
                <w:szCs w:val="24"/>
                <w:lang w:val="en-US" w:eastAsia="zh-CN"/>
              </w:rPr>
              <w:t>5HL-200</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eastAsia" w:ascii="仿宋_GB2312" w:hAnsi="仿宋_GB2312" w:eastAsia="仿宋_GB2312" w:cs="仿宋_GB2312"/>
                <w:color w:val="000000"/>
                <w:sz w:val="28"/>
                <w:szCs w:val="28"/>
                <w:lang w:val="zh-CN"/>
              </w:rPr>
            </w:pPr>
          </w:p>
        </w:tc>
      </w:tr>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4</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提升机</w:t>
            </w:r>
          </w:p>
        </w:tc>
        <w:tc>
          <w:tcPr>
            <w:tcW w:w="1507" w:type="pct"/>
            <w:tcBorders>
              <w:top w:val="single" w:color="auto" w:sz="6" w:space="0"/>
              <w:left w:val="single" w:color="auto" w:sz="6" w:space="0"/>
              <w:bottom w:val="single" w:color="auto" w:sz="6" w:space="0"/>
              <w:right w:val="single" w:color="auto" w:sz="6" w:space="0"/>
            </w:tcBorders>
            <w:noWrap w:val="0"/>
            <w:vAlign w:val="top"/>
          </w:tcPr>
          <w:p>
            <w:pPr>
              <w:spacing w:line="240" w:lineRule="auto"/>
              <w:jc w:val="left"/>
              <w:rPr>
                <w:rFonts w:hint="default" w:ascii="仿宋_GB2312" w:hAnsi="仿宋_GB2312" w:eastAsia="仿宋_GB2312" w:cs="仿宋_GB2312"/>
                <w:color w:val="000000"/>
                <w:sz w:val="24"/>
                <w:szCs w:val="24"/>
                <w:lang w:val="en-US" w:eastAsia="zh-CN"/>
              </w:rPr>
            </w:pPr>
            <w:r>
              <w:rPr>
                <w:rFonts w:hint="default" w:ascii="仿宋_GB2312" w:hAnsi="仿宋_GB2312" w:eastAsia="仿宋_GB2312" w:cs="仿宋_GB2312"/>
                <w:color w:val="000000"/>
                <w:sz w:val="24"/>
                <w:szCs w:val="24"/>
                <w:lang w:val="en-US" w:eastAsia="zh-CN"/>
              </w:rPr>
              <w:t>TDTG28/16（功率</w:t>
            </w:r>
          </w:p>
          <w:p>
            <w:pPr>
              <w:spacing w:line="240" w:lineRule="auto"/>
              <w:jc w:val="left"/>
              <w:rPr>
                <w:rFonts w:hint="default" w:ascii="仿宋_GB2312" w:hAnsi="仿宋_GB2312" w:eastAsia="仿宋_GB2312" w:cs="仿宋_GB2312"/>
                <w:color w:val="000000"/>
                <w:sz w:val="24"/>
                <w:szCs w:val="24"/>
                <w:lang w:val="en-US" w:eastAsia="zh-CN"/>
              </w:rPr>
            </w:pPr>
            <w:r>
              <w:rPr>
                <w:rFonts w:hint="default" w:ascii="仿宋_GB2312" w:hAnsi="仿宋_GB2312" w:eastAsia="仿宋_GB2312" w:cs="仿宋_GB2312"/>
                <w:color w:val="000000"/>
                <w:sz w:val="24"/>
                <w:szCs w:val="24"/>
                <w:lang w:val="en-US" w:eastAsia="zh-CN"/>
              </w:rPr>
              <w:t>5.5KW）</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default" w:ascii="仿宋_GB2312" w:hAnsi="仿宋_GB2312" w:eastAsia="仿宋_GB2312" w:cs="仿宋_GB2312"/>
                <w:color w:val="000000"/>
                <w:sz w:val="28"/>
                <w:szCs w:val="28"/>
                <w:lang w:val="en-US" w:eastAsia="zh-CN"/>
              </w:rPr>
            </w:pPr>
          </w:p>
        </w:tc>
      </w:tr>
      <w:tr>
        <w:tblPrEx>
          <w:tblCellMar>
            <w:top w:w="0" w:type="dxa"/>
            <w:left w:w="108" w:type="dxa"/>
            <w:bottom w:w="0" w:type="dxa"/>
            <w:right w:w="108" w:type="dxa"/>
          </w:tblCellMar>
        </w:tblPrEx>
        <w:trPr>
          <w:trHeight w:val="474" w:hRule="atLeast"/>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5</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烘干塔平台</w:t>
            </w:r>
          </w:p>
        </w:tc>
        <w:tc>
          <w:tcPr>
            <w:tcW w:w="1507" w:type="pct"/>
            <w:tcBorders>
              <w:top w:val="single" w:color="auto" w:sz="6" w:space="0"/>
              <w:left w:val="single" w:color="auto" w:sz="6" w:space="0"/>
              <w:bottom w:val="single" w:color="auto" w:sz="6" w:space="0"/>
              <w:right w:val="single" w:color="auto" w:sz="6" w:space="0"/>
            </w:tcBorders>
            <w:noWrap w:val="0"/>
            <w:vAlign w:val="top"/>
          </w:tcPr>
          <w:p>
            <w:pPr>
              <w:pStyle w:val="35"/>
              <w:numPr>
                <w:ilvl w:val="0"/>
                <w:numId w:val="0"/>
              </w:numPr>
              <w:rPr>
                <w:rFonts w:hint="eastAsia" w:ascii="仿宋" w:hAnsi="仿宋" w:eastAsia="仿宋" w:cs="仿宋"/>
                <w:sz w:val="24"/>
                <w:szCs w:val="24"/>
                <w:lang w:val="en-US" w:eastAsia="zh-CN"/>
              </w:rPr>
            </w:pP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en-US" w:eastAsia="zh-CN"/>
              </w:rPr>
            </w:pP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4</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eastAsia" w:ascii="仿宋_GB2312" w:hAnsi="仿宋_GB2312" w:eastAsia="仿宋_GB2312" w:cs="仿宋_GB2312"/>
                <w:color w:val="000000"/>
                <w:sz w:val="28"/>
                <w:szCs w:val="28"/>
                <w:lang w:val="zh-CN"/>
              </w:rPr>
            </w:pPr>
          </w:p>
        </w:tc>
      </w:tr>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6</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热冷风管</w:t>
            </w:r>
          </w:p>
        </w:tc>
        <w:tc>
          <w:tcPr>
            <w:tcW w:w="1507" w:type="pct"/>
            <w:tcBorders>
              <w:top w:val="single" w:color="auto" w:sz="6" w:space="0"/>
              <w:left w:val="single" w:color="auto" w:sz="6" w:space="0"/>
              <w:bottom w:val="single" w:color="auto" w:sz="6" w:space="0"/>
              <w:right w:val="single" w:color="auto" w:sz="6" w:space="0"/>
            </w:tcBorders>
            <w:noWrap w:val="0"/>
            <w:vAlign w:val="top"/>
          </w:tcPr>
          <w:p>
            <w:pPr>
              <w:pStyle w:val="35"/>
              <w:numPr>
                <w:ilvl w:val="0"/>
                <w:numId w:val="0"/>
              </w:numPr>
              <w:rPr>
                <w:rFonts w:hint="eastAsia" w:ascii="仿宋" w:hAnsi="仿宋" w:eastAsia="仿宋" w:cs="仿宋"/>
                <w:sz w:val="24"/>
                <w:szCs w:val="24"/>
                <w:lang w:val="en-US" w:eastAsia="zh-CN"/>
              </w:rPr>
            </w:pP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en-US" w:eastAsia="zh-CN"/>
              </w:rPr>
            </w:pP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3</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default" w:ascii="仿宋_GB2312" w:hAnsi="仿宋_GB2312" w:eastAsia="仿宋_GB2312" w:cs="仿宋_GB2312"/>
                <w:color w:val="000000"/>
                <w:sz w:val="28"/>
                <w:szCs w:val="28"/>
                <w:lang w:val="en-US" w:eastAsia="zh-CN"/>
              </w:rPr>
            </w:pPr>
          </w:p>
        </w:tc>
      </w:tr>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7</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料位器</w:t>
            </w:r>
          </w:p>
        </w:tc>
        <w:tc>
          <w:tcPr>
            <w:tcW w:w="1507" w:type="pct"/>
            <w:tcBorders>
              <w:top w:val="single" w:color="auto" w:sz="6" w:space="0"/>
              <w:left w:val="single" w:color="auto" w:sz="6" w:space="0"/>
              <w:bottom w:val="single" w:color="auto" w:sz="6" w:space="0"/>
              <w:right w:val="single" w:color="auto" w:sz="6" w:space="0"/>
            </w:tcBorders>
            <w:noWrap w:val="0"/>
            <w:vAlign w:val="top"/>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sz w:val="24"/>
                <w:szCs w:val="24"/>
                <w:lang w:val="en-US" w:eastAsia="zh-CN"/>
              </w:rPr>
              <w:t>阻旋式</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en-US" w:eastAsia="zh-CN"/>
              </w:rPr>
            </w:pP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eastAsia" w:ascii="仿宋_GB2312" w:hAnsi="仿宋_GB2312" w:eastAsia="仿宋_GB2312" w:cs="仿宋_GB2312"/>
                <w:color w:val="000000"/>
                <w:sz w:val="28"/>
                <w:szCs w:val="28"/>
                <w:lang w:val="en-US" w:eastAsia="zh-CN"/>
              </w:rPr>
            </w:pPr>
          </w:p>
        </w:tc>
      </w:tr>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8</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热风机</w:t>
            </w:r>
          </w:p>
        </w:tc>
        <w:tc>
          <w:tcPr>
            <w:tcW w:w="1507" w:type="pct"/>
            <w:tcBorders>
              <w:top w:val="single" w:color="auto" w:sz="6" w:space="0"/>
              <w:left w:val="single" w:color="auto" w:sz="6" w:space="0"/>
              <w:bottom w:val="single" w:color="auto" w:sz="6" w:space="0"/>
              <w:right w:val="single" w:color="auto" w:sz="6" w:space="0"/>
            </w:tcBorders>
            <w:noWrap w:val="0"/>
            <w:vAlign w:val="top"/>
          </w:tcPr>
          <w:p>
            <w:pPr>
              <w:pStyle w:val="35"/>
              <w:numPr>
                <w:ilvl w:val="0"/>
                <w:numId w:val="0"/>
              </w:num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Y4-72№9c</w:t>
            </w:r>
          </w:p>
          <w:p>
            <w:pPr>
              <w:pStyle w:val="35"/>
              <w:numPr>
                <w:ilvl w:val="0"/>
                <w:numId w:val="0"/>
              </w:num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（功率45KW）</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个</w:t>
            </w: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eastAsia" w:ascii="仿宋_GB2312" w:hAnsi="仿宋_GB2312" w:eastAsia="仿宋_GB2312" w:cs="仿宋_GB2312"/>
                <w:color w:val="000000"/>
                <w:sz w:val="28"/>
                <w:szCs w:val="28"/>
                <w:lang w:val="zh-CN"/>
              </w:rPr>
            </w:pPr>
          </w:p>
        </w:tc>
      </w:tr>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9</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热风机</w:t>
            </w:r>
          </w:p>
        </w:tc>
        <w:tc>
          <w:tcPr>
            <w:tcW w:w="1507" w:type="pct"/>
            <w:tcBorders>
              <w:top w:val="single" w:color="auto" w:sz="6" w:space="0"/>
              <w:left w:val="single" w:color="auto" w:sz="6" w:space="0"/>
              <w:bottom w:val="single" w:color="auto" w:sz="6" w:space="0"/>
              <w:right w:val="single" w:color="auto" w:sz="6" w:space="0"/>
            </w:tcBorders>
            <w:noWrap w:val="0"/>
            <w:vAlign w:val="top"/>
          </w:tcPr>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Y4-72№8c（功率37KW）</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个</w:t>
            </w: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eastAsia" w:ascii="仿宋_GB2312" w:hAnsi="仿宋_GB2312" w:eastAsia="仿宋_GB2312" w:cs="仿宋_GB2312"/>
                <w:color w:val="000000"/>
                <w:sz w:val="28"/>
                <w:szCs w:val="28"/>
                <w:lang w:val="zh-CN"/>
              </w:rPr>
            </w:pPr>
          </w:p>
        </w:tc>
      </w:tr>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10</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冷却风机</w:t>
            </w:r>
          </w:p>
        </w:tc>
        <w:tc>
          <w:tcPr>
            <w:tcW w:w="1507" w:type="pct"/>
            <w:tcBorders>
              <w:top w:val="single" w:color="auto" w:sz="6" w:space="0"/>
              <w:left w:val="single" w:color="auto" w:sz="6" w:space="0"/>
              <w:bottom w:val="single" w:color="auto" w:sz="6" w:space="0"/>
              <w:right w:val="single" w:color="auto" w:sz="6" w:space="0"/>
            </w:tcBorders>
            <w:noWrap w:val="0"/>
            <w:vAlign w:val="top"/>
          </w:tcPr>
          <w:p>
            <w:pPr>
              <w:spacing w:line="240" w:lineRule="auto"/>
              <w:jc w:val="left"/>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4-72-7.1A （功率15KW）</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个</w:t>
            </w: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default" w:ascii="仿宋_GB2312" w:hAnsi="仿宋_GB2312" w:eastAsia="仿宋_GB2312" w:cs="仿宋_GB2312"/>
                <w:color w:val="000000"/>
                <w:sz w:val="28"/>
                <w:szCs w:val="28"/>
                <w:lang w:val="en-US" w:eastAsia="zh-CN"/>
              </w:rPr>
            </w:pPr>
          </w:p>
        </w:tc>
      </w:tr>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11</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排粮电机</w:t>
            </w:r>
          </w:p>
        </w:tc>
        <w:tc>
          <w:tcPr>
            <w:tcW w:w="1507" w:type="pct"/>
            <w:tcBorders>
              <w:top w:val="single" w:color="auto" w:sz="6" w:space="0"/>
              <w:left w:val="single" w:color="auto" w:sz="6" w:space="0"/>
              <w:bottom w:val="single" w:color="auto" w:sz="6" w:space="0"/>
              <w:right w:val="single" w:color="auto" w:sz="6" w:space="0"/>
            </w:tcBorders>
            <w:noWrap w:val="0"/>
            <w:vAlign w:val="top"/>
          </w:tcPr>
          <w:p>
            <w:pPr>
              <w:spacing w:line="240" w:lineRule="auto"/>
              <w:jc w:val="left"/>
              <w:rPr>
                <w:rFonts w:hint="default" w:ascii="仿宋_GB2312" w:hAnsi="仿宋_GB2312" w:eastAsia="仿宋_GB2312" w:cs="仿宋_GB2312"/>
                <w:color w:val="000000"/>
                <w:sz w:val="24"/>
                <w:szCs w:val="24"/>
                <w:lang w:val="en-US" w:eastAsia="zh-CN"/>
              </w:rPr>
            </w:pPr>
            <w:r>
              <w:rPr>
                <w:rFonts w:hint="default" w:ascii="仿宋_GB2312" w:hAnsi="仿宋_GB2312" w:eastAsia="仿宋_GB2312" w:cs="仿宋_GB2312"/>
                <w:color w:val="000000"/>
                <w:sz w:val="24"/>
                <w:szCs w:val="24"/>
                <w:lang w:val="en-US" w:eastAsia="zh-CN"/>
              </w:rPr>
              <w:t>（功率2.2KW）</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_GB2312" w:hAnsi="仿宋_GB2312" w:eastAsia="仿宋_GB2312" w:cs="仿宋_GB2312"/>
                <w:color w:val="000000"/>
                <w:sz w:val="24"/>
                <w:szCs w:val="24"/>
                <w:lang w:val="en-US" w:eastAsia="zh-CN"/>
              </w:rPr>
            </w:pP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_GB2312" w:hAnsi="仿宋_GB2312" w:eastAsia="仿宋_GB2312" w:cs="仿宋_GB2312"/>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default" w:ascii="仿宋_GB2312" w:hAnsi="仿宋_GB2312" w:eastAsia="仿宋_GB2312" w:cs="仿宋_GB2312"/>
                <w:color w:val="000000"/>
                <w:sz w:val="28"/>
                <w:szCs w:val="28"/>
                <w:lang w:val="en-US" w:eastAsia="zh-CN"/>
              </w:rPr>
            </w:pPr>
          </w:p>
        </w:tc>
      </w:tr>
      <w:tr>
        <w:tblPrEx>
          <w:tblCellMar>
            <w:top w:w="0" w:type="dxa"/>
            <w:left w:w="108" w:type="dxa"/>
            <w:bottom w:w="0" w:type="dxa"/>
            <w:right w:w="108" w:type="dxa"/>
          </w:tblCellMar>
        </w:tblPrEx>
        <w:trPr>
          <w:trHeight w:val="549" w:hRule="atLeast"/>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12</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热风炉</w:t>
            </w:r>
          </w:p>
        </w:tc>
        <w:tc>
          <w:tcPr>
            <w:tcW w:w="1507" w:type="pct"/>
            <w:tcBorders>
              <w:top w:val="single" w:color="auto" w:sz="6" w:space="0"/>
              <w:left w:val="single" w:color="auto" w:sz="6" w:space="0"/>
              <w:bottom w:val="single" w:color="auto" w:sz="6" w:space="0"/>
              <w:right w:val="single" w:color="auto" w:sz="6" w:space="0"/>
            </w:tcBorders>
            <w:noWrap w:val="0"/>
            <w:vAlign w:val="top"/>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240万大卡/h</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eastAsia" w:ascii="仿宋" w:hAnsi="仿宋" w:eastAsia="仿宋" w:cs="仿宋"/>
                <w:color w:val="000000"/>
                <w:sz w:val="28"/>
                <w:szCs w:val="28"/>
                <w:lang w:val="zh-CN"/>
              </w:rPr>
            </w:pPr>
          </w:p>
        </w:tc>
      </w:tr>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13</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配电柜</w:t>
            </w:r>
          </w:p>
        </w:tc>
        <w:tc>
          <w:tcPr>
            <w:tcW w:w="1507" w:type="pct"/>
            <w:tcBorders>
              <w:top w:val="single" w:color="auto" w:sz="6" w:space="0"/>
              <w:left w:val="single" w:color="auto" w:sz="6" w:space="0"/>
              <w:bottom w:val="single" w:color="auto" w:sz="6" w:space="0"/>
              <w:right w:val="single" w:color="auto" w:sz="6" w:space="0"/>
            </w:tcBorders>
            <w:noWrap w:val="0"/>
            <w:vAlign w:val="top"/>
          </w:tcPr>
          <w:p>
            <w:pPr>
              <w:pStyle w:val="35"/>
              <w:numPr>
                <w:ilvl w:val="0"/>
                <w:numId w:val="0"/>
              </w:numPr>
              <w:rPr>
                <w:rFonts w:hint="eastAsia" w:ascii="仿宋" w:hAnsi="仿宋" w:eastAsia="仿宋" w:cs="仿宋"/>
                <w:sz w:val="24"/>
                <w:szCs w:val="24"/>
                <w:lang w:val="en-US" w:eastAsia="zh-CN"/>
              </w:rPr>
            </w:pP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个</w:t>
            </w: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eastAsia" w:ascii="仿宋" w:hAnsi="仿宋" w:eastAsia="仿宋" w:cs="仿宋"/>
                <w:color w:val="000000"/>
                <w:sz w:val="28"/>
                <w:szCs w:val="28"/>
                <w:lang w:val="zh-CN"/>
              </w:rPr>
            </w:pPr>
          </w:p>
        </w:tc>
      </w:tr>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14</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空中输送带</w:t>
            </w:r>
          </w:p>
        </w:tc>
        <w:tc>
          <w:tcPr>
            <w:tcW w:w="1507" w:type="pct"/>
            <w:tcBorders>
              <w:top w:val="single" w:color="auto" w:sz="6" w:space="0"/>
              <w:left w:val="single" w:color="auto" w:sz="6" w:space="0"/>
              <w:bottom w:val="single" w:color="auto" w:sz="6" w:space="0"/>
              <w:right w:val="single" w:color="auto" w:sz="6" w:space="0"/>
            </w:tcBorders>
            <w:noWrap w:val="0"/>
            <w:vAlign w:val="top"/>
          </w:tcPr>
          <w:p>
            <w:pPr>
              <w:pStyle w:val="35"/>
              <w:numPr>
                <w:ilvl w:val="0"/>
                <w:numId w:val="0"/>
              </w:numP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40米</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米</w:t>
            </w: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eastAsia" w:ascii="仿宋" w:hAnsi="仿宋" w:eastAsia="仿宋" w:cs="仿宋"/>
                <w:color w:val="000000"/>
                <w:sz w:val="28"/>
                <w:szCs w:val="28"/>
                <w:lang w:val="zh-CN"/>
              </w:rPr>
            </w:pPr>
          </w:p>
        </w:tc>
      </w:tr>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15</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提升机</w:t>
            </w:r>
          </w:p>
        </w:tc>
        <w:tc>
          <w:tcPr>
            <w:tcW w:w="1507" w:type="pct"/>
            <w:tcBorders>
              <w:top w:val="single" w:color="auto" w:sz="6" w:space="0"/>
              <w:left w:val="single" w:color="auto" w:sz="6" w:space="0"/>
              <w:bottom w:val="single" w:color="auto" w:sz="6" w:space="0"/>
              <w:right w:val="single" w:color="auto" w:sz="6" w:space="0"/>
            </w:tcBorders>
            <w:noWrap w:val="0"/>
            <w:vAlign w:val="top"/>
          </w:tcPr>
          <w:p>
            <w:pPr>
              <w:numPr>
                <w:ilvl w:val="0"/>
                <w:numId w:val="0"/>
              </w:numPr>
              <w:spacing w:line="240" w:lineRule="auto"/>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7米</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米</w:t>
            </w: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default" w:ascii="仿宋" w:hAnsi="仿宋" w:eastAsia="仿宋" w:cs="仿宋"/>
                <w:color w:val="000000"/>
                <w:sz w:val="28"/>
                <w:szCs w:val="28"/>
                <w:lang w:val="en-US" w:eastAsia="zh-CN"/>
              </w:rPr>
            </w:pPr>
          </w:p>
        </w:tc>
      </w:tr>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16</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卸粮车</w:t>
            </w:r>
          </w:p>
        </w:tc>
        <w:tc>
          <w:tcPr>
            <w:tcW w:w="1507" w:type="pct"/>
            <w:tcBorders>
              <w:top w:val="single" w:color="auto" w:sz="6" w:space="0"/>
              <w:left w:val="single" w:color="auto" w:sz="6" w:space="0"/>
              <w:bottom w:val="single" w:color="auto" w:sz="6" w:space="0"/>
              <w:right w:val="single" w:color="auto" w:sz="6" w:space="0"/>
            </w:tcBorders>
            <w:noWrap w:val="0"/>
            <w:vAlign w:val="top"/>
          </w:tcPr>
          <w:p>
            <w:pPr>
              <w:pStyle w:val="35"/>
              <w:numPr>
                <w:ilvl w:val="0"/>
                <w:numId w:val="0"/>
              </w:numPr>
              <w:rPr>
                <w:rFonts w:hint="eastAsia" w:ascii="仿宋" w:hAnsi="仿宋" w:eastAsia="仿宋" w:cs="仿宋"/>
                <w:sz w:val="24"/>
                <w:szCs w:val="24"/>
                <w:lang w:val="en-US" w:eastAsia="zh-CN"/>
              </w:rPr>
            </w:pP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台</w:t>
            </w: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default" w:ascii="仿宋" w:hAnsi="仿宋" w:eastAsia="仿宋" w:cs="仿宋"/>
                <w:color w:val="000000"/>
                <w:sz w:val="28"/>
                <w:szCs w:val="28"/>
                <w:lang w:val="en-US" w:eastAsia="zh-CN"/>
              </w:rPr>
            </w:pPr>
          </w:p>
        </w:tc>
      </w:tr>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17</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干湿两用玉米脱粒机</w:t>
            </w:r>
          </w:p>
        </w:tc>
        <w:tc>
          <w:tcPr>
            <w:tcW w:w="1507" w:type="pct"/>
            <w:tcBorders>
              <w:top w:val="single" w:color="auto" w:sz="6" w:space="0"/>
              <w:left w:val="single" w:color="auto" w:sz="6" w:space="0"/>
              <w:bottom w:val="single" w:color="auto" w:sz="6" w:space="0"/>
              <w:right w:val="single" w:color="auto" w:sz="6" w:space="0"/>
            </w:tcBorders>
            <w:noWrap w:val="0"/>
            <w:vAlign w:val="top"/>
          </w:tcPr>
          <w:p>
            <w:pPr>
              <w:pStyle w:val="35"/>
              <w:numPr>
                <w:ilvl w:val="0"/>
                <w:numId w:val="0"/>
              </w:num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150-480</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台</w:t>
            </w: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eastAsia" w:ascii="仿宋" w:hAnsi="仿宋" w:eastAsia="仿宋" w:cs="仿宋"/>
                <w:color w:val="000000"/>
                <w:sz w:val="28"/>
                <w:szCs w:val="28"/>
                <w:lang w:val="zh-CN"/>
              </w:rPr>
            </w:pPr>
          </w:p>
        </w:tc>
      </w:tr>
      <w:tr>
        <w:tblPrEx>
          <w:tblCellMar>
            <w:top w:w="0" w:type="dxa"/>
            <w:left w:w="108" w:type="dxa"/>
            <w:bottom w:w="0" w:type="dxa"/>
            <w:right w:w="108" w:type="dxa"/>
          </w:tblCellMar>
        </w:tblPrEx>
        <w:trPr>
          <w:trHeight w:val="567" w:hRule="atLeast"/>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18</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both"/>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粮食大斗筛</w:t>
            </w:r>
          </w:p>
        </w:tc>
        <w:tc>
          <w:tcPr>
            <w:tcW w:w="1507" w:type="pct"/>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24"/>
                <w:szCs w:val="24"/>
                <w:u w:val="none"/>
                <w:lang w:val="en-US" w:eastAsia="zh-CN" w:bidi="ar-SA"/>
              </w:rPr>
            </w:pPr>
            <w:r>
              <w:rPr>
                <w:rStyle w:val="65"/>
                <w:sz w:val="24"/>
                <w:szCs w:val="24"/>
                <w:lang w:val="en-US" w:eastAsia="zh-CN" w:bidi="ar"/>
              </w:rPr>
              <w:t>80型</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eastAsia" w:ascii="仿宋" w:hAnsi="仿宋" w:eastAsia="仿宋" w:cs="仿宋"/>
                <w:color w:val="000000"/>
                <w:sz w:val="28"/>
                <w:szCs w:val="28"/>
                <w:lang w:val="en-US" w:eastAsia="zh-CN"/>
              </w:rPr>
            </w:pPr>
          </w:p>
          <w:p>
            <w:pPr>
              <w:spacing w:line="240" w:lineRule="auto"/>
              <w:jc w:val="left"/>
              <w:rPr>
                <w:rFonts w:hint="default" w:ascii="仿宋" w:hAnsi="仿宋" w:eastAsia="仿宋" w:cs="仿宋"/>
                <w:color w:val="000000"/>
                <w:sz w:val="28"/>
                <w:szCs w:val="28"/>
                <w:lang w:val="en-US" w:eastAsia="zh-CN"/>
              </w:rPr>
            </w:pPr>
          </w:p>
        </w:tc>
      </w:tr>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19</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干粮输送机</w:t>
            </w:r>
          </w:p>
        </w:tc>
        <w:tc>
          <w:tcPr>
            <w:tcW w:w="1507" w:type="pct"/>
            <w:tcBorders>
              <w:top w:val="single" w:color="auto" w:sz="6" w:space="0"/>
              <w:left w:val="single" w:color="auto" w:sz="6" w:space="0"/>
              <w:bottom w:val="single" w:color="auto" w:sz="6" w:space="0"/>
              <w:right w:val="single" w:color="auto" w:sz="6" w:space="0"/>
            </w:tcBorders>
            <w:noWrap w:val="0"/>
            <w:vAlign w:val="top"/>
          </w:tcPr>
          <w:p>
            <w:pPr>
              <w:pStyle w:val="35"/>
              <w:numPr>
                <w:ilvl w:val="0"/>
                <w:numId w:val="0"/>
              </w:numPr>
              <w:rPr>
                <w:rFonts w:hint="default" w:ascii="仿宋" w:hAnsi="仿宋" w:eastAsia="仿宋" w:cs="仿宋"/>
                <w:sz w:val="24"/>
                <w:szCs w:val="24"/>
                <w:lang w:val="en-US" w:eastAsia="zh-CN"/>
              </w:rPr>
            </w:pP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米</w:t>
            </w: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eastAsia" w:ascii="仿宋" w:hAnsi="仿宋" w:eastAsia="仿宋" w:cs="仿宋"/>
                <w:color w:val="000000"/>
                <w:sz w:val="28"/>
                <w:szCs w:val="28"/>
                <w:lang w:val="zh-CN"/>
              </w:rPr>
            </w:pPr>
          </w:p>
        </w:tc>
      </w:tr>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20</w:t>
            </w: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混凝土基础</w:t>
            </w:r>
          </w:p>
        </w:tc>
        <w:tc>
          <w:tcPr>
            <w:tcW w:w="1507" w:type="pct"/>
            <w:tcBorders>
              <w:top w:val="single" w:color="auto" w:sz="6" w:space="0"/>
              <w:left w:val="single" w:color="auto" w:sz="6" w:space="0"/>
              <w:bottom w:val="single" w:color="auto" w:sz="6" w:space="0"/>
              <w:right w:val="single" w:color="auto" w:sz="6" w:space="0"/>
            </w:tcBorders>
            <w:noWrap w:val="0"/>
            <w:vAlign w:val="top"/>
          </w:tcPr>
          <w:p>
            <w:pPr>
              <w:pStyle w:val="35"/>
              <w:numPr>
                <w:ilvl w:val="0"/>
                <w:numId w:val="0"/>
              </w:num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地磅基础、烘干塔基础</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项</w:t>
            </w: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eastAsia" w:ascii="仿宋" w:hAnsi="仿宋" w:eastAsia="仿宋" w:cs="仿宋"/>
                <w:color w:val="000000"/>
                <w:sz w:val="28"/>
                <w:szCs w:val="28"/>
                <w:lang w:val="zh-CN"/>
              </w:rPr>
            </w:pPr>
          </w:p>
        </w:tc>
      </w:tr>
      <w:tr>
        <w:tblPrEx>
          <w:tblCellMar>
            <w:top w:w="0" w:type="dxa"/>
            <w:left w:w="108" w:type="dxa"/>
            <w:bottom w:w="0" w:type="dxa"/>
            <w:right w:w="108" w:type="dxa"/>
          </w:tblCellMar>
        </w:tblPrEx>
        <w:trPr>
          <w:jc w:val="center"/>
        </w:trPr>
        <w:tc>
          <w:tcPr>
            <w:tcW w:w="375"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eastAsia" w:ascii="仿宋_GB2312" w:hAnsi="仿宋_GB2312" w:eastAsia="仿宋_GB2312" w:cs="仿宋_GB2312"/>
                <w:color w:val="000000"/>
                <w:sz w:val="24"/>
                <w:szCs w:val="24"/>
                <w:lang w:val="en-US" w:eastAsia="zh-CN"/>
              </w:rPr>
            </w:pPr>
          </w:p>
        </w:tc>
        <w:tc>
          <w:tcPr>
            <w:tcW w:w="89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辅材</w:t>
            </w:r>
          </w:p>
        </w:tc>
        <w:tc>
          <w:tcPr>
            <w:tcW w:w="1507" w:type="pct"/>
            <w:tcBorders>
              <w:top w:val="single" w:color="auto" w:sz="6" w:space="0"/>
              <w:left w:val="single" w:color="auto" w:sz="6" w:space="0"/>
              <w:bottom w:val="single" w:color="auto" w:sz="6" w:space="0"/>
              <w:right w:val="single" w:color="auto" w:sz="6" w:space="0"/>
            </w:tcBorders>
            <w:noWrap w:val="0"/>
            <w:vAlign w:val="top"/>
          </w:tcPr>
          <w:p>
            <w:pPr>
              <w:pStyle w:val="35"/>
              <w:numPr>
                <w:ilvl w:val="0"/>
                <w:numId w:val="0"/>
              </w:numPr>
              <w:rPr>
                <w:rFonts w:hint="eastAsia" w:ascii="仿宋" w:hAnsi="仿宋" w:eastAsia="仿宋" w:cs="仿宋"/>
                <w:sz w:val="24"/>
                <w:szCs w:val="24"/>
                <w:lang w:val="en-US" w:eastAsia="zh-CN"/>
              </w:rPr>
            </w:pP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项</w:t>
            </w:r>
          </w:p>
        </w:tc>
        <w:tc>
          <w:tcPr>
            <w:tcW w:w="462"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w:t>
            </w:r>
          </w:p>
        </w:tc>
        <w:tc>
          <w:tcPr>
            <w:tcW w:w="43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eastAsia" w:ascii="仿宋" w:hAnsi="仿宋" w:eastAsia="仿宋" w:cs="仿宋"/>
                <w:color w:val="000000"/>
                <w:sz w:val="28"/>
                <w:szCs w:val="28"/>
                <w:lang w:val="zh-CN"/>
              </w:rPr>
            </w:pPr>
          </w:p>
        </w:tc>
      </w:tr>
      <w:tr>
        <w:tblPrEx>
          <w:tblCellMar>
            <w:top w:w="0" w:type="dxa"/>
            <w:left w:w="108" w:type="dxa"/>
            <w:bottom w:w="0" w:type="dxa"/>
            <w:right w:w="108" w:type="dxa"/>
          </w:tblCellMar>
        </w:tblPrEx>
        <w:trPr>
          <w:jc w:val="center"/>
        </w:trPr>
        <w:tc>
          <w:tcPr>
            <w:tcW w:w="4100" w:type="pct"/>
            <w:gridSpan w:val="6"/>
            <w:tcBorders>
              <w:top w:val="single" w:color="auto" w:sz="6" w:space="0"/>
              <w:left w:val="single" w:color="auto" w:sz="6" w:space="0"/>
              <w:bottom w:val="single" w:color="auto" w:sz="6" w:space="0"/>
              <w:right w:val="single" w:color="auto" w:sz="6" w:space="0"/>
            </w:tcBorders>
            <w:noWrap w:val="0"/>
            <w:vAlign w:val="center"/>
          </w:tcPr>
          <w:p>
            <w:pPr>
              <w:spacing w:line="240" w:lineRule="auto"/>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合  计</w:t>
            </w: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4"/>
                <w:szCs w:val="24"/>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eastAsia" w:ascii="仿宋" w:hAnsi="仿宋" w:eastAsia="仿宋" w:cs="仿宋"/>
                <w:color w:val="000000"/>
                <w:sz w:val="28"/>
                <w:szCs w:val="28"/>
                <w:lang w:val="zh-CN"/>
              </w:rPr>
            </w:pPr>
          </w:p>
        </w:tc>
      </w:tr>
      <w:tr>
        <w:tblPrEx>
          <w:tblCellMar>
            <w:top w:w="0" w:type="dxa"/>
            <w:left w:w="108" w:type="dxa"/>
            <w:bottom w:w="0" w:type="dxa"/>
            <w:right w:w="108" w:type="dxa"/>
          </w:tblCellMar>
        </w:tblPrEx>
        <w:trPr>
          <w:jc w:val="center"/>
        </w:trPr>
        <w:tc>
          <w:tcPr>
            <w:tcW w:w="4100" w:type="pct"/>
            <w:gridSpan w:val="6"/>
            <w:tcBorders>
              <w:top w:val="single" w:color="auto" w:sz="6" w:space="0"/>
              <w:left w:val="single" w:color="auto" w:sz="6" w:space="0"/>
              <w:bottom w:val="single" w:color="auto" w:sz="6" w:space="0"/>
              <w:right w:val="single" w:color="auto" w:sz="6" w:space="0"/>
            </w:tcBorders>
            <w:noWrap w:val="0"/>
            <w:vAlign w:val="center"/>
          </w:tcPr>
          <w:p>
            <w:pPr>
              <w:spacing w:line="240" w:lineRule="auto"/>
              <w:jc w:val="both"/>
              <w:rPr>
                <w:rFonts w:hint="eastAsia" w:ascii="仿宋" w:hAnsi="仿宋" w:eastAsia="仿宋" w:cs="仿宋"/>
                <w:color w:val="000000"/>
                <w:sz w:val="28"/>
                <w:szCs w:val="28"/>
                <w:lang w:val="en-US" w:eastAsia="zh-CN"/>
              </w:rPr>
            </w:pPr>
            <w:r>
              <w:rPr>
                <w:rFonts w:ascii="宋体" w:hAnsi="宋体" w:eastAsia="宋体" w:cs="宋体"/>
                <w:spacing w:val="-17"/>
                <w:sz w:val="24"/>
                <w:szCs w:val="24"/>
                <w14:textOutline w14:w="4354" w14:cap="flat" w14:cmpd="sng">
                  <w14:solidFill>
                    <w14:srgbClr w14:val="000000"/>
                  </w14:solidFill>
                  <w14:prstDash w14:val="solid"/>
                  <w14:miter w14:val="0"/>
                </w14:textOutline>
              </w:rPr>
              <w:t>备</w:t>
            </w:r>
            <w:r>
              <w:rPr>
                <w:rFonts w:ascii="宋体" w:hAnsi="宋体" w:eastAsia="宋体" w:cs="宋体"/>
                <w:spacing w:val="-14"/>
                <w:sz w:val="24"/>
                <w:szCs w:val="24"/>
                <w14:textOutline w14:w="4354" w14:cap="flat" w14:cmpd="sng">
                  <w14:solidFill>
                    <w14:srgbClr w14:val="000000"/>
                  </w14:solidFill>
                  <w14:prstDash w14:val="solid"/>
                  <w14:miter w14:val="0"/>
                </w14:textOutline>
              </w:rPr>
              <w:t>注：</w:t>
            </w:r>
            <w:r>
              <w:rPr>
                <w:rFonts w:ascii="宋体" w:hAnsi="宋体" w:eastAsia="宋体" w:cs="宋体"/>
                <w:spacing w:val="-14"/>
                <w:sz w:val="24"/>
                <w:szCs w:val="24"/>
              </w:rPr>
              <w:t xml:space="preserve"> </w:t>
            </w:r>
            <w:r>
              <w:rPr>
                <w:rFonts w:ascii="宋体" w:hAnsi="宋体" w:eastAsia="宋体" w:cs="宋体"/>
                <w:spacing w:val="-14"/>
                <w:sz w:val="24"/>
                <w:szCs w:val="24"/>
                <w14:textOutline w14:w="4354" w14:cap="flat" w14:cmpd="sng">
                  <w14:solidFill>
                    <w14:srgbClr w14:val="000000"/>
                  </w14:solidFill>
                  <w14:prstDash w14:val="solid"/>
                  <w14:miter w14:val="0"/>
                </w14:textOutline>
              </w:rPr>
              <w:t>误差范围±</w:t>
            </w:r>
            <w:r>
              <w:rPr>
                <w:rFonts w:ascii="宋体" w:hAnsi="宋体" w:eastAsia="宋体" w:cs="宋体"/>
                <w:spacing w:val="-14"/>
                <w:sz w:val="24"/>
                <w:szCs w:val="24"/>
              </w:rPr>
              <w:t xml:space="preserve"> </w:t>
            </w:r>
            <w:r>
              <w:rPr>
                <w:rFonts w:ascii="宋体" w:hAnsi="宋体" w:eastAsia="宋体" w:cs="宋体"/>
                <w:spacing w:val="-14"/>
                <w:sz w:val="24"/>
                <w:szCs w:val="24"/>
                <w14:textOutline w14:w="4354" w14:cap="flat" w14:cmpd="sng">
                  <w14:solidFill>
                    <w14:srgbClr w14:val="000000"/>
                  </w14:solidFill>
                  <w14:prstDash w14:val="solid"/>
                  <w14:miter w14:val="0"/>
                </w14:textOutline>
              </w:rPr>
              <w:t>10</w:t>
            </w:r>
            <w:r>
              <w:rPr>
                <w:rFonts w:ascii="宋体" w:hAnsi="宋体" w:eastAsia="宋体" w:cs="宋体"/>
                <w:spacing w:val="-14"/>
                <w:sz w:val="24"/>
                <w:szCs w:val="24"/>
              </w:rPr>
              <w:t xml:space="preserve"> </w:t>
            </w:r>
            <w:r>
              <w:rPr>
                <w:rFonts w:ascii="宋体" w:hAnsi="宋体" w:eastAsia="宋体" w:cs="宋体"/>
                <w:spacing w:val="-14"/>
                <w:sz w:val="24"/>
                <w:szCs w:val="24"/>
                <w14:textOutline w14:w="4354" w14:cap="flat" w14:cmpd="sng">
                  <w14:solidFill>
                    <w14:srgbClr w14:val="000000"/>
                  </w14:solidFill>
                  <w14:prstDash w14:val="solid"/>
                  <w14:miter w14:val="0"/>
                </w14:textOutline>
              </w:rPr>
              <w:t>(mm)</w:t>
            </w:r>
          </w:p>
        </w:tc>
        <w:tc>
          <w:tcPr>
            <w:tcW w:w="510" w:type="pct"/>
            <w:tcBorders>
              <w:top w:val="single" w:color="auto" w:sz="6" w:space="0"/>
              <w:left w:val="single" w:color="auto" w:sz="6" w:space="0"/>
              <w:bottom w:val="single" w:color="auto" w:sz="6" w:space="0"/>
              <w:right w:val="single" w:color="auto" w:sz="6" w:space="0"/>
            </w:tcBorders>
            <w:noWrap w:val="0"/>
            <w:vAlign w:val="center"/>
          </w:tcPr>
          <w:p>
            <w:pPr>
              <w:spacing w:line="240" w:lineRule="auto"/>
              <w:jc w:val="left"/>
              <w:rPr>
                <w:rFonts w:hint="default" w:ascii="仿宋" w:hAnsi="仿宋" w:eastAsia="仿宋" w:cs="仿宋"/>
                <w:color w:val="000000"/>
                <w:sz w:val="28"/>
                <w:szCs w:val="28"/>
                <w:lang w:val="en-US" w:eastAsia="zh-CN"/>
              </w:rPr>
            </w:pPr>
          </w:p>
        </w:tc>
        <w:tc>
          <w:tcPr>
            <w:tcW w:w="389" w:type="pct"/>
            <w:tcBorders>
              <w:top w:val="single" w:color="auto" w:sz="6" w:space="0"/>
              <w:left w:val="single" w:color="auto" w:sz="4" w:space="0"/>
              <w:bottom w:val="single" w:color="auto" w:sz="6" w:space="0"/>
              <w:right w:val="single" w:color="auto" w:sz="6" w:space="0"/>
            </w:tcBorders>
            <w:noWrap w:val="0"/>
            <w:vAlign w:val="top"/>
          </w:tcPr>
          <w:p>
            <w:pPr>
              <w:spacing w:line="240" w:lineRule="auto"/>
              <w:jc w:val="left"/>
              <w:rPr>
                <w:rFonts w:hint="eastAsia" w:ascii="仿宋" w:hAnsi="仿宋" w:eastAsia="仿宋" w:cs="仿宋"/>
                <w:color w:val="000000"/>
                <w:sz w:val="28"/>
                <w:szCs w:val="28"/>
                <w:lang w:val="zh-CN"/>
              </w:rPr>
            </w:pPr>
          </w:p>
        </w:tc>
      </w:tr>
    </w:tbl>
    <w:p>
      <w:pPr>
        <w:snapToGrid w:val="0"/>
        <w:spacing w:line="360" w:lineRule="auto"/>
        <w:rPr>
          <w:rFonts w:hint="eastAsia" w:ascii="宋体" w:hAnsi="宋体" w:cs="宋体"/>
        </w:rPr>
      </w:pPr>
    </w:p>
    <w:p>
      <w:pPr>
        <w:keepNext w:val="0"/>
        <w:keepLines w:val="0"/>
        <w:pageBreakBefore w:val="0"/>
        <w:widowControl w:val="0"/>
        <w:kinsoku/>
        <w:wordWrap/>
        <w:overflowPunct/>
        <w:topLinePunct w:val="0"/>
        <w:autoSpaceDE/>
        <w:autoSpaceDN/>
        <w:bidi w:val="0"/>
        <w:adjustRightInd/>
        <w:snapToGrid/>
        <w:spacing w:line="440" w:lineRule="exact"/>
        <w:ind w:firstLine="422" w:firstLineChars="200"/>
        <w:jc w:val="center"/>
        <w:textAlignment w:val="auto"/>
        <w:outlineLvl w:val="1"/>
        <w:rPr>
          <w:rFonts w:hint="eastAsia" w:ascii="宋体" w:hAnsi="宋体" w:eastAsia="宋体" w:cs="宋体"/>
          <w:b/>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422" w:firstLineChars="200"/>
        <w:jc w:val="center"/>
        <w:textAlignment w:val="auto"/>
        <w:outlineLvl w:val="1"/>
        <w:rPr>
          <w:rFonts w:hint="eastAsia" w:ascii="宋体" w:hAnsi="宋体" w:eastAsia="宋体" w:cs="宋体"/>
          <w:b/>
          <w:color w:val="auto"/>
          <w:sz w:val="21"/>
          <w:szCs w:val="21"/>
          <w:highlight w:val="none"/>
        </w:rPr>
      </w:pPr>
    </w:p>
    <w:p>
      <w:pPr>
        <w:spacing w:line="440" w:lineRule="exact"/>
        <w:ind w:firstLine="422" w:firstLineChars="200"/>
        <w:jc w:val="center"/>
        <w:outlineLvl w:val="1"/>
        <w:rPr>
          <w:rFonts w:hint="eastAsia" w:ascii="宋体" w:hAnsi="宋体" w:eastAsia="宋体" w:cs="宋体"/>
          <w:b/>
          <w:color w:val="auto"/>
          <w:sz w:val="21"/>
          <w:szCs w:val="21"/>
          <w:highlight w:val="none"/>
        </w:rPr>
      </w:pPr>
    </w:p>
    <w:p>
      <w:pPr>
        <w:spacing w:line="440" w:lineRule="exact"/>
        <w:ind w:firstLine="422" w:firstLineChars="200"/>
        <w:jc w:val="center"/>
        <w:outlineLvl w:val="1"/>
        <w:rPr>
          <w:rFonts w:hint="eastAsia" w:ascii="宋体" w:hAnsi="宋体" w:eastAsia="宋体" w:cs="宋体"/>
          <w:b/>
          <w:color w:val="auto"/>
          <w:sz w:val="21"/>
          <w:szCs w:val="21"/>
          <w:highlight w:val="none"/>
        </w:rPr>
      </w:pPr>
    </w:p>
    <w:p>
      <w:pPr>
        <w:spacing w:line="440" w:lineRule="exact"/>
        <w:ind w:firstLine="562" w:firstLineChars="200"/>
        <w:jc w:val="center"/>
        <w:outlineLvl w:val="1"/>
        <w:rPr>
          <w:rFonts w:asciiTheme="majorEastAsia" w:hAnsiTheme="majorEastAsia" w:eastAsiaTheme="majorEastAsia"/>
          <w:b/>
          <w:color w:val="auto"/>
          <w:sz w:val="28"/>
          <w:szCs w:val="28"/>
          <w:highlight w:val="none"/>
        </w:rPr>
      </w:pPr>
      <w:r>
        <w:rPr>
          <w:rFonts w:hint="eastAsia" w:asciiTheme="majorEastAsia" w:hAnsiTheme="majorEastAsia" w:eastAsiaTheme="majorEastAsia"/>
          <w:b/>
          <w:color w:val="auto"/>
          <w:sz w:val="28"/>
          <w:szCs w:val="28"/>
          <w:highlight w:val="none"/>
        </w:rPr>
        <w:br w:type="page"/>
      </w:r>
      <w:bookmarkStart w:id="83" w:name="_Toc30517"/>
      <w:r>
        <w:rPr>
          <w:rFonts w:hint="eastAsia" w:asciiTheme="majorEastAsia" w:hAnsiTheme="majorEastAsia" w:eastAsiaTheme="majorEastAsia"/>
          <w:b/>
          <w:color w:val="auto"/>
          <w:sz w:val="32"/>
          <w:szCs w:val="32"/>
          <w:highlight w:val="none"/>
        </w:rPr>
        <w:t>第五章</w:t>
      </w:r>
      <w:r>
        <w:rPr>
          <w:rFonts w:hint="eastAsia" w:asciiTheme="majorEastAsia" w:hAnsiTheme="majorEastAsia" w:eastAsiaTheme="majorEastAsia"/>
          <w:b/>
          <w:color w:val="auto"/>
          <w:sz w:val="28"/>
          <w:szCs w:val="28"/>
          <w:highlight w:val="none"/>
        </w:rPr>
        <w:t xml:space="preserve">  </w:t>
      </w:r>
      <w:r>
        <w:rPr>
          <w:rFonts w:hint="eastAsia" w:asciiTheme="majorEastAsia" w:hAnsiTheme="majorEastAsia" w:eastAsiaTheme="majorEastAsia"/>
          <w:b/>
          <w:color w:val="auto"/>
          <w:sz w:val="32"/>
          <w:szCs w:val="32"/>
          <w:highlight w:val="none"/>
        </w:rPr>
        <w:t>合同签订及条款</w:t>
      </w:r>
      <w:bookmarkEnd w:id="83"/>
    </w:p>
    <w:p>
      <w:pPr>
        <w:spacing w:line="440" w:lineRule="exact"/>
        <w:ind w:firstLine="480" w:firstLineChars="200"/>
        <w:rPr>
          <w:rFonts w:ascii="宋体" w:hAnsi="宋体" w:cs="宋体"/>
          <w:color w:val="auto"/>
          <w:szCs w:val="21"/>
          <w:highlight w:val="none"/>
        </w:rPr>
      </w:pPr>
      <w:bookmarkStart w:id="84" w:name="_Toc1706"/>
      <w:r>
        <w:rPr>
          <w:rFonts w:asciiTheme="majorEastAsia" w:hAnsiTheme="majorEastAsia" w:eastAsiaTheme="majorEastAsia"/>
          <w:color w:val="auto"/>
          <w:sz w:val="24"/>
          <w:szCs w:val="24"/>
          <w:highlight w:val="none"/>
        </w:rPr>
        <w:t>1</w:t>
      </w:r>
      <w:r>
        <w:rPr>
          <w:rFonts w:hint="eastAsia" w:ascii="宋体" w:hAnsi="宋体" w:cs="宋体"/>
          <w:color w:val="auto"/>
          <w:szCs w:val="21"/>
          <w:highlight w:val="none"/>
        </w:rPr>
        <w:t>.合同签订</w:t>
      </w:r>
      <w:bookmarkEnd w:id="84"/>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1.1 中标人应按中标通知书指定的时间、地点，与采购人签订合同。中标人与采购人不得签订背离招标文件实质性内容的合同，否则合同无效。</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1.2 如采购人或中标人拒签合同，则按违约处理。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1.3 如中标人不按本招标文件要求签订合同，则取消其中标资格。招标人并依法追究中标人的缔约过失责任及其他法律责任。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1.4 采购人追加合同标的权利：签订合同后，采购人如需追加与合同标的相同的货物、工程或者服务的，在不改变本合同其他条款的前提下，可以与中标人协商签订补充合同，但所有补充合同的采购金额不得超过原合同采购金额的10%。</w:t>
      </w:r>
      <w:r>
        <w:rPr>
          <w:rFonts w:hint="eastAsia" w:ascii="宋体" w:hAnsi="宋体" w:cs="宋体"/>
          <w:color w:val="auto"/>
          <w:szCs w:val="21"/>
          <w:highlight w:val="none"/>
        </w:rPr>
        <w:tab/>
      </w:r>
    </w:p>
    <w:p>
      <w:pPr>
        <w:spacing w:line="440" w:lineRule="exact"/>
        <w:ind w:firstLine="420" w:firstLineChars="200"/>
        <w:rPr>
          <w:rFonts w:ascii="宋体" w:hAnsi="宋体" w:cs="宋体"/>
          <w:color w:val="auto"/>
          <w:szCs w:val="21"/>
          <w:highlight w:val="none"/>
        </w:rPr>
      </w:pPr>
      <w:bookmarkStart w:id="85" w:name="_Toc21209"/>
      <w:bookmarkStart w:id="86" w:name="_Toc488422014"/>
      <w:bookmarkStart w:id="87" w:name="_Toc488422613"/>
      <w:bookmarkStart w:id="88" w:name="_Toc32638"/>
      <w:bookmarkStart w:id="89" w:name="_Toc18545"/>
      <w:bookmarkStart w:id="90" w:name="_Toc421284761"/>
      <w:bookmarkStart w:id="91" w:name="_Toc3663"/>
      <w:bookmarkStart w:id="92" w:name="_Toc6716"/>
      <w:bookmarkStart w:id="93" w:name="_Toc9383"/>
      <w:bookmarkStart w:id="94" w:name="_Toc8336"/>
      <w:bookmarkStart w:id="95" w:name="_Toc27043"/>
      <w:r>
        <w:rPr>
          <w:rFonts w:hint="eastAsia" w:ascii="宋体" w:hAnsi="宋体" w:cs="宋体"/>
          <w:color w:val="auto"/>
          <w:szCs w:val="21"/>
          <w:highlight w:val="none"/>
        </w:rPr>
        <w:t>2.合同一般条款</w:t>
      </w:r>
      <w:bookmarkEnd w:id="85"/>
      <w:bookmarkEnd w:id="86"/>
      <w:bookmarkEnd w:id="87"/>
      <w:bookmarkEnd w:id="88"/>
      <w:bookmarkEnd w:id="89"/>
      <w:bookmarkEnd w:id="90"/>
      <w:bookmarkEnd w:id="91"/>
      <w:bookmarkEnd w:id="92"/>
      <w:bookmarkEnd w:id="93"/>
      <w:bookmarkEnd w:id="94"/>
      <w:bookmarkEnd w:id="95"/>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2.1、定义</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（1）甲方（需方）即采购人，是指通过招标采购，接受合同货物及服务的各级国家机关、事业单位和团体组织。</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（2）乙方（供方）即中标供应商，是指中标后提供合同货物和服务的自然人、法人及其他组织。</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（3）合同是指由甲乙双方按照招标文件和投标文件的实质性内容，通过协商一致达成的书面协议。</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（4）合同价格指以中标价格为依据，在供方全面履行合同义务后，需方应支付给供方的金额。</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（5）技术资料是指合同货物及其相关的设计、制造、监造、检验、验收等文件（包括图纸、各种文字说明、标准）。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2.2、货物内容</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合同包括以下内容：货物名称、规格型号、技术参数、数量（单位）等内容。</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2.3、合同价格</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（1）合同价格即合同总价。</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（2）合同价格包括合同货物、技术资料、合同货物的税费、运杂费、保险费、包装费、装卸费及与货物有关的供方应纳的税费等，所有税费由乙方负担。</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2.4、转包或分包</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（1）本合同范围的货物，应由乙方直接供应，不得转让他人供应；</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（2）非经甲方书面同意，乙方不得将本合同范围的货物全部或部分分包给他人供应；</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（3）如有转让和未经甲方同意的分包行为，甲方有权解除合同，履约保证金不予退还并追究乙方的违约责任。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2.5、质量保证及售后服务</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（1）乙方应按招标文件规定的货物性能、技术要求、质量标准向甲方提供未经使用的全新产品。</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（2）乙方提供的货物在质保期内因货物本身的质量问题发生故障，乙方应负责免费更换。对达不到技术要求者，根据实际情况，经双方协商，可按以下办法处理：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A、更换：由乙方承担所发生的全部费用。</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B、退货处理：乙方应退还甲方支付的合同款，同时应承担该货物的直接费用（运输、保险、检验、货款利息及银行手续费等）。</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（3）如在使用过程中发生质量问题，乙方在接到甲方通知后在X小时内到达甲方现场。</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（4）在质保期内，乙方应对货物出现的质量及安全问题负责处理解决并承担一切费用。</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（5）上述货物的免费保修期按照国家有关规定标准执行，终生维修，维修时只收部件成本费。</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（6）乙方提供的货物由原厂提供售后服务的，乙方必须提供原厂商出具的售后服务承诺函（原件）。</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2.6、付款</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（1）本合同使用货币币制为人民币。</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（2）付款方式及方法：按专用条款执行。</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2.7、检查验收</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（1）供方应随货物提供合格证和质量证明文件，如是国外进口的货物还须提供入关证明。</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（2）货物验收</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需方所交货物的各种质量指标不得低于该投标文件中所提供的质量指标要求（供方提供样品的质量指标），售后服务质量要求按照招标文件和投标文件的内容执行。供方交货时，需方可根据需要随机抽取一部分货物送有关权威检测部门检测，如检测不合格，供方负责赔偿需方一切损失。</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（3）货物验收报告应由需方、供方经办人签字，并加盖双方公章，以此作为支付凭据。</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2.8、索赔</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供方所提供货物、工程或者服务不符合合同约定的，需方有权拒收货物、拒绝服务、解除合同，供方应赔偿需方所有损失。</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2.9、知识产权</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乙方应保证所提供的货物或其任何一部分均不会侵犯任何第三方的知识产权，如若出现侵权行为，由乙方付全部责任。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2.10、人员培训：供方免费对需方人员进行技术培训，直到需方人员熟练操作或掌握为准。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培训地点：；培训时间：；</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培训方式：</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2.11、违约责任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按专用条款及招标文件的其他有关约定执行。专用条款及招标文件约定不明或未约定的，按照《中华人民共和国合同法》、《中华人民共和国政府采购法》的有关规定执行。</w:t>
      </w:r>
      <w:bookmarkStart w:id="96" w:name="_Toc15325"/>
      <w:bookmarkStart w:id="97" w:name="_Toc17461"/>
      <w:bookmarkStart w:id="98" w:name="_Toc17676"/>
      <w:bookmarkStart w:id="99" w:name="_Toc13625"/>
      <w:bookmarkStart w:id="100" w:name="_Toc421284762"/>
      <w:bookmarkStart w:id="101" w:name="_Toc1746"/>
      <w:bookmarkStart w:id="102" w:name="_Toc488422614"/>
      <w:bookmarkStart w:id="103" w:name="_Toc27148142"/>
      <w:bookmarkStart w:id="104" w:name="_Toc18962"/>
      <w:bookmarkStart w:id="105" w:name="_Toc488422015"/>
      <w:bookmarkStart w:id="106" w:name="_Toc24549"/>
      <w:bookmarkStart w:id="107" w:name="_Toc5009"/>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w:t>
      </w:r>
      <w:bookmarkEnd w:id="96"/>
      <w:bookmarkEnd w:id="97"/>
      <w:bookmarkEnd w:id="98"/>
      <w:bookmarkEnd w:id="99"/>
      <w:bookmarkEnd w:id="100"/>
      <w:r>
        <w:rPr>
          <w:rFonts w:hint="eastAsia" w:ascii="宋体" w:hAnsi="宋体" w:cs="宋体"/>
          <w:color w:val="auto"/>
          <w:szCs w:val="21"/>
          <w:highlight w:val="none"/>
        </w:rPr>
        <w:t>合同专用条款（特别约定条款）</w:t>
      </w:r>
      <w:bookmarkEnd w:id="101"/>
      <w:bookmarkEnd w:id="102"/>
      <w:bookmarkEnd w:id="103"/>
      <w:bookmarkEnd w:id="104"/>
      <w:bookmarkEnd w:id="105"/>
      <w:bookmarkEnd w:id="106"/>
      <w:bookmarkEnd w:id="107"/>
    </w:p>
    <w:p>
      <w:pPr>
        <w:spacing w:line="440" w:lineRule="exact"/>
        <w:rPr>
          <w:rFonts w:ascii="宋体" w:hAnsi="宋体" w:cs="宋体"/>
          <w:color w:val="auto"/>
          <w:szCs w:val="21"/>
          <w:highlight w:val="none"/>
        </w:rPr>
      </w:pPr>
      <w:r>
        <w:rPr>
          <w:rFonts w:hint="eastAsia" w:ascii="宋体" w:hAnsi="宋体" w:cs="宋体"/>
          <w:color w:val="auto"/>
          <w:szCs w:val="21"/>
          <w:highlight w:val="none"/>
        </w:rPr>
        <w:t>（注：可结合具体招标项目进行更明确的约定）</w:t>
      </w:r>
    </w:p>
    <w:p>
      <w:pPr>
        <w:spacing w:line="440" w:lineRule="exact"/>
        <w:rPr>
          <w:rFonts w:ascii="宋体" w:hAnsi="宋体" w:cs="宋体"/>
          <w:color w:val="auto"/>
          <w:szCs w:val="21"/>
          <w:highlight w:val="none"/>
        </w:rPr>
      </w:pPr>
    </w:p>
    <w:p>
      <w:pPr>
        <w:spacing w:line="440" w:lineRule="exact"/>
        <w:ind w:firstLine="420" w:firstLineChars="200"/>
        <w:jc w:val="center"/>
        <w:rPr>
          <w:rFonts w:ascii="宋体" w:hAnsi="宋体" w:cs="宋体"/>
          <w:color w:val="auto"/>
          <w:szCs w:val="21"/>
          <w:highlight w:val="none"/>
        </w:rPr>
      </w:pPr>
      <w:r>
        <w:rPr>
          <w:rFonts w:hint="eastAsia" w:ascii="宋体" w:hAnsi="宋体" w:cs="宋体"/>
          <w:color w:val="auto"/>
          <w:szCs w:val="21"/>
          <w:highlight w:val="none"/>
        </w:rPr>
        <w:t>温县政府集中采购合同</w:t>
      </w:r>
    </w:p>
    <w:p>
      <w:pPr>
        <w:spacing w:line="440" w:lineRule="exact"/>
        <w:ind w:firstLine="420" w:firstLineChars="200"/>
        <w:rPr>
          <w:rFonts w:ascii="宋体" w:hAnsi="宋体" w:cs="宋体"/>
          <w:color w:val="auto"/>
          <w:szCs w:val="21"/>
          <w:highlight w:val="none"/>
        </w:rPr>
      </w:pP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合同编号：</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需方（甲方）（采购人全称）：</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供方（乙方）（中标供应商全称）：</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供方持签发的中标/成交通知书，根据招标文件、供方的投标/报价等文件[项目编号：温交易]，按照《政府采购法》、《合同法》等有关法律、法规的规定，供需双方经协商一致，达成以下合同专用条款：</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一、本合同名称：。</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二、本合同总价：元（人民币）（大写：元）。供货范围、技术规格、及分项价格如下：单位：人民币元</w:t>
      </w:r>
    </w:p>
    <w:tbl>
      <w:tblPr>
        <w:tblStyle w:val="27"/>
        <w:tblW w:w="9380" w:type="dxa"/>
        <w:jc w:val="center"/>
        <w:tblLayout w:type="fixed"/>
        <w:tblCellMar>
          <w:top w:w="0" w:type="dxa"/>
          <w:left w:w="108" w:type="dxa"/>
          <w:bottom w:w="0" w:type="dxa"/>
          <w:right w:w="108" w:type="dxa"/>
        </w:tblCellMar>
      </w:tblPr>
      <w:tblGrid>
        <w:gridCol w:w="873"/>
        <w:gridCol w:w="1196"/>
        <w:gridCol w:w="2233"/>
        <w:gridCol w:w="543"/>
        <w:gridCol w:w="709"/>
        <w:gridCol w:w="734"/>
        <w:gridCol w:w="723"/>
        <w:gridCol w:w="1031"/>
        <w:gridCol w:w="1338"/>
      </w:tblGrid>
      <w:tr>
        <w:trPr>
          <w:trHeight w:val="599" w:hRule="atLeast"/>
          <w:jc w:val="center"/>
        </w:trPr>
        <w:tc>
          <w:tcPr>
            <w:tcW w:w="87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1196"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223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54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34"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2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1031" w:type="dxa"/>
            <w:tcBorders>
              <w:top w:val="single" w:color="auto" w:sz="6" w:space="0"/>
              <w:left w:val="single" w:color="auto" w:sz="6" w:space="0"/>
              <w:bottom w:val="single" w:color="auto" w:sz="6" w:space="0"/>
              <w:right w:val="single" w:color="auto" w:sz="4" w:space="0"/>
            </w:tcBorders>
            <w:vAlign w:val="center"/>
          </w:tcPr>
          <w:p>
            <w:pPr>
              <w:spacing w:line="440" w:lineRule="exact"/>
              <w:ind w:firstLine="420" w:firstLineChars="200"/>
              <w:rPr>
                <w:rFonts w:ascii="宋体" w:hAnsi="宋体" w:cs="宋体"/>
                <w:color w:val="auto"/>
                <w:szCs w:val="21"/>
                <w:highlight w:val="none"/>
              </w:rPr>
            </w:pPr>
          </w:p>
        </w:tc>
        <w:tc>
          <w:tcPr>
            <w:tcW w:w="1338" w:type="dxa"/>
            <w:tcBorders>
              <w:top w:val="single" w:color="auto" w:sz="6" w:space="0"/>
              <w:left w:val="single" w:color="auto" w:sz="4"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1196"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223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54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34"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723" w:type="dxa"/>
            <w:tcBorders>
              <w:top w:val="single" w:color="auto" w:sz="6" w:space="0"/>
              <w:left w:val="single" w:color="auto" w:sz="6"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c>
          <w:tcPr>
            <w:tcW w:w="1031" w:type="dxa"/>
            <w:tcBorders>
              <w:top w:val="single" w:color="auto" w:sz="6" w:space="0"/>
              <w:left w:val="single" w:color="auto" w:sz="6" w:space="0"/>
              <w:bottom w:val="single" w:color="auto" w:sz="6" w:space="0"/>
              <w:right w:val="single" w:color="auto" w:sz="4" w:space="0"/>
            </w:tcBorders>
            <w:vAlign w:val="center"/>
          </w:tcPr>
          <w:p>
            <w:pPr>
              <w:spacing w:line="440" w:lineRule="exact"/>
              <w:ind w:firstLine="420" w:firstLineChars="200"/>
              <w:rPr>
                <w:rFonts w:ascii="宋体" w:hAnsi="宋体" w:cs="宋体"/>
                <w:color w:val="auto"/>
                <w:szCs w:val="21"/>
                <w:highlight w:val="none"/>
              </w:rPr>
            </w:pPr>
          </w:p>
        </w:tc>
        <w:tc>
          <w:tcPr>
            <w:tcW w:w="1338" w:type="dxa"/>
            <w:tcBorders>
              <w:top w:val="single" w:color="auto" w:sz="6" w:space="0"/>
              <w:left w:val="single" w:color="auto" w:sz="4" w:space="0"/>
              <w:bottom w:val="single" w:color="auto" w:sz="6" w:space="0"/>
              <w:right w:val="single" w:color="auto" w:sz="6" w:space="0"/>
            </w:tcBorders>
            <w:vAlign w:val="center"/>
          </w:tcPr>
          <w:p>
            <w:pPr>
              <w:spacing w:line="440" w:lineRule="exact"/>
              <w:ind w:firstLine="420" w:firstLineChars="200"/>
              <w:rPr>
                <w:rFonts w:ascii="宋体" w:hAnsi="宋体" w:cs="宋体"/>
                <w:color w:val="auto"/>
                <w:szCs w:val="21"/>
                <w:highlight w:val="none"/>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1196"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223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54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34"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2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1031" w:type="dxa"/>
            <w:tcBorders>
              <w:top w:val="single" w:color="auto" w:sz="6" w:space="0"/>
              <w:left w:val="single" w:color="auto" w:sz="6" w:space="0"/>
              <w:bottom w:val="single" w:color="auto" w:sz="6" w:space="0"/>
              <w:right w:val="single" w:color="auto" w:sz="4" w:space="0"/>
            </w:tcBorders>
          </w:tcPr>
          <w:p>
            <w:pPr>
              <w:spacing w:line="440" w:lineRule="exact"/>
              <w:ind w:firstLine="420" w:firstLineChars="200"/>
              <w:rPr>
                <w:rFonts w:ascii="宋体" w:hAnsi="宋体" w:cs="宋体"/>
                <w:color w:val="auto"/>
                <w:szCs w:val="21"/>
                <w:highlight w:val="none"/>
              </w:rPr>
            </w:pPr>
          </w:p>
        </w:tc>
        <w:tc>
          <w:tcPr>
            <w:tcW w:w="1338" w:type="dxa"/>
            <w:tcBorders>
              <w:top w:val="single" w:color="auto" w:sz="6" w:space="0"/>
              <w:left w:val="single" w:color="auto" w:sz="4"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r>
      <w:tr>
        <w:tblPrEx>
          <w:tblCellMar>
            <w:top w:w="0" w:type="dxa"/>
            <w:left w:w="108" w:type="dxa"/>
            <w:bottom w:w="0" w:type="dxa"/>
            <w:right w:w="108" w:type="dxa"/>
          </w:tblCellMar>
        </w:tblPrEx>
        <w:trPr>
          <w:trHeight w:val="599" w:hRule="atLeast"/>
          <w:jc w:val="center"/>
        </w:trPr>
        <w:tc>
          <w:tcPr>
            <w:tcW w:w="87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1196"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223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54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09"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34"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723" w:type="dxa"/>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1031" w:type="dxa"/>
            <w:tcBorders>
              <w:top w:val="single" w:color="auto" w:sz="6" w:space="0"/>
              <w:left w:val="single" w:color="auto" w:sz="6" w:space="0"/>
              <w:bottom w:val="single" w:color="auto" w:sz="6" w:space="0"/>
              <w:right w:val="single" w:color="auto" w:sz="4" w:space="0"/>
            </w:tcBorders>
          </w:tcPr>
          <w:p>
            <w:pPr>
              <w:spacing w:line="440" w:lineRule="exact"/>
              <w:ind w:firstLine="420" w:firstLineChars="200"/>
              <w:rPr>
                <w:rFonts w:ascii="宋体" w:hAnsi="宋体" w:cs="宋体"/>
                <w:color w:val="auto"/>
                <w:szCs w:val="21"/>
                <w:highlight w:val="none"/>
              </w:rPr>
            </w:pPr>
          </w:p>
        </w:tc>
        <w:tc>
          <w:tcPr>
            <w:tcW w:w="1338" w:type="dxa"/>
            <w:tcBorders>
              <w:top w:val="single" w:color="auto" w:sz="6" w:space="0"/>
              <w:left w:val="single" w:color="auto" w:sz="4"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r>
      <w:tr>
        <w:tblPrEx>
          <w:tblCellMar>
            <w:top w:w="0" w:type="dxa"/>
            <w:left w:w="108" w:type="dxa"/>
            <w:bottom w:w="0" w:type="dxa"/>
            <w:right w:w="108" w:type="dxa"/>
          </w:tblCellMar>
        </w:tblPrEx>
        <w:trPr>
          <w:trHeight w:val="618" w:hRule="atLeast"/>
          <w:jc w:val="center"/>
        </w:trPr>
        <w:tc>
          <w:tcPr>
            <w:tcW w:w="873" w:type="dxa"/>
            <w:vMerge w:val="restart"/>
            <w:tcBorders>
              <w:top w:val="single" w:color="auto" w:sz="6" w:space="0"/>
              <w:left w:val="single" w:color="auto" w:sz="6" w:space="0"/>
              <w:bottom w:val="single" w:color="auto" w:sz="6" w:space="0"/>
              <w:right w:val="single" w:color="auto" w:sz="6" w:space="0"/>
            </w:tcBorders>
          </w:tcPr>
          <w:p>
            <w:pPr>
              <w:spacing w:line="440" w:lineRule="exact"/>
              <w:rPr>
                <w:rFonts w:ascii="宋体" w:hAnsi="宋体" w:cs="宋体"/>
                <w:color w:val="auto"/>
                <w:szCs w:val="21"/>
                <w:highlight w:val="none"/>
              </w:rPr>
            </w:pPr>
            <w:r>
              <w:rPr>
                <w:rFonts w:hint="eastAsia" w:ascii="宋体" w:hAnsi="宋体" w:cs="宋体"/>
                <w:color w:val="auto"/>
                <w:szCs w:val="21"/>
                <w:highlight w:val="none"/>
              </w:rPr>
              <w:t>总价（人民币）</w:t>
            </w:r>
          </w:p>
        </w:tc>
        <w:tc>
          <w:tcPr>
            <w:tcW w:w="8507" w:type="dxa"/>
            <w:gridSpan w:val="8"/>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小写：</w:t>
            </w:r>
          </w:p>
        </w:tc>
      </w:tr>
      <w:tr>
        <w:tblPrEx>
          <w:tblCellMar>
            <w:top w:w="0" w:type="dxa"/>
            <w:left w:w="108" w:type="dxa"/>
            <w:bottom w:w="0" w:type="dxa"/>
            <w:right w:w="108" w:type="dxa"/>
          </w:tblCellMar>
        </w:tblPrEx>
        <w:trPr>
          <w:trHeight w:val="1156" w:hRule="atLeast"/>
          <w:jc w:val="center"/>
        </w:trPr>
        <w:tc>
          <w:tcPr>
            <w:tcW w:w="873" w:type="dxa"/>
            <w:vMerge w:val="continue"/>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p>
        </w:tc>
        <w:tc>
          <w:tcPr>
            <w:tcW w:w="8507" w:type="dxa"/>
            <w:gridSpan w:val="8"/>
            <w:tcBorders>
              <w:top w:val="single" w:color="auto" w:sz="6" w:space="0"/>
              <w:left w:val="single" w:color="auto" w:sz="6" w:space="0"/>
              <w:bottom w:val="single" w:color="auto" w:sz="6" w:space="0"/>
              <w:right w:val="single" w:color="auto" w:sz="6" w:space="0"/>
            </w:tcBorders>
          </w:tcPr>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大写：佰拾万仟佰拾元角分</w:t>
            </w:r>
          </w:p>
        </w:tc>
      </w:tr>
    </w:tbl>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三、质量要求及供方对质量负责条件和期限：</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所供货物必须首先符合有关国家强制性规定、国家（行业）标准或相关法律法规要求，同时符合招标文件规定的质量要求。供方应提供全新未拆封产品（包括零部件、附件、备品备件等），如确需拆封的，应在供货前征得采购人同意，否则视为不能交货。供方保证全部按照合同规定的时间和方式向需方提供货物和服务，并负责可能的弥补缺陷。需方对货物规格、型号、质量有异议的，应在收到货物后日内以书面形式向供方提出，需安装调试成套设备的提出异议的期限为日。</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四、售后服务承诺：</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售后服务响应时间：</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解决问题时间：</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售后服务机构名称、地址及联系方式：</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其他服务承诺：</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五、合同履行地点及进度：</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合同生效后，供方应于年月日前按需方要求在（需方指定的地点）完成本项目的交货、安装、调试（或施工）。货物运送的费用由供方负责。需方应在货物到达指定地点后，提供符合安装条件的场地、电源、环境等。</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六、资料：供方在交付货物时应向需方提供货物的使用说明、合格证书及其它相关资料，否则按不能交货对待。</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七、验收要求。</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1、供方履约完毕及时向需方提出验收申请。</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2、需方在收到供方验收申请后个工作日内组织验收。按照招标文件规定、中标供应商投标文件承诺，及国家有关规定认真组织验收工作.</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3、验收合格后日内，需方出具《温县政府采购验收报告》。</w:t>
      </w:r>
    </w:p>
    <w:p>
      <w:pPr>
        <w:spacing w:line="440" w:lineRule="exact"/>
        <w:ind w:firstLine="420" w:firstLineChars="200"/>
        <w:rPr>
          <w:rFonts w:hint="default" w:ascii="宋体" w:hAnsi="宋体" w:cs="宋体"/>
          <w:color w:val="auto"/>
          <w:szCs w:val="21"/>
          <w:highlight w:val="none"/>
          <w:lang w:val="en-US" w:eastAsia="zh-CN"/>
        </w:rPr>
      </w:pPr>
      <w:r>
        <w:rPr>
          <w:rFonts w:hint="eastAsia" w:ascii="宋体" w:hAnsi="宋体" w:cs="宋体"/>
          <w:color w:val="auto"/>
          <w:szCs w:val="21"/>
          <w:highlight w:val="none"/>
        </w:rPr>
        <w:t>八、</w:t>
      </w:r>
      <w:r>
        <w:rPr>
          <w:rFonts w:hint="eastAsia" w:ascii="宋体" w:hAnsi="宋体" w:cs="宋体"/>
          <w:b/>
          <w:bCs/>
          <w:color w:val="auto"/>
          <w:szCs w:val="21"/>
          <w:highlight w:val="none"/>
        </w:rPr>
        <w:t>付款方式</w:t>
      </w:r>
      <w:r>
        <w:rPr>
          <w:rFonts w:hint="eastAsia" w:ascii="宋体" w:hAnsi="宋体" w:cs="宋体"/>
          <w:b/>
          <w:bCs/>
          <w:color w:val="auto"/>
          <w:szCs w:val="21"/>
          <w:highlight w:val="none"/>
          <w:lang w:val="en-US" w:eastAsia="zh-CN"/>
        </w:rPr>
        <w:t xml:space="preserve"> </w:t>
      </w:r>
      <w:r>
        <w:rPr>
          <w:rFonts w:hint="eastAsia" w:ascii="宋体" w:hAnsi="宋体" w:cs="宋体"/>
          <w:b/>
          <w:bCs/>
          <w:color w:val="auto"/>
          <w:szCs w:val="21"/>
          <w:highlight w:val="none"/>
        </w:rPr>
        <w:t>：</w:t>
      </w:r>
      <w:r>
        <w:rPr>
          <w:rFonts w:hint="eastAsia" w:ascii="宋体" w:hAnsi="宋体" w:cs="宋体"/>
          <w:b/>
          <w:bCs/>
          <w:color w:val="auto"/>
          <w:szCs w:val="21"/>
          <w:highlight w:val="none"/>
          <w:lang w:eastAsia="zh-CN"/>
        </w:rPr>
        <w:t>根据合同履行情况阶段性付款，双方签订合同后乙方向甲方提供预付款保函，甲方向乙方支付合同金额的</w:t>
      </w:r>
      <w:r>
        <w:rPr>
          <w:rFonts w:hint="eastAsia" w:ascii="宋体" w:hAnsi="宋体" w:cs="宋体"/>
          <w:b/>
          <w:bCs/>
          <w:color w:val="auto"/>
          <w:szCs w:val="21"/>
          <w:highlight w:val="none"/>
          <w:lang w:val="en-US" w:eastAsia="zh-CN"/>
        </w:rPr>
        <w:t>60%,设备到场经验收后甲方向乙方支付至合同价的80%，设备安装调试正常并经验收合格后甲方向乙方支付至合同价的100%。</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九、本合同单价及总价为不变价，不受市场风险等因素的影响。</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十、违约责任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  </w:t>
      </w:r>
      <w:r>
        <w:rPr>
          <w:rFonts w:hint="eastAsia" w:ascii="宋体" w:hAnsi="宋体" w:cs="宋体"/>
          <w:color w:val="auto"/>
          <w:szCs w:val="21"/>
          <w:highlight w:val="none"/>
          <w:lang w:val="zh-CN"/>
        </w:rPr>
        <w:t xml:space="preserve">供方所交付的货物品种、型号、规格、质量不符合国家规定标准及合同要求的，或者供方不能交付货物或完成系统安装、调试的，供方应向需方支付合同金额总值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lang w:val="zh-CN"/>
        </w:rPr>
        <w:t xml:space="preserve"> %的违约金；需方并有权解除合同，要求供方赔偿损失。供方如逾期交付的，每逾期一日供方应向需方支付合同金额的</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lang w:val="zh-CN"/>
        </w:rPr>
        <w:t>的违约金。逾期交付的违约金总额不超过合同总金额的</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zh-CN"/>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lang w:val="zh-CN"/>
        </w:rPr>
        <w:t xml:space="preserve">。逾期超过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zh-CN"/>
        </w:rPr>
        <w:t xml:space="preserve"> </w:t>
      </w:r>
      <w:r>
        <w:rPr>
          <w:rFonts w:hint="eastAsia" w:ascii="宋体" w:hAnsi="宋体" w:cs="宋体"/>
          <w:color w:val="auto"/>
          <w:szCs w:val="21"/>
          <w:highlight w:val="none"/>
          <w:lang w:val="zh-CN"/>
        </w:rPr>
        <w:t>日的，需方有权解除合同或者选择继续履行；需方要求供方继续履行合同的，不影响需方向供方主张违约责任。</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2、如需方违约，按合同一般条款执行。</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十一、争议的解决：</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1、双方友好协商；</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2、提请主管部门进行调解；</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3、由需方所在地人民法院诉讼管辖。</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十二、合同生效、备案及其它</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1、本合同经双方代表签字并加盖公章后生效。</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2、本合同一式五份，供需双方各持一份，在合同签订之日起七个工作日内交付温县财政局备案一份、温县公共资源交易中心存档一份，办理资金支付手续时提交一份。</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3、本合同未尽事宜，供需双方可签订补充协议，但补充协议不得违背本招标文件及供方的投标文件或报价文件的实质性约定内容。</w:t>
      </w:r>
    </w:p>
    <w:p>
      <w:pPr>
        <w:spacing w:line="440" w:lineRule="exact"/>
        <w:ind w:firstLine="420" w:firstLineChars="200"/>
        <w:rPr>
          <w:rFonts w:ascii="宋体" w:hAnsi="宋体" w:cs="宋体"/>
          <w:color w:val="auto"/>
          <w:szCs w:val="21"/>
          <w:highlight w:val="none"/>
        </w:rPr>
      </w:pPr>
    </w:p>
    <w:p>
      <w:pPr>
        <w:spacing w:line="340" w:lineRule="exact"/>
        <w:rPr>
          <w:rFonts w:ascii="宋体" w:hAnsi="宋体" w:cs="宋体"/>
          <w:color w:val="auto"/>
          <w:szCs w:val="21"/>
          <w:highlight w:val="none"/>
        </w:rPr>
      </w:pPr>
      <w:r>
        <w:rPr>
          <w:rFonts w:hint="eastAsia" w:ascii="宋体" w:hAnsi="宋体" w:cs="宋体"/>
          <w:color w:val="auto"/>
          <w:szCs w:val="21"/>
          <w:highlight w:val="none"/>
        </w:rPr>
        <w:t>供方（公章）：                          需方（公章）：</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地址：                                 地址：</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法定代表人或委托                       法定代表人或委托</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代理人（签字）：                        代理人（签字）：</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电话：                                 电话：</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开户行：                               开户行：</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账号：                                 账号：</w:t>
      </w:r>
    </w:p>
    <w:p>
      <w:pPr>
        <w:spacing w:line="340" w:lineRule="exact"/>
        <w:rPr>
          <w:rFonts w:ascii="宋体" w:hAnsi="宋体" w:cs="宋体"/>
          <w:color w:val="auto"/>
          <w:szCs w:val="21"/>
          <w:highlight w:val="none"/>
        </w:rPr>
      </w:pPr>
      <w:r>
        <w:rPr>
          <w:rFonts w:hint="eastAsia" w:ascii="宋体" w:hAnsi="宋体" w:cs="宋体"/>
          <w:color w:val="auto"/>
          <w:szCs w:val="21"/>
          <w:highlight w:val="none"/>
        </w:rPr>
        <w:t xml:space="preserve">    签约时间：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年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       签约时间：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年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pStyle w:val="35"/>
        <w:rPr>
          <w:color w:val="auto"/>
          <w:szCs w:val="21"/>
          <w:highlight w:val="none"/>
        </w:rPr>
      </w:pPr>
    </w:p>
    <w:p>
      <w:pPr>
        <w:pStyle w:val="35"/>
        <w:rPr>
          <w:color w:val="auto"/>
          <w:szCs w:val="21"/>
          <w:highlight w:val="none"/>
        </w:rPr>
      </w:pPr>
    </w:p>
    <w:p>
      <w:pPr>
        <w:pStyle w:val="35"/>
        <w:rPr>
          <w:color w:val="auto"/>
          <w:szCs w:val="21"/>
          <w:highlight w:val="none"/>
        </w:rPr>
      </w:pPr>
    </w:p>
    <w:p>
      <w:pPr>
        <w:pStyle w:val="35"/>
        <w:rPr>
          <w:color w:val="auto"/>
          <w:szCs w:val="21"/>
          <w:highlight w:val="none"/>
        </w:rPr>
      </w:pPr>
    </w:p>
    <w:p>
      <w:pPr>
        <w:pStyle w:val="35"/>
        <w:rPr>
          <w:color w:val="auto"/>
          <w:szCs w:val="21"/>
          <w:highlight w:val="none"/>
        </w:rPr>
      </w:pPr>
    </w:p>
    <w:p>
      <w:pPr>
        <w:pStyle w:val="25"/>
        <w:jc w:val="both"/>
        <w:rPr>
          <w:rFonts w:ascii="宋体" w:hAnsi="宋体" w:cs="宋体"/>
          <w:color w:val="auto"/>
          <w:highlight w:val="none"/>
        </w:rPr>
      </w:pPr>
      <w:bookmarkStart w:id="108" w:name="_Toc21953"/>
    </w:p>
    <w:p>
      <w:pPr>
        <w:rPr>
          <w:rFonts w:ascii="宋体" w:hAnsi="宋体" w:cs="宋体"/>
          <w:color w:val="auto"/>
          <w:highlight w:val="none"/>
        </w:rPr>
      </w:pPr>
    </w:p>
    <w:p>
      <w:pPr>
        <w:pStyle w:val="9"/>
        <w:ind w:left="0" w:leftChars="0"/>
        <w:rPr>
          <w:color w:val="auto"/>
          <w:highlight w:val="none"/>
        </w:rPr>
      </w:pPr>
    </w:p>
    <w:p>
      <w:pPr>
        <w:rPr>
          <w:color w:val="auto"/>
          <w:highlight w:val="none"/>
        </w:rPr>
      </w:pPr>
    </w:p>
    <w:p>
      <w:pPr>
        <w:pStyle w:val="8"/>
        <w:rPr>
          <w:color w:val="auto"/>
          <w:highlight w:val="none"/>
        </w:rPr>
      </w:pPr>
    </w:p>
    <w:p>
      <w:pPr>
        <w:rPr>
          <w:color w:val="auto"/>
          <w:highlight w:val="none"/>
        </w:rPr>
      </w:pPr>
    </w:p>
    <w:p>
      <w:pPr>
        <w:pStyle w:val="35"/>
        <w:rPr>
          <w:color w:val="auto"/>
          <w:highlight w:val="none"/>
        </w:rPr>
      </w:pPr>
    </w:p>
    <w:p>
      <w:pPr>
        <w:rPr>
          <w:color w:val="auto"/>
          <w:highlight w:val="none"/>
        </w:rPr>
      </w:pPr>
    </w:p>
    <w:p>
      <w:pPr>
        <w:pStyle w:val="2"/>
        <w:rPr>
          <w:color w:val="auto"/>
          <w:highlight w:val="none"/>
        </w:rPr>
      </w:pPr>
    </w:p>
    <w:p>
      <w:pPr>
        <w:pStyle w:val="32"/>
      </w:pPr>
    </w:p>
    <w:p>
      <w:pPr>
        <w:pStyle w:val="25"/>
        <w:rPr>
          <w:rFonts w:hint="eastAsia" w:ascii="宋体" w:hAnsi="宋体" w:cs="宋体"/>
          <w:color w:val="auto"/>
          <w:highlight w:val="none"/>
        </w:rPr>
      </w:pPr>
    </w:p>
    <w:p>
      <w:pPr>
        <w:pStyle w:val="25"/>
        <w:rPr>
          <w:rFonts w:ascii="宋体" w:cs="宋体"/>
          <w:color w:val="auto"/>
          <w:highlight w:val="none"/>
        </w:rPr>
      </w:pPr>
      <w:bookmarkStart w:id="109" w:name="_Toc7819"/>
      <w:r>
        <w:rPr>
          <w:rFonts w:hint="eastAsia" w:ascii="宋体" w:hAnsi="宋体" w:cs="宋体"/>
          <w:color w:val="auto"/>
          <w:highlight w:val="none"/>
        </w:rPr>
        <w:t>第六章</w:t>
      </w:r>
      <w:r>
        <w:rPr>
          <w:rFonts w:ascii="宋体" w:hAnsi="宋体" w:cs="宋体"/>
          <w:color w:val="auto"/>
          <w:highlight w:val="none"/>
        </w:rPr>
        <w:t xml:space="preserve">  </w:t>
      </w:r>
      <w:r>
        <w:rPr>
          <w:rFonts w:hint="eastAsia" w:ascii="宋体" w:hAnsi="宋体" w:cs="宋体"/>
          <w:color w:val="auto"/>
          <w:highlight w:val="none"/>
        </w:rPr>
        <w:t>响应文件格式</w:t>
      </w:r>
      <w:bookmarkEnd w:id="108"/>
      <w:bookmarkEnd w:id="109"/>
    </w:p>
    <w:p>
      <w:pPr>
        <w:spacing w:line="360" w:lineRule="exact"/>
        <w:rPr>
          <w:rFonts w:ascii="宋体" w:cs="宋体"/>
          <w:color w:val="auto"/>
          <w:szCs w:val="21"/>
          <w:highlight w:val="none"/>
        </w:rPr>
      </w:pPr>
    </w:p>
    <w:p>
      <w:pPr>
        <w:spacing w:line="360" w:lineRule="exact"/>
        <w:jc w:val="center"/>
        <w:rPr>
          <w:rFonts w:ascii="宋体" w:cs="宋体"/>
          <w:color w:val="auto"/>
          <w:szCs w:val="21"/>
          <w:highlight w:val="none"/>
        </w:rPr>
      </w:pPr>
      <w:r>
        <w:rPr>
          <w:rFonts w:ascii="宋体" w:hAnsi="宋体" w:cs="宋体"/>
          <w:color w:val="auto"/>
          <w:szCs w:val="21"/>
          <w:highlight w:val="none"/>
        </w:rPr>
        <w:t xml:space="preserve">                                                                     </w:t>
      </w:r>
    </w:p>
    <w:p>
      <w:pPr>
        <w:spacing w:line="360" w:lineRule="exact"/>
        <w:ind w:right="420"/>
        <w:outlineLvl w:val="0"/>
        <w:rPr>
          <w:rFonts w:ascii="宋体" w:cs="宋体"/>
          <w:color w:val="auto"/>
          <w:szCs w:val="21"/>
          <w:highlight w:val="none"/>
        </w:rPr>
      </w:pPr>
    </w:p>
    <w:p>
      <w:pPr>
        <w:spacing w:line="360" w:lineRule="exact"/>
        <w:ind w:right="315"/>
        <w:outlineLvl w:val="0"/>
        <w:rPr>
          <w:rFonts w:ascii="宋体" w:cs="宋体"/>
          <w:color w:val="auto"/>
          <w:szCs w:val="21"/>
          <w:highlight w:val="none"/>
        </w:rPr>
      </w:pPr>
    </w:p>
    <w:p>
      <w:pPr>
        <w:spacing w:line="360" w:lineRule="exact"/>
        <w:rPr>
          <w:rFonts w:ascii="宋体" w:cs="宋体"/>
          <w:b/>
          <w:color w:val="auto"/>
          <w:sz w:val="44"/>
          <w:szCs w:val="44"/>
          <w:highlight w:val="none"/>
        </w:rPr>
      </w:pPr>
    </w:p>
    <w:p>
      <w:pPr>
        <w:spacing w:line="360" w:lineRule="exact"/>
        <w:jc w:val="center"/>
        <w:rPr>
          <w:rFonts w:hint="eastAsia" w:ascii="宋体" w:eastAsia="宋体" w:cs="宋体"/>
          <w:b/>
          <w:color w:val="auto"/>
          <w:sz w:val="36"/>
          <w:szCs w:val="36"/>
          <w:highlight w:val="none"/>
          <w:u w:val="single"/>
          <w:lang w:eastAsia="zh-CN"/>
        </w:rPr>
      </w:pPr>
      <w:r>
        <w:rPr>
          <w:rFonts w:ascii="宋体" w:hAnsi="宋体" w:cs="宋体"/>
          <w:b/>
          <w:color w:val="auto"/>
          <w:sz w:val="36"/>
          <w:szCs w:val="36"/>
          <w:highlight w:val="none"/>
          <w:u w:val="single"/>
        </w:rPr>
        <w:t xml:space="preserve">                          </w:t>
      </w:r>
      <w:r>
        <w:rPr>
          <w:rFonts w:hint="eastAsia" w:ascii="宋体" w:hAnsi="宋体" w:cs="宋体"/>
          <w:b/>
          <w:color w:val="auto"/>
          <w:sz w:val="36"/>
          <w:szCs w:val="36"/>
          <w:highlight w:val="none"/>
        </w:rPr>
        <w:t>项目</w:t>
      </w:r>
    </w:p>
    <w:p>
      <w:pPr>
        <w:spacing w:line="480" w:lineRule="exact"/>
        <w:jc w:val="center"/>
        <w:rPr>
          <w:rFonts w:ascii="宋体" w:cs="宋体"/>
          <w:color w:val="auto"/>
          <w:spacing w:val="-20"/>
          <w:sz w:val="44"/>
          <w:szCs w:val="44"/>
          <w:highlight w:val="none"/>
        </w:rPr>
      </w:pPr>
    </w:p>
    <w:p>
      <w:pPr>
        <w:spacing w:line="480" w:lineRule="exact"/>
        <w:jc w:val="center"/>
        <w:rPr>
          <w:rFonts w:ascii="宋体" w:cs="宋体"/>
          <w:b/>
          <w:color w:val="auto"/>
          <w:sz w:val="44"/>
          <w:szCs w:val="44"/>
          <w:highlight w:val="none"/>
        </w:rPr>
      </w:pPr>
      <w:r>
        <w:rPr>
          <w:rFonts w:hint="eastAsia" w:ascii="宋体" w:hAnsi="宋体" w:cs="宋体"/>
          <w:b/>
          <w:color w:val="auto"/>
          <w:sz w:val="44"/>
          <w:szCs w:val="44"/>
          <w:highlight w:val="none"/>
        </w:rPr>
        <w:t>（参考格式）</w:t>
      </w:r>
    </w:p>
    <w:p>
      <w:pPr>
        <w:spacing w:line="480" w:lineRule="exact"/>
        <w:rPr>
          <w:rFonts w:ascii="宋体" w:cs="宋体"/>
          <w:b/>
          <w:color w:val="auto"/>
          <w:sz w:val="44"/>
          <w:szCs w:val="44"/>
          <w:highlight w:val="none"/>
        </w:rPr>
      </w:pPr>
    </w:p>
    <w:p>
      <w:pPr>
        <w:spacing w:line="480" w:lineRule="exact"/>
        <w:jc w:val="center"/>
        <w:rPr>
          <w:rFonts w:ascii="宋体" w:cs="宋体"/>
          <w:b/>
          <w:color w:val="auto"/>
          <w:sz w:val="44"/>
          <w:szCs w:val="44"/>
          <w:highlight w:val="none"/>
        </w:rPr>
      </w:pPr>
      <w:r>
        <w:rPr>
          <w:rFonts w:hint="eastAsia" w:ascii="宋体" w:hAnsi="宋体" w:cs="宋体"/>
          <w:b/>
          <w:color w:val="auto"/>
          <w:sz w:val="44"/>
          <w:szCs w:val="44"/>
          <w:highlight w:val="none"/>
        </w:rPr>
        <w:t>响</w:t>
      </w:r>
      <w:r>
        <w:rPr>
          <w:rFonts w:ascii="宋体" w:hAnsi="宋体" w:cs="宋体"/>
          <w:b/>
          <w:color w:val="auto"/>
          <w:sz w:val="44"/>
          <w:szCs w:val="44"/>
          <w:highlight w:val="none"/>
        </w:rPr>
        <w:t xml:space="preserve"> </w:t>
      </w:r>
      <w:r>
        <w:rPr>
          <w:rFonts w:hint="eastAsia" w:ascii="宋体" w:hAnsi="宋体" w:cs="宋体"/>
          <w:b/>
          <w:color w:val="auto"/>
          <w:sz w:val="44"/>
          <w:szCs w:val="44"/>
          <w:highlight w:val="none"/>
        </w:rPr>
        <w:t>应</w:t>
      </w:r>
      <w:r>
        <w:rPr>
          <w:rFonts w:ascii="宋体" w:hAnsi="宋体" w:cs="宋体"/>
          <w:b/>
          <w:color w:val="auto"/>
          <w:sz w:val="44"/>
          <w:szCs w:val="44"/>
          <w:highlight w:val="none"/>
        </w:rPr>
        <w:t xml:space="preserve"> </w:t>
      </w:r>
      <w:r>
        <w:rPr>
          <w:rFonts w:hint="eastAsia" w:ascii="宋体" w:hAnsi="宋体" w:cs="宋体"/>
          <w:b/>
          <w:color w:val="auto"/>
          <w:sz w:val="44"/>
          <w:szCs w:val="44"/>
          <w:highlight w:val="none"/>
        </w:rPr>
        <w:t>文</w:t>
      </w:r>
      <w:r>
        <w:rPr>
          <w:rFonts w:ascii="宋体" w:hAnsi="宋体" w:cs="宋体"/>
          <w:b/>
          <w:color w:val="auto"/>
          <w:sz w:val="44"/>
          <w:szCs w:val="44"/>
          <w:highlight w:val="none"/>
        </w:rPr>
        <w:t xml:space="preserve"> </w:t>
      </w:r>
      <w:r>
        <w:rPr>
          <w:rFonts w:hint="eastAsia" w:ascii="宋体" w:hAnsi="宋体" w:cs="宋体"/>
          <w:b/>
          <w:color w:val="auto"/>
          <w:sz w:val="44"/>
          <w:szCs w:val="44"/>
          <w:highlight w:val="none"/>
        </w:rPr>
        <w:t>件</w:t>
      </w:r>
    </w:p>
    <w:p>
      <w:pPr>
        <w:spacing w:line="480" w:lineRule="exact"/>
        <w:jc w:val="center"/>
        <w:rPr>
          <w:rFonts w:ascii="宋体" w:cs="宋体"/>
          <w:b/>
          <w:color w:val="auto"/>
          <w:sz w:val="44"/>
          <w:szCs w:val="44"/>
          <w:highlight w:val="none"/>
        </w:rPr>
      </w:pPr>
    </w:p>
    <w:p>
      <w:pPr>
        <w:spacing w:line="480" w:lineRule="exact"/>
        <w:jc w:val="center"/>
        <w:rPr>
          <w:rFonts w:ascii="宋体" w:cs="宋体"/>
          <w:color w:val="auto"/>
          <w:szCs w:val="21"/>
          <w:highlight w:val="none"/>
        </w:rPr>
      </w:pPr>
      <w:r>
        <w:rPr>
          <w:rFonts w:hint="eastAsia" w:ascii="宋体" w:hAnsi="宋体" w:cs="宋体"/>
          <w:color w:val="auto"/>
          <w:szCs w:val="21"/>
          <w:highlight w:val="none"/>
        </w:rPr>
        <w:t>项目编号：温交易</w:t>
      </w:r>
      <w:r>
        <w:rPr>
          <w:rFonts w:ascii="宋体" w:hAnsi="宋体" w:cs="宋体"/>
          <w:color w:val="auto"/>
          <w:szCs w:val="21"/>
          <w:highlight w:val="none"/>
        </w:rPr>
        <w:t>[20</w:t>
      </w: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r>
        <w:rPr>
          <w:rFonts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号</w:t>
      </w:r>
    </w:p>
    <w:p>
      <w:pPr>
        <w:spacing w:line="480" w:lineRule="exact"/>
        <w:jc w:val="center"/>
        <w:rPr>
          <w:rFonts w:ascii="宋体" w:cs="宋体"/>
          <w:color w:val="auto"/>
          <w:szCs w:val="21"/>
          <w:highlight w:val="none"/>
        </w:rPr>
      </w:pPr>
      <w:r>
        <w:rPr>
          <w:rFonts w:hint="eastAsia" w:ascii="宋体" w:hAnsi="宋体" w:cs="宋体"/>
          <w:color w:val="auto"/>
          <w:szCs w:val="21"/>
          <w:highlight w:val="none"/>
        </w:rPr>
        <w:t>采购编号：温政采</w:t>
      </w:r>
      <w:r>
        <w:rPr>
          <w:rFonts w:ascii="宋体" w:hAnsi="宋体" w:cs="宋体"/>
          <w:color w:val="auto"/>
          <w:szCs w:val="21"/>
          <w:highlight w:val="none"/>
        </w:rPr>
        <w:t>[20</w:t>
      </w: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r>
        <w:rPr>
          <w:rFonts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号</w:t>
      </w:r>
    </w:p>
    <w:p>
      <w:pPr>
        <w:spacing w:line="480" w:lineRule="exact"/>
        <w:jc w:val="center"/>
        <w:rPr>
          <w:rFonts w:ascii="宋体" w:cs="宋体"/>
          <w:color w:val="auto"/>
          <w:szCs w:val="21"/>
          <w:highlight w:val="none"/>
        </w:rPr>
      </w:pPr>
      <w:r>
        <w:rPr>
          <w:rFonts w:ascii="宋体" w:hAnsi="宋体" w:cs="宋体"/>
          <w:color w:val="auto"/>
          <w:szCs w:val="21"/>
          <w:highlight w:val="none"/>
        </w:rPr>
        <w:t xml:space="preserve">          </w:t>
      </w:r>
    </w:p>
    <w:p>
      <w:pPr>
        <w:spacing w:line="480" w:lineRule="exact"/>
        <w:rPr>
          <w:rFonts w:ascii="宋体" w:cs="宋体"/>
          <w:color w:val="auto"/>
          <w:szCs w:val="21"/>
          <w:highlight w:val="none"/>
        </w:rPr>
      </w:pPr>
    </w:p>
    <w:p>
      <w:pPr>
        <w:spacing w:line="48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rPr>
          <w:rFonts w:ascii="宋体" w:cs="宋体"/>
          <w:color w:val="auto"/>
          <w:szCs w:val="21"/>
          <w:highlight w:val="none"/>
        </w:rPr>
      </w:pPr>
    </w:p>
    <w:p>
      <w:pPr>
        <w:spacing w:line="360" w:lineRule="exact"/>
        <w:outlineLvl w:val="0"/>
        <w:rPr>
          <w:rFonts w:ascii="宋体" w:cs="宋体"/>
          <w:color w:val="auto"/>
          <w:szCs w:val="21"/>
          <w:highlight w:val="none"/>
        </w:rPr>
      </w:pPr>
    </w:p>
    <w:p>
      <w:pPr>
        <w:spacing w:line="360" w:lineRule="exact"/>
        <w:outlineLvl w:val="0"/>
        <w:rPr>
          <w:rFonts w:ascii="宋体" w:cs="宋体"/>
          <w:color w:val="auto"/>
          <w:szCs w:val="21"/>
          <w:highlight w:val="none"/>
        </w:rPr>
      </w:pPr>
    </w:p>
    <w:p>
      <w:pPr>
        <w:spacing w:line="480" w:lineRule="exact"/>
        <w:rPr>
          <w:rFonts w:ascii="宋体" w:cs="宋体"/>
          <w:b/>
          <w:color w:val="auto"/>
          <w:sz w:val="28"/>
          <w:szCs w:val="28"/>
          <w:highlight w:val="none"/>
        </w:rPr>
      </w:pPr>
      <w:r>
        <w:rPr>
          <w:rFonts w:ascii="宋体" w:hAnsi="宋体" w:cs="宋体"/>
          <w:b/>
          <w:color w:val="auto"/>
          <w:sz w:val="28"/>
          <w:szCs w:val="28"/>
          <w:highlight w:val="none"/>
        </w:rPr>
        <w:t xml:space="preserve">              </w:t>
      </w:r>
      <w:r>
        <w:rPr>
          <w:rFonts w:hint="eastAsia" w:ascii="宋体" w:hAnsi="宋体" w:cs="宋体"/>
          <w:b/>
          <w:color w:val="auto"/>
          <w:sz w:val="28"/>
          <w:szCs w:val="28"/>
          <w:highlight w:val="none"/>
        </w:rPr>
        <w:t>供应商：</w:t>
      </w:r>
      <w:r>
        <w:rPr>
          <w:rFonts w:ascii="宋体" w:hAnsi="宋体" w:cs="宋体"/>
          <w:b/>
          <w:color w:val="auto"/>
          <w:sz w:val="28"/>
          <w:szCs w:val="28"/>
          <w:highlight w:val="none"/>
          <w:u w:val="single"/>
        </w:rPr>
        <w:t xml:space="preserve"> </w:t>
      </w:r>
      <w:r>
        <w:rPr>
          <w:rFonts w:hint="eastAsia" w:ascii="宋体" w:hAnsi="宋体" w:cs="宋体"/>
          <w:b/>
          <w:color w:val="auto"/>
          <w:sz w:val="28"/>
          <w:szCs w:val="28"/>
          <w:highlight w:val="none"/>
          <w:u w:val="single"/>
        </w:rPr>
        <w:t>单位全称（加盖单位公章）</w:t>
      </w:r>
    </w:p>
    <w:p>
      <w:pPr>
        <w:spacing w:line="480" w:lineRule="exact"/>
        <w:ind w:firstLine="1397" w:firstLineChars="497"/>
        <w:rPr>
          <w:rFonts w:ascii="宋体" w:cs="宋体"/>
          <w:b/>
          <w:color w:val="auto"/>
          <w:sz w:val="28"/>
          <w:szCs w:val="28"/>
          <w:highlight w:val="none"/>
          <w:u w:val="single"/>
        </w:rPr>
      </w:pPr>
      <w:r>
        <w:rPr>
          <w:rFonts w:ascii="宋体" w:hAnsi="宋体" w:cs="宋体"/>
          <w:b/>
          <w:color w:val="auto"/>
          <w:sz w:val="28"/>
          <w:szCs w:val="28"/>
          <w:highlight w:val="none"/>
        </w:rPr>
        <w:t xml:space="preserve">    </w:t>
      </w:r>
      <w:r>
        <w:rPr>
          <w:rFonts w:hint="eastAsia" w:ascii="宋体" w:hAnsi="宋体" w:cs="宋体"/>
          <w:b/>
          <w:color w:val="auto"/>
          <w:sz w:val="28"/>
          <w:szCs w:val="28"/>
          <w:highlight w:val="none"/>
        </w:rPr>
        <w:t>法定代表人或授权代理人：</w:t>
      </w:r>
      <w:r>
        <w:rPr>
          <w:rFonts w:hint="eastAsia" w:ascii="宋体" w:hAnsi="宋体" w:cs="宋体"/>
          <w:b/>
          <w:color w:val="auto"/>
          <w:sz w:val="28"/>
          <w:szCs w:val="28"/>
          <w:highlight w:val="none"/>
          <w:u w:val="single"/>
        </w:rPr>
        <w:t>（签字或加盖印鉴）</w:t>
      </w:r>
    </w:p>
    <w:p>
      <w:pPr>
        <w:spacing w:line="480" w:lineRule="exact"/>
        <w:jc w:val="center"/>
        <w:rPr>
          <w:rFonts w:ascii="宋体" w:cs="宋体"/>
          <w:b/>
          <w:color w:val="auto"/>
          <w:sz w:val="32"/>
          <w:szCs w:val="32"/>
          <w:highlight w:val="none"/>
        </w:rPr>
      </w:pPr>
      <w:r>
        <w:rPr>
          <w:rFonts w:hint="eastAsia" w:ascii="宋体" w:hAnsi="宋体" w:cs="宋体"/>
          <w:b/>
          <w:color w:val="auto"/>
          <w:sz w:val="28"/>
          <w:szCs w:val="28"/>
          <w:highlight w:val="none"/>
        </w:rPr>
        <w:t>年</w:t>
      </w:r>
      <w:r>
        <w:rPr>
          <w:rFonts w:ascii="宋体" w:hAnsi="宋体" w:cs="宋体"/>
          <w:b/>
          <w:color w:val="auto"/>
          <w:sz w:val="28"/>
          <w:szCs w:val="28"/>
          <w:highlight w:val="none"/>
        </w:rPr>
        <w:t xml:space="preserve">   </w:t>
      </w:r>
      <w:r>
        <w:rPr>
          <w:rFonts w:hint="eastAsia" w:ascii="宋体" w:hAnsi="宋体" w:cs="宋体"/>
          <w:b/>
          <w:color w:val="auto"/>
          <w:sz w:val="28"/>
          <w:szCs w:val="28"/>
          <w:highlight w:val="none"/>
        </w:rPr>
        <w:t>月</w:t>
      </w:r>
      <w:r>
        <w:rPr>
          <w:rFonts w:ascii="宋体" w:hAnsi="宋体" w:cs="宋体"/>
          <w:b/>
          <w:color w:val="auto"/>
          <w:sz w:val="28"/>
          <w:szCs w:val="28"/>
          <w:highlight w:val="none"/>
        </w:rPr>
        <w:t xml:space="preserve">   </w:t>
      </w:r>
      <w:r>
        <w:rPr>
          <w:rFonts w:hint="eastAsia" w:ascii="宋体" w:hAnsi="宋体" w:cs="宋体"/>
          <w:b/>
          <w:color w:val="auto"/>
          <w:sz w:val="28"/>
          <w:szCs w:val="28"/>
          <w:highlight w:val="none"/>
        </w:rPr>
        <w:t>日</w:t>
      </w:r>
    </w:p>
    <w:p>
      <w:pPr>
        <w:spacing w:line="360" w:lineRule="exact"/>
        <w:jc w:val="center"/>
        <w:rPr>
          <w:rFonts w:ascii="宋体" w:cs="宋体"/>
          <w:b/>
          <w:color w:val="auto"/>
          <w:sz w:val="32"/>
          <w:szCs w:val="32"/>
          <w:highlight w:val="none"/>
        </w:rPr>
      </w:pPr>
      <w:r>
        <w:rPr>
          <w:rFonts w:ascii="宋体" w:cs="宋体"/>
          <w:b/>
          <w:color w:val="auto"/>
          <w:sz w:val="32"/>
          <w:szCs w:val="32"/>
          <w:highlight w:val="none"/>
        </w:rPr>
        <w:br w:type="page"/>
      </w:r>
    </w:p>
    <w:p>
      <w:pPr>
        <w:spacing w:line="360" w:lineRule="exact"/>
        <w:jc w:val="center"/>
        <w:rPr>
          <w:rFonts w:ascii="宋体" w:cs="宋体"/>
          <w:b/>
          <w:color w:val="auto"/>
          <w:sz w:val="32"/>
          <w:szCs w:val="32"/>
          <w:highlight w:val="none"/>
        </w:rPr>
      </w:pPr>
      <w:r>
        <w:rPr>
          <w:rFonts w:hint="eastAsia" w:ascii="宋体" w:hAnsi="宋体" w:cs="宋体"/>
          <w:b/>
          <w:color w:val="auto"/>
          <w:sz w:val="32"/>
          <w:szCs w:val="32"/>
          <w:highlight w:val="none"/>
        </w:rPr>
        <w:t>目</w:t>
      </w:r>
      <w:r>
        <w:rPr>
          <w:rFonts w:ascii="宋体" w:hAnsi="宋体" w:cs="宋体"/>
          <w:b/>
          <w:color w:val="auto"/>
          <w:sz w:val="32"/>
          <w:szCs w:val="32"/>
          <w:highlight w:val="none"/>
        </w:rPr>
        <w:t xml:space="preserve">   </w:t>
      </w:r>
      <w:r>
        <w:rPr>
          <w:rFonts w:hint="eastAsia" w:ascii="宋体" w:hAnsi="宋体" w:cs="宋体"/>
          <w:b/>
          <w:color w:val="auto"/>
          <w:sz w:val="32"/>
          <w:szCs w:val="32"/>
          <w:highlight w:val="none"/>
        </w:rPr>
        <w:t>录</w:t>
      </w:r>
    </w:p>
    <w:p>
      <w:pPr>
        <w:spacing w:line="360" w:lineRule="exact"/>
        <w:jc w:val="center"/>
        <w:rPr>
          <w:rFonts w:ascii="宋体" w:cs="宋体"/>
          <w:color w:val="auto"/>
          <w:sz w:val="28"/>
          <w:szCs w:val="28"/>
          <w:highlight w:val="none"/>
        </w:rPr>
      </w:pPr>
    </w:p>
    <w:p>
      <w:pPr>
        <w:spacing w:line="360" w:lineRule="exact"/>
        <w:jc w:val="center"/>
        <w:rPr>
          <w:rFonts w:ascii="宋体" w:cs="宋体"/>
          <w:color w:val="auto"/>
          <w:sz w:val="28"/>
          <w:szCs w:val="28"/>
          <w:highlight w:val="none"/>
        </w:rPr>
      </w:pPr>
    </w:p>
    <w:p>
      <w:pPr>
        <w:spacing w:line="360" w:lineRule="exact"/>
        <w:jc w:val="center"/>
        <w:rPr>
          <w:rFonts w:ascii="宋体" w:cs="宋体"/>
          <w:color w:val="auto"/>
          <w:sz w:val="28"/>
          <w:szCs w:val="28"/>
          <w:highlight w:val="none"/>
        </w:rPr>
      </w:pPr>
      <w:r>
        <w:rPr>
          <w:rFonts w:hint="eastAsia" w:ascii="宋体" w:hAnsi="宋体" w:cs="宋体"/>
          <w:color w:val="auto"/>
          <w:sz w:val="28"/>
          <w:szCs w:val="28"/>
          <w:highlight w:val="none"/>
        </w:rPr>
        <w:t>（建议按照竞争性磋商文件《参考格式》顺序编写）</w:t>
      </w:r>
    </w:p>
    <w:p>
      <w:pPr>
        <w:spacing w:line="360" w:lineRule="exact"/>
        <w:jc w:val="center"/>
        <w:rPr>
          <w:rFonts w:ascii="宋体" w:cs="宋体"/>
          <w:b/>
          <w:color w:val="auto"/>
          <w:sz w:val="28"/>
          <w:szCs w:val="28"/>
          <w:highlight w:val="none"/>
        </w:rPr>
      </w:pPr>
    </w:p>
    <w:p>
      <w:pPr>
        <w:spacing w:line="60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一、磋商函及磋商函附录</w:t>
      </w:r>
      <w:r>
        <w:rPr>
          <w:rFonts w:ascii="宋体" w:cs="宋体"/>
          <w:color w:val="auto"/>
          <w:szCs w:val="21"/>
          <w:highlight w:val="none"/>
        </w:rPr>
        <w:tab/>
      </w:r>
    </w:p>
    <w:p>
      <w:pPr>
        <w:spacing w:line="600" w:lineRule="exact"/>
        <w:ind w:firstLine="1058" w:firstLineChars="504"/>
        <w:rPr>
          <w:rFonts w:ascii="宋体" w:cs="宋体"/>
          <w:color w:val="auto"/>
          <w:szCs w:val="21"/>
          <w:highlight w:val="none"/>
        </w:rPr>
      </w:pPr>
      <w:r>
        <w:rPr>
          <w:rFonts w:hint="eastAsia" w:ascii="宋体" w:hAnsi="宋体" w:cs="宋体"/>
          <w:color w:val="auto"/>
          <w:szCs w:val="21"/>
          <w:highlight w:val="none"/>
        </w:rPr>
        <w:t>（一）磋商函</w:t>
      </w:r>
      <w:r>
        <w:rPr>
          <w:rFonts w:ascii="宋体" w:cs="宋体"/>
          <w:color w:val="auto"/>
          <w:szCs w:val="21"/>
          <w:highlight w:val="none"/>
        </w:rPr>
        <w:tab/>
      </w:r>
    </w:p>
    <w:p>
      <w:pPr>
        <w:spacing w:line="600" w:lineRule="exact"/>
        <w:ind w:firstLine="1058" w:firstLineChars="504"/>
        <w:rPr>
          <w:rFonts w:ascii="宋体" w:hAnsi="宋体" w:cs="宋体"/>
          <w:color w:val="auto"/>
          <w:szCs w:val="21"/>
          <w:highlight w:val="none"/>
        </w:rPr>
      </w:pPr>
      <w:r>
        <w:rPr>
          <w:rFonts w:hint="eastAsia" w:ascii="宋体" w:hAnsi="宋体" w:cs="宋体"/>
          <w:color w:val="auto"/>
          <w:szCs w:val="21"/>
          <w:highlight w:val="none"/>
        </w:rPr>
        <w:t>（二）磋商函附录</w:t>
      </w:r>
    </w:p>
    <w:p>
      <w:pPr>
        <w:spacing w:line="600" w:lineRule="exact"/>
        <w:ind w:firstLine="1058" w:firstLineChars="504"/>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二</w:t>
      </w:r>
      <w:r>
        <w:rPr>
          <w:rFonts w:hint="eastAsia" w:ascii="宋体" w:hAnsi="宋体" w:cs="宋体"/>
          <w:color w:val="auto"/>
          <w:szCs w:val="21"/>
          <w:highlight w:val="none"/>
        </w:rPr>
        <w:t>、</w:t>
      </w:r>
      <w:r>
        <w:rPr>
          <w:rFonts w:hint="eastAsia" w:ascii="宋体" w:hAnsi="宋体" w:cs="宋体"/>
          <w:color w:val="auto"/>
          <w:szCs w:val="21"/>
          <w:highlight w:val="none"/>
          <w:lang w:eastAsia="zh-CN"/>
        </w:rPr>
        <w:t>货物分项报价一览表</w:t>
      </w:r>
    </w:p>
    <w:p>
      <w:pPr>
        <w:spacing w:line="600" w:lineRule="exact"/>
        <w:ind w:firstLine="1058" w:firstLineChars="504"/>
        <w:rPr>
          <w:rFonts w:ascii="宋体" w:hAnsi="宋体" w:cs="宋体"/>
          <w:color w:val="auto"/>
          <w:szCs w:val="21"/>
          <w:highlight w:val="none"/>
        </w:rPr>
      </w:pPr>
      <w:r>
        <w:rPr>
          <w:rFonts w:hint="eastAsia" w:ascii="宋体" w:hAnsi="宋体" w:cs="宋体"/>
          <w:color w:val="auto"/>
          <w:szCs w:val="21"/>
          <w:highlight w:val="none"/>
          <w:lang w:eastAsia="zh-CN"/>
        </w:rPr>
        <w:t>三、（</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法定代表人（负责人）身份证明</w:t>
      </w:r>
    </w:p>
    <w:p>
      <w:pPr>
        <w:spacing w:line="600" w:lineRule="exact"/>
        <w:ind w:firstLine="1470" w:firstLineChars="700"/>
        <w:rPr>
          <w:rFonts w:ascii="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授权委托书</w:t>
      </w:r>
    </w:p>
    <w:p>
      <w:pPr>
        <w:spacing w:line="600" w:lineRule="exact"/>
        <w:ind w:firstLine="1058" w:firstLineChars="504"/>
        <w:rPr>
          <w:rFonts w:ascii="宋体" w:cs="宋体"/>
          <w:color w:val="auto"/>
          <w:szCs w:val="21"/>
          <w:highlight w:val="none"/>
        </w:rPr>
      </w:pPr>
      <w:r>
        <w:rPr>
          <w:rFonts w:hint="eastAsia" w:ascii="宋体" w:hAnsi="宋体" w:cs="宋体"/>
          <w:color w:val="auto"/>
          <w:szCs w:val="21"/>
          <w:highlight w:val="none"/>
          <w:lang w:eastAsia="zh-CN"/>
        </w:rPr>
        <w:t>四</w:t>
      </w:r>
      <w:r>
        <w:rPr>
          <w:rFonts w:hint="eastAsia" w:ascii="宋体" w:hAnsi="宋体" w:cs="宋体"/>
          <w:color w:val="auto"/>
          <w:szCs w:val="21"/>
          <w:highlight w:val="none"/>
        </w:rPr>
        <w:t>、供应商基本情况表</w:t>
      </w:r>
      <w:r>
        <w:rPr>
          <w:rFonts w:ascii="宋体" w:cs="宋体"/>
          <w:color w:val="auto"/>
          <w:szCs w:val="21"/>
          <w:highlight w:val="none"/>
        </w:rPr>
        <w:tab/>
      </w:r>
    </w:p>
    <w:p>
      <w:pPr>
        <w:spacing w:line="600" w:lineRule="exact"/>
        <w:ind w:firstLine="1058" w:firstLineChars="504"/>
        <w:rPr>
          <w:rFonts w:hint="eastAsia" w:ascii="宋体" w:hAnsi="宋体" w:eastAsia="宋体" w:cs="宋体"/>
          <w:color w:val="auto"/>
          <w:szCs w:val="21"/>
          <w:highlight w:val="none"/>
          <w:lang w:eastAsia="zh-CN"/>
        </w:rPr>
      </w:pPr>
      <w:r>
        <w:rPr>
          <w:rFonts w:hint="eastAsia" w:ascii="宋体" w:cs="宋体"/>
          <w:color w:val="auto"/>
          <w:szCs w:val="21"/>
          <w:highlight w:val="none"/>
          <w:lang w:eastAsia="zh-CN"/>
        </w:rPr>
        <w:t>五</w:t>
      </w:r>
      <w:r>
        <w:rPr>
          <w:rFonts w:hint="eastAsia" w:ascii="宋体" w:hAnsi="宋体" w:cs="宋体"/>
          <w:color w:val="auto"/>
          <w:szCs w:val="21"/>
          <w:highlight w:val="none"/>
        </w:rPr>
        <w:t>、</w:t>
      </w:r>
      <w:r>
        <w:rPr>
          <w:rFonts w:hint="eastAsia" w:ascii="宋体" w:hAnsi="宋体" w:cs="宋体"/>
          <w:color w:val="auto"/>
          <w:szCs w:val="21"/>
          <w:highlight w:val="none"/>
          <w:lang w:eastAsia="zh-CN"/>
        </w:rPr>
        <w:t>企业</w:t>
      </w:r>
      <w:r>
        <w:rPr>
          <w:rFonts w:hint="eastAsia" w:ascii="宋体" w:cs="宋体"/>
          <w:color w:val="auto"/>
          <w:szCs w:val="21"/>
          <w:highlight w:val="none"/>
          <w:lang w:eastAsia="zh-CN"/>
        </w:rPr>
        <w:t>业绩</w:t>
      </w:r>
    </w:p>
    <w:p>
      <w:pPr>
        <w:spacing w:line="600" w:lineRule="exact"/>
        <w:ind w:firstLine="1058" w:firstLineChars="504"/>
        <w:rPr>
          <w:rFonts w:ascii="宋体" w:cs="宋体"/>
          <w:color w:val="auto"/>
          <w:szCs w:val="21"/>
          <w:highlight w:val="none"/>
        </w:rPr>
      </w:pPr>
      <w:r>
        <w:rPr>
          <w:rFonts w:hint="eastAsia" w:ascii="宋体" w:cs="宋体"/>
          <w:color w:val="auto"/>
          <w:szCs w:val="21"/>
          <w:highlight w:val="none"/>
          <w:lang w:eastAsia="zh-CN"/>
        </w:rPr>
        <w:t>六、技术及综合部分</w:t>
      </w:r>
    </w:p>
    <w:p>
      <w:pPr>
        <w:spacing w:line="600" w:lineRule="exact"/>
        <w:ind w:firstLine="1058" w:firstLineChars="504"/>
        <w:rPr>
          <w:rFonts w:ascii="宋体" w:cs="宋体"/>
          <w:color w:val="auto"/>
          <w:szCs w:val="21"/>
          <w:highlight w:val="none"/>
        </w:rPr>
      </w:pPr>
      <w:r>
        <w:rPr>
          <w:rFonts w:hint="eastAsia" w:ascii="宋体" w:hAnsi="宋体" w:cs="宋体"/>
          <w:color w:val="auto"/>
          <w:szCs w:val="21"/>
          <w:highlight w:val="none"/>
          <w:lang w:eastAsia="zh-CN"/>
        </w:rPr>
        <w:t>七</w:t>
      </w:r>
      <w:r>
        <w:rPr>
          <w:rFonts w:hint="eastAsia" w:ascii="宋体" w:cs="宋体"/>
          <w:color w:val="auto"/>
          <w:szCs w:val="21"/>
          <w:highlight w:val="none"/>
        </w:rPr>
        <w:t>、</w:t>
      </w:r>
      <w:r>
        <w:rPr>
          <w:rFonts w:hint="eastAsia" w:ascii="宋体" w:hAnsi="宋体" w:cs="宋体"/>
          <w:color w:val="auto"/>
          <w:szCs w:val="21"/>
          <w:highlight w:val="none"/>
        </w:rPr>
        <w:t>反商业贿赂承诺书</w:t>
      </w:r>
    </w:p>
    <w:p>
      <w:pPr>
        <w:spacing w:line="600" w:lineRule="exact"/>
        <w:ind w:firstLine="1058" w:firstLineChars="504"/>
        <w:rPr>
          <w:rFonts w:ascii="宋体" w:cs="宋体"/>
          <w:color w:val="auto"/>
          <w:szCs w:val="21"/>
          <w:highlight w:val="none"/>
        </w:rPr>
      </w:pPr>
      <w:r>
        <w:rPr>
          <w:rFonts w:hint="eastAsia" w:ascii="宋体" w:hAnsi="宋体" w:cs="宋体"/>
          <w:color w:val="auto"/>
          <w:szCs w:val="21"/>
          <w:highlight w:val="none"/>
          <w:lang w:eastAsia="zh-CN"/>
        </w:rPr>
        <w:t>八</w:t>
      </w:r>
      <w:r>
        <w:rPr>
          <w:rFonts w:hint="eastAsia" w:ascii="宋体" w:hAnsi="宋体" w:cs="宋体"/>
          <w:color w:val="auto"/>
          <w:szCs w:val="21"/>
          <w:highlight w:val="none"/>
        </w:rPr>
        <w:t>、无行贿承诺书格式</w:t>
      </w:r>
    </w:p>
    <w:p>
      <w:pPr>
        <w:spacing w:line="600" w:lineRule="exact"/>
        <w:ind w:firstLine="1058" w:firstLineChars="504"/>
        <w:rPr>
          <w:rFonts w:ascii="宋体" w:cs="宋体"/>
          <w:color w:val="auto"/>
          <w:szCs w:val="21"/>
          <w:highlight w:val="none"/>
        </w:rPr>
      </w:pPr>
      <w:r>
        <w:rPr>
          <w:rFonts w:hint="eastAsia" w:ascii="宋体" w:hAnsi="宋体" w:cs="宋体"/>
          <w:color w:val="auto"/>
          <w:szCs w:val="21"/>
          <w:highlight w:val="none"/>
          <w:lang w:eastAsia="zh-CN"/>
        </w:rPr>
        <w:t>九</w:t>
      </w:r>
      <w:r>
        <w:rPr>
          <w:rFonts w:hint="eastAsia" w:ascii="宋体" w:hAnsi="宋体" w:cs="宋体"/>
          <w:color w:val="auto"/>
          <w:szCs w:val="21"/>
          <w:highlight w:val="none"/>
        </w:rPr>
        <w:t>、资</w:t>
      </w:r>
      <w:r>
        <w:rPr>
          <w:rFonts w:ascii="宋体" w:hAnsi="宋体" w:cs="宋体"/>
          <w:color w:val="auto"/>
          <w:szCs w:val="21"/>
          <w:highlight w:val="none"/>
        </w:rPr>
        <w:t xml:space="preserve"> </w:t>
      </w:r>
      <w:r>
        <w:rPr>
          <w:rFonts w:hint="eastAsia" w:ascii="宋体" w:hAnsi="宋体" w:cs="宋体"/>
          <w:color w:val="auto"/>
          <w:szCs w:val="21"/>
          <w:highlight w:val="none"/>
        </w:rPr>
        <w:t>格</w:t>
      </w:r>
      <w:r>
        <w:rPr>
          <w:rFonts w:ascii="宋体" w:hAnsi="宋体" w:cs="宋体"/>
          <w:color w:val="auto"/>
          <w:szCs w:val="21"/>
          <w:highlight w:val="none"/>
        </w:rPr>
        <w:t xml:space="preserve"> </w:t>
      </w:r>
      <w:r>
        <w:rPr>
          <w:rFonts w:hint="eastAsia" w:ascii="宋体" w:hAnsi="宋体" w:cs="宋体"/>
          <w:color w:val="auto"/>
          <w:szCs w:val="21"/>
          <w:highlight w:val="none"/>
        </w:rPr>
        <w:t>证</w:t>
      </w:r>
      <w:r>
        <w:rPr>
          <w:rFonts w:ascii="宋体" w:hAnsi="宋体" w:cs="宋体"/>
          <w:color w:val="auto"/>
          <w:szCs w:val="21"/>
          <w:highlight w:val="none"/>
        </w:rPr>
        <w:t xml:space="preserve"> </w:t>
      </w:r>
      <w:r>
        <w:rPr>
          <w:rFonts w:hint="eastAsia" w:ascii="宋体" w:hAnsi="宋体" w:cs="宋体"/>
          <w:color w:val="auto"/>
          <w:szCs w:val="21"/>
          <w:highlight w:val="none"/>
        </w:rPr>
        <w:t>明</w:t>
      </w:r>
      <w:r>
        <w:rPr>
          <w:rFonts w:ascii="宋体" w:hAnsi="宋体" w:cs="宋体"/>
          <w:color w:val="auto"/>
          <w:szCs w:val="21"/>
          <w:highlight w:val="none"/>
        </w:rPr>
        <w:t xml:space="preserve"> </w:t>
      </w:r>
      <w:r>
        <w:rPr>
          <w:rFonts w:hint="eastAsia" w:ascii="宋体" w:hAnsi="宋体" w:cs="宋体"/>
          <w:color w:val="auto"/>
          <w:szCs w:val="21"/>
          <w:highlight w:val="none"/>
        </w:rPr>
        <w:t>文</w:t>
      </w:r>
      <w:r>
        <w:rPr>
          <w:rFonts w:ascii="宋体" w:hAnsi="宋体" w:cs="宋体"/>
          <w:color w:val="auto"/>
          <w:szCs w:val="21"/>
          <w:highlight w:val="none"/>
        </w:rPr>
        <w:t xml:space="preserve"> </w:t>
      </w:r>
      <w:r>
        <w:rPr>
          <w:rFonts w:hint="eastAsia" w:ascii="宋体" w:hAnsi="宋体" w:cs="宋体"/>
          <w:color w:val="auto"/>
          <w:szCs w:val="21"/>
          <w:highlight w:val="none"/>
        </w:rPr>
        <w:t>件</w:t>
      </w:r>
    </w:p>
    <w:p>
      <w:pPr>
        <w:spacing w:line="600" w:lineRule="exact"/>
        <w:ind w:firstLine="1058" w:firstLineChars="504"/>
        <w:rPr>
          <w:rFonts w:ascii="宋体" w:hAnsi="宋体" w:cs="宋体"/>
          <w:color w:val="auto"/>
          <w:szCs w:val="21"/>
          <w:highlight w:val="none"/>
        </w:rPr>
      </w:pPr>
      <w:r>
        <w:rPr>
          <w:rFonts w:hint="eastAsia" w:ascii="宋体" w:hAnsi="宋体" w:cs="宋体"/>
          <w:color w:val="auto"/>
          <w:szCs w:val="21"/>
          <w:highlight w:val="none"/>
        </w:rPr>
        <w:t>十、中小企业声明函</w:t>
      </w:r>
    </w:p>
    <w:p>
      <w:pPr>
        <w:spacing w:line="600" w:lineRule="exact"/>
        <w:ind w:firstLine="1058" w:firstLineChars="504"/>
        <w:rPr>
          <w:rFonts w:ascii="宋体" w:hAnsi="宋体" w:cs="宋体"/>
          <w:color w:val="auto"/>
          <w:szCs w:val="21"/>
          <w:highlight w:val="none"/>
        </w:rPr>
      </w:pPr>
      <w:r>
        <w:rPr>
          <w:rFonts w:hint="eastAsia" w:ascii="宋体" w:hAnsi="宋体" w:cs="宋体"/>
          <w:color w:val="auto"/>
          <w:szCs w:val="21"/>
          <w:highlight w:val="none"/>
        </w:rPr>
        <w:t>十</w:t>
      </w:r>
      <w:r>
        <w:rPr>
          <w:rFonts w:hint="eastAsia" w:ascii="宋体" w:hAnsi="宋体" w:cs="宋体"/>
          <w:color w:val="auto"/>
          <w:szCs w:val="21"/>
          <w:highlight w:val="none"/>
          <w:lang w:eastAsia="zh-CN"/>
        </w:rPr>
        <w:t>一</w:t>
      </w:r>
      <w:r>
        <w:rPr>
          <w:rFonts w:hint="eastAsia" w:ascii="宋体" w:hAnsi="宋体" w:cs="宋体"/>
          <w:color w:val="auto"/>
          <w:szCs w:val="21"/>
          <w:highlight w:val="none"/>
        </w:rPr>
        <w:t>、投标承诺函</w:t>
      </w:r>
    </w:p>
    <w:p>
      <w:pPr>
        <w:spacing w:line="600" w:lineRule="exact"/>
        <w:ind w:firstLine="1058" w:firstLineChars="504"/>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十</w:t>
      </w:r>
      <w:r>
        <w:rPr>
          <w:rFonts w:hint="eastAsia" w:ascii="宋体" w:hAnsi="宋体" w:cs="宋体"/>
          <w:color w:val="auto"/>
          <w:szCs w:val="21"/>
          <w:highlight w:val="none"/>
          <w:lang w:eastAsia="zh-CN"/>
        </w:rPr>
        <w:t>二</w:t>
      </w:r>
      <w:r>
        <w:rPr>
          <w:rFonts w:hint="eastAsia" w:ascii="宋体" w:hAnsi="宋体" w:cs="宋体"/>
          <w:color w:val="auto"/>
          <w:szCs w:val="21"/>
          <w:highlight w:val="none"/>
        </w:rPr>
        <w:t>、温县政府采购供应商资格信用</w:t>
      </w:r>
      <w:r>
        <w:rPr>
          <w:rFonts w:hint="eastAsia" w:ascii="宋体" w:hAnsi="宋体" w:cs="宋体"/>
          <w:color w:val="auto"/>
          <w:szCs w:val="21"/>
          <w:highlight w:val="none"/>
          <w:lang w:eastAsia="zh-CN"/>
        </w:rPr>
        <w:t>承诺函</w:t>
      </w:r>
    </w:p>
    <w:p>
      <w:pPr>
        <w:spacing w:line="600" w:lineRule="exact"/>
        <w:ind w:firstLine="1058" w:firstLineChars="504"/>
        <w:rPr>
          <w:rFonts w:ascii="宋体" w:hAnsi="宋体" w:cs="宋体"/>
          <w:color w:val="auto"/>
          <w:szCs w:val="21"/>
          <w:highlight w:val="none"/>
        </w:rPr>
      </w:pPr>
      <w:r>
        <w:rPr>
          <w:rFonts w:hint="eastAsia" w:ascii="宋体" w:hAnsi="宋体" w:cs="宋体"/>
          <w:color w:val="auto"/>
          <w:szCs w:val="21"/>
          <w:highlight w:val="none"/>
        </w:rPr>
        <w:t>十</w:t>
      </w:r>
      <w:r>
        <w:rPr>
          <w:rFonts w:hint="eastAsia" w:ascii="宋体" w:hAnsi="宋体" w:cs="宋体"/>
          <w:color w:val="auto"/>
          <w:szCs w:val="21"/>
          <w:highlight w:val="none"/>
          <w:lang w:eastAsia="zh-CN"/>
        </w:rPr>
        <w:t>三</w:t>
      </w:r>
      <w:r>
        <w:rPr>
          <w:rFonts w:hint="eastAsia" w:ascii="宋体" w:hAnsi="宋体" w:cs="宋体"/>
          <w:color w:val="auto"/>
          <w:szCs w:val="21"/>
          <w:highlight w:val="none"/>
        </w:rPr>
        <w:t>、供应商认为需要复印的其它材料</w:t>
      </w:r>
    </w:p>
    <w:p>
      <w:pPr>
        <w:spacing w:line="360" w:lineRule="exact"/>
        <w:jc w:val="center"/>
        <w:outlineLvl w:val="0"/>
        <w:rPr>
          <w:rFonts w:ascii="宋体" w:cs="宋体"/>
          <w:b/>
          <w:color w:val="auto"/>
          <w:szCs w:val="21"/>
          <w:highlight w:val="none"/>
        </w:rPr>
      </w:pPr>
    </w:p>
    <w:p>
      <w:pPr>
        <w:spacing w:line="360" w:lineRule="exact"/>
        <w:jc w:val="center"/>
        <w:outlineLvl w:val="0"/>
        <w:rPr>
          <w:rFonts w:ascii="宋体" w:cs="宋体"/>
          <w:b/>
          <w:color w:val="auto"/>
          <w:szCs w:val="21"/>
          <w:highlight w:val="none"/>
        </w:rPr>
      </w:pPr>
    </w:p>
    <w:p>
      <w:pPr>
        <w:spacing w:line="360" w:lineRule="exact"/>
        <w:outlineLvl w:val="0"/>
        <w:rPr>
          <w:rFonts w:ascii="宋体" w:cs="宋体"/>
          <w:b/>
          <w:color w:val="auto"/>
          <w:szCs w:val="21"/>
          <w:highlight w:val="none"/>
        </w:rPr>
      </w:pPr>
    </w:p>
    <w:p>
      <w:pPr>
        <w:pStyle w:val="20"/>
        <w:jc w:val="both"/>
        <w:rPr>
          <w:rFonts w:hint="eastAsia" w:ascii="宋体" w:hAnsi="宋体" w:cs="宋体"/>
          <w:color w:val="auto"/>
          <w:highlight w:val="none"/>
        </w:rPr>
      </w:pPr>
    </w:p>
    <w:p>
      <w:pPr>
        <w:pStyle w:val="20"/>
        <w:rPr>
          <w:rFonts w:ascii="宋体" w:cs="宋体"/>
          <w:color w:val="auto"/>
          <w:highlight w:val="none"/>
        </w:rPr>
      </w:pPr>
      <w:bookmarkStart w:id="110" w:name="_Toc30216"/>
      <w:r>
        <w:rPr>
          <w:rFonts w:hint="eastAsia" w:ascii="宋体" w:hAnsi="宋体" w:cs="宋体"/>
          <w:color w:val="auto"/>
          <w:highlight w:val="none"/>
        </w:rPr>
        <w:t>一、磋商函及磋商函附录</w:t>
      </w:r>
      <w:bookmarkEnd w:id="110"/>
    </w:p>
    <w:p>
      <w:pPr>
        <w:pStyle w:val="20"/>
        <w:rPr>
          <w:rFonts w:hint="eastAsia" w:ascii="宋体" w:hAnsi="宋体" w:cs="宋体"/>
          <w:color w:val="auto"/>
          <w:highlight w:val="none"/>
        </w:rPr>
      </w:pPr>
      <w:bookmarkStart w:id="111" w:name="_Toc29890"/>
      <w:r>
        <w:rPr>
          <w:rFonts w:hint="eastAsia" w:ascii="宋体" w:hAnsi="宋体" w:cs="宋体"/>
          <w:color w:val="auto"/>
          <w:highlight w:val="none"/>
        </w:rPr>
        <w:t>（一）磋商函</w:t>
      </w:r>
      <w:bookmarkEnd w:id="111"/>
    </w:p>
    <w:p>
      <w:pPr>
        <w:spacing w:line="360" w:lineRule="exact"/>
        <w:outlineLvl w:val="1"/>
        <w:rPr>
          <w:rFonts w:ascii="宋体" w:cs="宋体"/>
          <w:color w:val="auto"/>
          <w:sz w:val="21"/>
          <w:szCs w:val="21"/>
          <w:highlight w:val="none"/>
        </w:rPr>
      </w:pPr>
    </w:p>
    <w:p>
      <w:pPr>
        <w:spacing w:line="520" w:lineRule="exact"/>
        <w:rPr>
          <w:rFonts w:ascii="宋体" w:cs="宋体"/>
          <w:color w:val="auto"/>
          <w:sz w:val="21"/>
          <w:szCs w:val="21"/>
          <w:highlight w:val="none"/>
          <w:u w:val="single"/>
        </w:rPr>
      </w:pPr>
      <w:r>
        <w:rPr>
          <w:rFonts w:hint="eastAsia" w:ascii="宋体" w:hAnsi="宋体" w:cs="宋体"/>
          <w:b/>
          <w:color w:val="auto"/>
          <w:sz w:val="21"/>
          <w:szCs w:val="21"/>
          <w:highlight w:val="none"/>
        </w:rPr>
        <w:t>致：</w:t>
      </w:r>
      <w:r>
        <w:rPr>
          <w:rFonts w:ascii="宋体" w:hAnsi="宋体" w:cs="宋体"/>
          <w:b/>
          <w:color w:val="auto"/>
          <w:sz w:val="21"/>
          <w:szCs w:val="21"/>
          <w:highlight w:val="none"/>
          <w:u w:val="single"/>
        </w:rPr>
        <w:t xml:space="preserve">  </w:t>
      </w:r>
      <w:r>
        <w:rPr>
          <w:rFonts w:ascii="宋体" w:hAnsi="宋体" w:cs="宋体"/>
          <w:color w:val="auto"/>
          <w:sz w:val="21"/>
          <w:szCs w:val="21"/>
          <w:highlight w:val="none"/>
          <w:u w:val="single"/>
        </w:rPr>
        <w:t xml:space="preserve">          </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（采购人名称）</w:t>
      </w:r>
    </w:p>
    <w:p>
      <w:pPr>
        <w:spacing w:line="520" w:lineRule="exact"/>
        <w:rPr>
          <w:rFonts w:ascii="宋体" w:cs="宋体"/>
          <w:color w:val="auto"/>
          <w:sz w:val="21"/>
          <w:szCs w:val="21"/>
          <w:highlight w:val="none"/>
        </w:rPr>
      </w:pPr>
      <w:r>
        <w:rPr>
          <w:rFonts w:ascii="宋体" w:hAnsi="宋体" w:cs="宋体"/>
          <w:color w:val="auto"/>
          <w:sz w:val="21"/>
          <w:szCs w:val="21"/>
          <w:highlight w:val="none"/>
        </w:rPr>
        <w:t xml:space="preserve">    </w:t>
      </w:r>
      <w:r>
        <w:rPr>
          <w:rFonts w:hint="eastAsia" w:ascii="宋体" w:hAnsi="宋体" w:cs="宋体"/>
          <w:color w:val="auto"/>
          <w:sz w:val="21"/>
          <w:szCs w:val="21"/>
          <w:highlight w:val="none"/>
        </w:rPr>
        <w:t>根据贵方</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rPr>
        <w:t>（项目名称）磋商文件之投标邀请，签字代表：</w:t>
      </w:r>
      <w:r>
        <w:rPr>
          <w:rFonts w:hint="eastAsia" w:ascii="宋体" w:hAnsi="宋体" w:cs="宋体"/>
          <w:color w:val="auto"/>
          <w:sz w:val="21"/>
          <w:szCs w:val="21"/>
          <w:highlight w:val="none"/>
          <w:u w:val="single"/>
        </w:rPr>
        <w:t>（法定代表人或委托人）</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rPr>
        <w:t>正式授权并代表供应商</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（单位名称、单位地址）</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rPr>
        <w:t>提交</w:t>
      </w:r>
      <w:r>
        <w:rPr>
          <w:rFonts w:hint="eastAsia" w:ascii="宋体" w:hAnsi="宋体" w:cs="宋体"/>
          <w:color w:val="auto"/>
          <w:sz w:val="21"/>
          <w:szCs w:val="21"/>
          <w:highlight w:val="none"/>
          <w:lang w:eastAsia="zh-CN"/>
        </w:rPr>
        <w:t>响应文件</w:t>
      </w:r>
      <w:r>
        <w:rPr>
          <w:rFonts w:hint="eastAsia" w:ascii="宋体" w:hAnsi="宋体" w:cs="宋体"/>
          <w:color w:val="auto"/>
          <w:sz w:val="21"/>
          <w:szCs w:val="21"/>
          <w:highlight w:val="none"/>
        </w:rPr>
        <w:t>，并对之负法律责任。</w:t>
      </w:r>
      <w:r>
        <w:rPr>
          <w:rFonts w:ascii="宋体" w:hAnsi="宋体" w:cs="宋体"/>
          <w:color w:val="auto"/>
          <w:sz w:val="21"/>
          <w:szCs w:val="21"/>
          <w:highlight w:val="none"/>
        </w:rPr>
        <w:t xml:space="preserve"> </w:t>
      </w:r>
    </w:p>
    <w:p>
      <w:pPr>
        <w:spacing w:line="520" w:lineRule="exact"/>
        <w:ind w:firstLine="420" w:firstLineChars="200"/>
        <w:rPr>
          <w:rFonts w:ascii="宋体" w:cs="宋体"/>
          <w:color w:val="auto"/>
          <w:sz w:val="21"/>
          <w:szCs w:val="21"/>
          <w:highlight w:val="none"/>
        </w:rPr>
      </w:pPr>
      <w:r>
        <w:rPr>
          <w:rFonts w:hint="eastAsia" w:ascii="宋体" w:hAnsi="宋体" w:cs="宋体"/>
          <w:color w:val="auto"/>
          <w:sz w:val="21"/>
          <w:szCs w:val="21"/>
          <w:highlight w:val="none"/>
        </w:rPr>
        <w:t>据此函，签字代表宣布同意如下：</w:t>
      </w:r>
    </w:p>
    <w:p>
      <w:pPr>
        <w:spacing w:line="560" w:lineRule="exact"/>
        <w:rPr>
          <w:rFonts w:ascii="宋体" w:cs="宋体"/>
          <w:color w:val="auto"/>
          <w:sz w:val="21"/>
          <w:szCs w:val="21"/>
          <w:highlight w:val="none"/>
        </w:rPr>
      </w:pPr>
      <w:r>
        <w:rPr>
          <w:rFonts w:ascii="宋体" w:hAnsi="宋体" w:cs="宋体"/>
          <w:color w:val="auto"/>
          <w:sz w:val="21"/>
          <w:szCs w:val="21"/>
          <w:highlight w:val="none"/>
        </w:rPr>
        <w:t xml:space="preserve">    </w:t>
      </w:r>
      <w:bookmarkStart w:id="112" w:name="_Toc20179"/>
      <w:r>
        <w:rPr>
          <w:rFonts w:ascii="宋体" w:hAnsi="宋体" w:cs="宋体"/>
          <w:color w:val="auto"/>
          <w:sz w:val="21"/>
          <w:szCs w:val="21"/>
          <w:highlight w:val="none"/>
        </w:rPr>
        <w:t xml:space="preserve"> 1</w:t>
      </w:r>
      <w:r>
        <w:rPr>
          <w:rFonts w:hint="eastAsia" w:ascii="宋体" w:hAnsi="宋体" w:cs="宋体"/>
          <w:color w:val="auto"/>
          <w:sz w:val="21"/>
          <w:szCs w:val="21"/>
          <w:highlight w:val="none"/>
        </w:rPr>
        <w:t>、我方已仔细研究了</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（项目名称）</w:t>
      </w:r>
      <w:r>
        <w:rPr>
          <w:rFonts w:hint="eastAsia" w:ascii="宋体" w:hAnsi="宋体" w:cs="宋体"/>
          <w:color w:val="auto"/>
          <w:sz w:val="21"/>
          <w:szCs w:val="21"/>
          <w:highlight w:val="none"/>
        </w:rPr>
        <w:t>磋商文件的全部内容，愿意以人民币</w:t>
      </w:r>
      <w:r>
        <w:rPr>
          <w:rFonts w:ascii="宋体" w:hAnsi="宋体" w:cs="宋体"/>
          <w:color w:val="auto"/>
          <w:sz w:val="21"/>
          <w:szCs w:val="21"/>
          <w:highlight w:val="none"/>
          <w:u w:val="single"/>
        </w:rPr>
        <w:t xml:space="preserve">             </w:t>
      </w:r>
      <w:r>
        <w:rPr>
          <w:rFonts w:hint="eastAsia" w:ascii="宋体" w:hAnsi="宋体" w:cs="宋体"/>
          <w:color w:val="auto"/>
          <w:sz w:val="21"/>
          <w:szCs w:val="21"/>
          <w:highlight w:val="none"/>
          <w:u w:val="single"/>
        </w:rPr>
        <w:t>元</w:t>
      </w:r>
      <w:r>
        <w:rPr>
          <w:rFonts w:hint="eastAsia" w:ascii="宋体" w:hAnsi="宋体" w:cs="宋体"/>
          <w:color w:val="auto"/>
          <w:sz w:val="21"/>
          <w:szCs w:val="21"/>
          <w:highlight w:val="none"/>
        </w:rPr>
        <w:t>的投标报价，承担本项目的工作。</w:t>
      </w:r>
    </w:p>
    <w:p>
      <w:pPr>
        <w:spacing w:line="560" w:lineRule="exact"/>
        <w:ind w:firstLine="525" w:firstLineChars="250"/>
        <w:rPr>
          <w:rFonts w:asci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、如果我们的响应文件被接受，我们将按磋商文件的规定签订并严格履行合同中的责任和义务。</w:t>
      </w:r>
    </w:p>
    <w:p>
      <w:pPr>
        <w:spacing w:line="560" w:lineRule="exact"/>
        <w:ind w:firstLine="525" w:firstLineChars="250"/>
        <w:rPr>
          <w:rFonts w:asci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、投标供应商已详细审查全部磋商文件，包括修改文件以及全部参考资料和有关附件。我们完全理解并同意放弃对这方面有不明及误解的权力。</w:t>
      </w:r>
    </w:p>
    <w:p>
      <w:pPr>
        <w:spacing w:line="560" w:lineRule="exact"/>
        <w:ind w:firstLine="525" w:firstLineChars="250"/>
        <w:rPr>
          <w:rFonts w:ascii="宋体" w:cs="宋体"/>
          <w:color w:val="auto"/>
          <w:sz w:val="21"/>
          <w:szCs w:val="21"/>
          <w:highlight w:val="none"/>
        </w:rPr>
      </w:pPr>
      <w:r>
        <w:rPr>
          <w:rFonts w:ascii="宋体" w:hAnsi="宋体" w:cs="宋体"/>
          <w:color w:val="auto"/>
          <w:sz w:val="21"/>
          <w:szCs w:val="21"/>
          <w:highlight w:val="none"/>
        </w:rPr>
        <w:t>4</w:t>
      </w:r>
      <w:r>
        <w:rPr>
          <w:rFonts w:hint="eastAsia" w:ascii="宋体" w:hAnsi="宋体" w:cs="宋体"/>
          <w:color w:val="auto"/>
          <w:sz w:val="21"/>
          <w:szCs w:val="21"/>
          <w:highlight w:val="none"/>
        </w:rPr>
        <w:t>、我方承诺在磋商有效期内（</w:t>
      </w:r>
      <w:r>
        <w:rPr>
          <w:rFonts w:ascii="宋体" w:hAnsi="宋体" w:cs="宋体"/>
          <w:color w:val="auto"/>
          <w:sz w:val="21"/>
          <w:szCs w:val="21"/>
          <w:highlight w:val="none"/>
        </w:rPr>
        <w:t>60</w:t>
      </w:r>
      <w:r>
        <w:rPr>
          <w:rFonts w:hint="eastAsia" w:ascii="宋体" w:hAnsi="宋体" w:cs="宋体"/>
          <w:color w:val="auto"/>
          <w:sz w:val="21"/>
          <w:szCs w:val="21"/>
          <w:highlight w:val="none"/>
        </w:rPr>
        <w:t>日历天）内不修改、撤销响应文件。</w:t>
      </w:r>
    </w:p>
    <w:p>
      <w:pPr>
        <w:spacing w:line="560" w:lineRule="exact"/>
        <w:ind w:firstLine="525" w:firstLineChars="250"/>
        <w:rPr>
          <w:rFonts w:hint="eastAsia" w:ascii="宋体" w:hAnsi="宋体" w:cs="宋体"/>
          <w:color w:val="auto"/>
          <w:sz w:val="21"/>
          <w:szCs w:val="21"/>
          <w:highlight w:val="none"/>
          <w:lang w:eastAsia="zh-CN"/>
        </w:rPr>
      </w:pPr>
      <w:r>
        <w:rPr>
          <w:rFonts w:ascii="宋体" w:hAnsi="宋体" w:cs="宋体"/>
          <w:color w:val="auto"/>
          <w:sz w:val="21"/>
          <w:szCs w:val="21"/>
          <w:highlight w:val="none"/>
        </w:rPr>
        <w:t>5</w:t>
      </w:r>
      <w:r>
        <w:rPr>
          <w:rFonts w:hint="eastAsia" w:ascii="宋体" w:hAnsi="宋体" w:cs="宋体"/>
          <w:color w:val="auto"/>
          <w:sz w:val="21"/>
          <w:szCs w:val="21"/>
          <w:highlight w:val="none"/>
        </w:rPr>
        <w:t>、如果在规定的开标时间后，投标供应商在投标有效期内撤回投标，</w:t>
      </w:r>
      <w:r>
        <w:rPr>
          <w:rFonts w:hint="eastAsia" w:ascii="宋体" w:hAnsi="宋体" w:cs="宋体"/>
          <w:color w:val="auto"/>
          <w:sz w:val="21"/>
          <w:szCs w:val="21"/>
          <w:highlight w:val="none"/>
          <w:lang w:eastAsia="zh-CN"/>
        </w:rPr>
        <w:t>我们将自愿接受相关处罚。</w:t>
      </w:r>
    </w:p>
    <w:p>
      <w:pPr>
        <w:spacing w:line="560" w:lineRule="exact"/>
        <w:ind w:firstLine="525" w:firstLineChars="250"/>
        <w:rPr>
          <w:rFonts w:ascii="宋体" w:cs="宋体"/>
          <w:color w:val="auto"/>
          <w:sz w:val="21"/>
          <w:szCs w:val="21"/>
          <w:highlight w:val="none"/>
        </w:rPr>
      </w:pPr>
      <w:r>
        <w:rPr>
          <w:rFonts w:ascii="宋体" w:hAnsi="宋体" w:cs="宋体"/>
          <w:color w:val="auto"/>
          <w:sz w:val="21"/>
          <w:szCs w:val="21"/>
          <w:highlight w:val="none"/>
        </w:rPr>
        <w:t>6</w:t>
      </w:r>
      <w:r>
        <w:rPr>
          <w:rFonts w:hint="eastAsia" w:ascii="宋体" w:hAnsi="宋体" w:cs="宋体"/>
          <w:color w:val="auto"/>
          <w:sz w:val="21"/>
          <w:szCs w:val="21"/>
          <w:highlight w:val="none"/>
        </w:rPr>
        <w:t>、投标供应商同意提供按照贵方可能要求的与其投标有关的一切数据或资料，完全理解贵方不一定接受最低价的投标或没收任何投标。</w:t>
      </w:r>
    </w:p>
    <w:p>
      <w:pPr>
        <w:spacing w:line="560" w:lineRule="exact"/>
        <w:rPr>
          <w:rFonts w:ascii="宋体" w:cs="宋体"/>
          <w:color w:val="auto"/>
          <w:sz w:val="21"/>
          <w:szCs w:val="21"/>
          <w:highlight w:val="none"/>
          <w:u w:val="single"/>
        </w:rPr>
      </w:pPr>
      <w:r>
        <w:rPr>
          <w:rFonts w:ascii="宋体" w:hAnsi="宋体" w:cs="宋体"/>
          <w:color w:val="auto"/>
          <w:sz w:val="21"/>
          <w:szCs w:val="21"/>
          <w:highlight w:val="none"/>
        </w:rPr>
        <w:t xml:space="preserve">                       </w:t>
      </w:r>
      <w:r>
        <w:rPr>
          <w:rFonts w:hint="eastAsia" w:ascii="宋体" w:hAnsi="宋体" w:cs="宋体"/>
          <w:color w:val="auto"/>
          <w:sz w:val="21"/>
          <w:szCs w:val="21"/>
          <w:highlight w:val="none"/>
        </w:rPr>
        <w:t>供应商名称（公章）：</w:t>
      </w:r>
      <w:r>
        <w:rPr>
          <w:rFonts w:ascii="宋体" w:hAnsi="宋体" w:cs="宋体"/>
          <w:color w:val="auto"/>
          <w:sz w:val="21"/>
          <w:szCs w:val="21"/>
          <w:highlight w:val="none"/>
        </w:rPr>
        <w:t xml:space="preserve"> </w:t>
      </w:r>
      <w:r>
        <w:rPr>
          <w:rFonts w:ascii="宋体" w:hAnsi="宋体" w:cs="宋体"/>
          <w:color w:val="auto"/>
          <w:sz w:val="21"/>
          <w:szCs w:val="21"/>
          <w:highlight w:val="none"/>
          <w:u w:val="single"/>
        </w:rPr>
        <w:t xml:space="preserve">                   </w:t>
      </w:r>
    </w:p>
    <w:p>
      <w:pPr>
        <w:spacing w:line="560" w:lineRule="exact"/>
        <w:rPr>
          <w:rFonts w:ascii="宋体" w:cs="宋体"/>
          <w:color w:val="auto"/>
          <w:sz w:val="21"/>
          <w:szCs w:val="21"/>
          <w:highlight w:val="none"/>
        </w:rPr>
      </w:pPr>
      <w:r>
        <w:rPr>
          <w:rFonts w:ascii="宋体" w:hAnsi="宋体" w:cs="宋体"/>
          <w:color w:val="auto"/>
          <w:sz w:val="21"/>
          <w:szCs w:val="21"/>
          <w:highlight w:val="none"/>
        </w:rPr>
        <w:t xml:space="preserve">                       </w:t>
      </w:r>
      <w:r>
        <w:rPr>
          <w:rFonts w:hint="eastAsia" w:ascii="宋体" w:hAnsi="宋体" w:cs="宋体"/>
          <w:color w:val="auto"/>
          <w:sz w:val="21"/>
          <w:szCs w:val="21"/>
          <w:highlight w:val="none"/>
        </w:rPr>
        <w:t>法定代表人或授权委托人</w:t>
      </w:r>
      <w:r>
        <w:rPr>
          <w:rFonts w:hint="eastAsia" w:ascii="宋体" w:hAnsi="宋体" w:eastAsia="宋体" w:cs="宋体"/>
          <w:color w:val="auto"/>
          <w:kern w:val="2"/>
          <w:sz w:val="21"/>
          <w:szCs w:val="21"/>
          <w:highlight w:val="none"/>
          <w:lang w:val="en-US" w:eastAsia="zh-CN" w:bidi="ar-SA"/>
        </w:rPr>
        <w:t>（签字或盖章）</w:t>
      </w:r>
      <w:r>
        <w:rPr>
          <w:rFonts w:ascii="宋体" w:hAnsi="宋体" w:cs="宋体"/>
          <w:color w:val="auto"/>
          <w:sz w:val="21"/>
          <w:szCs w:val="21"/>
          <w:highlight w:val="none"/>
        </w:rPr>
        <w:t>:</w:t>
      </w:r>
      <w:r>
        <w:rPr>
          <w:rFonts w:ascii="宋体" w:hAnsi="宋体" w:cs="宋体"/>
          <w:b/>
          <w:color w:val="auto"/>
          <w:sz w:val="21"/>
          <w:szCs w:val="21"/>
          <w:highlight w:val="none"/>
          <w:u w:val="single"/>
        </w:rPr>
        <w:t xml:space="preserve">             </w:t>
      </w:r>
    </w:p>
    <w:p>
      <w:pPr>
        <w:spacing w:line="520" w:lineRule="exact"/>
        <w:ind w:firstLine="4095" w:firstLineChars="1950"/>
        <w:rPr>
          <w:rFonts w:ascii="宋体" w:cs="宋体"/>
          <w:color w:val="auto"/>
          <w:sz w:val="21"/>
          <w:szCs w:val="21"/>
          <w:highlight w:val="none"/>
        </w:rPr>
      </w:pPr>
      <w:r>
        <w:rPr>
          <w:rFonts w:hint="eastAsia" w:ascii="宋体" w:hAnsi="宋体" w:cs="宋体"/>
          <w:color w:val="auto"/>
          <w:sz w:val="21"/>
          <w:szCs w:val="21"/>
          <w:highlight w:val="none"/>
        </w:rPr>
        <w:t>日</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期：</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年</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月</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日</w:t>
      </w:r>
    </w:p>
    <w:p>
      <w:pPr>
        <w:spacing w:line="520" w:lineRule="exact"/>
        <w:rPr>
          <w:rFonts w:ascii="宋体" w:cs="宋体"/>
          <w:color w:val="auto"/>
          <w:sz w:val="21"/>
          <w:szCs w:val="21"/>
          <w:highlight w:val="none"/>
        </w:rPr>
      </w:pPr>
    </w:p>
    <w:p>
      <w:pPr>
        <w:pStyle w:val="34"/>
        <w:rPr>
          <w:rFonts w:ascii="宋体" w:cs="宋体"/>
          <w:color w:val="auto"/>
          <w:sz w:val="21"/>
          <w:szCs w:val="21"/>
          <w:highlight w:val="none"/>
        </w:rPr>
      </w:pPr>
    </w:p>
    <w:p>
      <w:pPr>
        <w:pStyle w:val="11"/>
        <w:rPr>
          <w:color w:val="auto"/>
          <w:sz w:val="21"/>
          <w:szCs w:val="21"/>
          <w:highlight w:val="none"/>
        </w:rPr>
      </w:pPr>
    </w:p>
    <w:p>
      <w:pPr>
        <w:pStyle w:val="35"/>
        <w:rPr>
          <w:color w:val="auto"/>
          <w:highlight w:val="none"/>
        </w:rPr>
      </w:pPr>
    </w:p>
    <w:bookmarkEnd w:id="112"/>
    <w:p>
      <w:pPr>
        <w:pStyle w:val="20"/>
        <w:numPr>
          <w:ilvl w:val="0"/>
          <w:numId w:val="8"/>
        </w:numPr>
        <w:rPr>
          <w:rFonts w:hint="eastAsia" w:ascii="宋体" w:hAnsi="宋体" w:cs="宋体"/>
          <w:color w:val="auto"/>
          <w:highlight w:val="none"/>
        </w:rPr>
      </w:pPr>
      <w:bookmarkStart w:id="113" w:name="_Toc24563"/>
      <w:r>
        <w:rPr>
          <w:rFonts w:hint="eastAsia" w:ascii="宋体" w:hAnsi="宋体" w:cs="宋体"/>
          <w:color w:val="auto"/>
          <w:highlight w:val="none"/>
        </w:rPr>
        <w:t>磋商函附录</w:t>
      </w:r>
      <w:bookmarkEnd w:id="113"/>
    </w:p>
    <w:p>
      <w:pPr>
        <w:widowControl w:val="0"/>
        <w:numPr>
          <w:ilvl w:val="0"/>
          <w:numId w:val="0"/>
        </w:numPr>
        <w:jc w:val="both"/>
        <w:rPr>
          <w:color w:val="auto"/>
          <w:highlight w:val="none"/>
        </w:rPr>
      </w:pPr>
    </w:p>
    <w:tbl>
      <w:tblPr>
        <w:tblStyle w:val="27"/>
        <w:tblW w:w="9781" w:type="dxa"/>
        <w:jc w:val="center"/>
        <w:tblLayout w:type="fixed"/>
        <w:tblCellMar>
          <w:top w:w="0" w:type="dxa"/>
          <w:left w:w="0" w:type="dxa"/>
          <w:bottom w:w="0" w:type="dxa"/>
          <w:right w:w="0" w:type="dxa"/>
        </w:tblCellMar>
      </w:tblPr>
      <w:tblGrid>
        <w:gridCol w:w="2028"/>
        <w:gridCol w:w="3764"/>
        <w:gridCol w:w="1462"/>
        <w:gridCol w:w="2527"/>
      </w:tblGrid>
      <w:tr>
        <w:tblPrEx>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c>
          <w:tcPr>
            <w:tcW w:w="146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项目编号</w:t>
            </w:r>
          </w:p>
        </w:tc>
        <w:tc>
          <w:tcPr>
            <w:tcW w:w="2527"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2847"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磋商报价</w:t>
            </w:r>
            <w:r>
              <w:rPr>
                <w:rFonts w:ascii="宋体" w:hAnsi="宋体" w:cs="宋体"/>
                <w:color w:val="auto"/>
                <w:szCs w:val="21"/>
                <w:highlight w:val="none"/>
              </w:rPr>
              <w:t xml:space="preserve"> </w:t>
            </w:r>
            <w:r>
              <w:rPr>
                <w:rFonts w:hint="eastAsia" w:ascii="宋体" w:hAnsi="宋体" w:cs="宋体"/>
                <w:color w:val="auto"/>
                <w:szCs w:val="21"/>
                <w:highlight w:val="none"/>
              </w:rPr>
              <w:t>（元）</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210" w:firstLineChars="100"/>
              <w:rPr>
                <w:rFonts w:ascii="宋体" w:hAnsi="宋体" w:cs="宋体"/>
                <w:color w:val="auto"/>
                <w:szCs w:val="21"/>
                <w:highlight w:val="none"/>
                <w:u w:val="single"/>
              </w:rPr>
            </w:pPr>
            <w:r>
              <w:rPr>
                <w:rFonts w:hint="eastAsia" w:ascii="宋体" w:hAnsi="宋体" w:cs="宋体"/>
                <w:color w:val="auto"/>
                <w:szCs w:val="21"/>
                <w:highlight w:val="none"/>
              </w:rPr>
              <w:t>总报价：人民币大写：</w:t>
            </w:r>
            <w:r>
              <w:rPr>
                <w:rFonts w:ascii="宋体" w:hAnsi="宋体" w:cs="宋体"/>
                <w:color w:val="auto"/>
                <w:szCs w:val="21"/>
                <w:highlight w:val="none"/>
                <w:u w:val="single"/>
              </w:rPr>
              <w:t xml:space="preserve">                 </w:t>
            </w:r>
            <w:r>
              <w:rPr>
                <w:rFonts w:hint="eastAsia" w:ascii="宋体" w:hAnsi="宋体" w:cs="宋体"/>
                <w:color w:val="auto"/>
                <w:szCs w:val="21"/>
                <w:highlight w:val="none"/>
              </w:rPr>
              <w:t>；小写：</w:t>
            </w:r>
            <w:r>
              <w:rPr>
                <w:rFonts w:ascii="宋体" w:hAnsi="宋体" w:cs="宋体"/>
                <w:color w:val="auto"/>
                <w:szCs w:val="21"/>
                <w:highlight w:val="none"/>
                <w:u w:val="single"/>
              </w:rPr>
              <w:t xml:space="preserve">                 </w:t>
            </w:r>
          </w:p>
        </w:tc>
      </w:tr>
      <w:tr>
        <w:tblPrEx>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合同履行期限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质量要求</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eastAsia="宋体" w:cs="宋体"/>
                <w:color w:val="auto"/>
                <w:szCs w:val="21"/>
                <w:highlight w:val="none"/>
              </w:rPr>
              <w:t>磋商有效期</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highlight w:val="none"/>
              </w:rPr>
            </w:pPr>
          </w:p>
        </w:tc>
      </w:tr>
      <w:tr>
        <w:tblPrEx>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备注</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highlight w:val="none"/>
              </w:rPr>
            </w:pPr>
          </w:p>
        </w:tc>
      </w:tr>
    </w:tbl>
    <w:p>
      <w:pPr>
        <w:pStyle w:val="3"/>
        <w:spacing w:line="520" w:lineRule="exact"/>
        <w:ind w:left="0" w:leftChars="0"/>
        <w:rPr>
          <w:rFonts w:hint="eastAsia" w:ascii="宋体" w:hAnsi="宋体" w:cs="宋体"/>
          <w:color w:val="auto"/>
          <w:szCs w:val="21"/>
          <w:highlight w:val="none"/>
        </w:rPr>
      </w:pPr>
      <w:r>
        <w:rPr>
          <w:rFonts w:hint="eastAsia" w:ascii="宋体" w:hAnsi="宋体" w:cs="宋体"/>
          <w:color w:val="auto"/>
          <w:szCs w:val="21"/>
          <w:highlight w:val="none"/>
        </w:rPr>
        <w:t>注：1、报价应包括磋商文件所确定的采购范围内的全部费用。</w:t>
      </w:r>
    </w:p>
    <w:p>
      <w:pPr>
        <w:pStyle w:val="3"/>
        <w:spacing w:line="360" w:lineRule="exact"/>
        <w:ind w:left="0" w:leftChars="0" w:firstLine="240" w:firstLineChars="100"/>
        <w:rPr>
          <w:rFonts w:hint="eastAsia" w:ascii="仿宋" w:hAnsi="仿宋" w:eastAsia="仿宋" w:cs="仿宋"/>
          <w:color w:val="auto"/>
          <w:sz w:val="24"/>
          <w:highlight w:val="none"/>
        </w:rPr>
      </w:pPr>
    </w:p>
    <w:p>
      <w:pPr>
        <w:pStyle w:val="3"/>
        <w:spacing w:line="520" w:lineRule="exact"/>
        <w:ind w:left="0" w:leftChars="0"/>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供应商名称（公章）：</w:t>
      </w:r>
    </w:p>
    <w:p>
      <w:pPr>
        <w:pStyle w:val="3"/>
        <w:spacing w:line="520" w:lineRule="exact"/>
        <w:ind w:left="0" w:leftChars="0" w:firstLine="210" w:firstLineChars="100"/>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法定代表人或授权委托人（签字或盖章）</w:t>
      </w:r>
      <w:r>
        <w:rPr>
          <w:rFonts w:ascii="宋体" w:hAnsi="宋体" w:cs="宋体"/>
          <w:color w:val="auto"/>
          <w:szCs w:val="21"/>
          <w:highlight w:val="none"/>
        </w:rPr>
        <w:t>:</w:t>
      </w:r>
    </w:p>
    <w:p>
      <w:pPr>
        <w:pStyle w:val="3"/>
        <w:spacing w:line="360" w:lineRule="exact"/>
        <w:rPr>
          <w:rFonts w:ascii="宋体" w:cs="宋体"/>
          <w:color w:val="auto"/>
          <w:szCs w:val="21"/>
          <w:highlight w:val="none"/>
        </w:rPr>
      </w:pPr>
    </w:p>
    <w:p>
      <w:pPr>
        <w:spacing w:line="360" w:lineRule="exact"/>
        <w:rPr>
          <w:rFonts w:hint="eastAsia" w:ascii="宋体" w:hAnsi="宋体" w:cs="宋体"/>
          <w:color w:val="auto"/>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年</w:t>
      </w:r>
      <w:r>
        <w:rPr>
          <w:rFonts w:ascii="宋体" w:hAnsi="宋体" w:cs="宋体"/>
          <w:color w:val="auto"/>
          <w:szCs w:val="21"/>
          <w:highlight w:val="none"/>
        </w:rPr>
        <w:t xml:space="preserve">    </w:t>
      </w:r>
      <w:r>
        <w:rPr>
          <w:rFonts w:hint="eastAsia" w:ascii="宋体" w:hAnsi="宋体" w:cs="宋体"/>
          <w:color w:val="auto"/>
          <w:szCs w:val="21"/>
          <w:highlight w:val="none"/>
        </w:rPr>
        <w:t>月</w:t>
      </w:r>
      <w:r>
        <w:rPr>
          <w:rFonts w:ascii="宋体" w:hAnsi="宋体" w:cs="宋体"/>
          <w:color w:val="auto"/>
          <w:szCs w:val="21"/>
          <w:highlight w:val="none"/>
        </w:rPr>
        <w:t xml:space="preserve">   </w:t>
      </w:r>
      <w:r>
        <w:rPr>
          <w:rFonts w:hint="eastAsia" w:ascii="宋体" w:hAnsi="宋体" w:cs="宋体"/>
          <w:color w:val="auto"/>
          <w:szCs w:val="21"/>
          <w:highlight w:val="none"/>
        </w:rPr>
        <w:t>日</w:t>
      </w:r>
      <w:bookmarkStart w:id="114" w:name="_Toc2504"/>
    </w:p>
    <w:p>
      <w:pPr>
        <w:spacing w:line="300" w:lineRule="exact"/>
        <w:rPr>
          <w:rFonts w:hint="eastAsia" w:ascii="宋体" w:hAnsi="宋体" w:cs="宋体"/>
          <w:color w:val="auto"/>
          <w:highlight w:val="none"/>
        </w:rPr>
      </w:pPr>
    </w:p>
    <w:bookmarkEnd w:id="114"/>
    <w:p>
      <w:pPr>
        <w:rPr>
          <w:rFonts w:hint="eastAsia" w:ascii="宋体" w:hAnsi="宋体" w:cs="宋体"/>
          <w:color w:val="auto"/>
          <w:highlight w:val="none"/>
          <w:lang w:eastAsia="zh-CN"/>
        </w:rPr>
      </w:pPr>
      <w:r>
        <w:rPr>
          <w:rFonts w:ascii="宋体" w:hAnsi="宋体" w:cs="宋体"/>
          <w:color w:val="auto"/>
          <w:highlight w:val="none"/>
        </w:rPr>
        <w:t xml:space="preserve">         </w:t>
      </w:r>
    </w:p>
    <w:p>
      <w:pPr>
        <w:jc w:val="center"/>
        <w:rPr>
          <w:rFonts w:hint="eastAsia" w:ascii="宋体" w:hAnsi="宋体" w:eastAsia="宋体" w:cs="宋体"/>
          <w:b/>
          <w:bCs/>
          <w:color w:val="auto"/>
          <w:kern w:val="28"/>
          <w:sz w:val="32"/>
          <w:szCs w:val="32"/>
          <w:highlight w:val="none"/>
          <w:lang w:val="en-US" w:eastAsia="zh-CN" w:bidi="ar-SA"/>
        </w:rPr>
      </w:pPr>
      <w:bookmarkStart w:id="115" w:name="_Toc17272"/>
    </w:p>
    <w:p>
      <w:pPr>
        <w:jc w:val="center"/>
        <w:rPr>
          <w:rFonts w:hint="eastAsia" w:ascii="宋体" w:hAnsi="宋体" w:eastAsia="宋体" w:cs="宋体"/>
          <w:b/>
          <w:bCs/>
          <w:color w:val="auto"/>
          <w:kern w:val="28"/>
          <w:sz w:val="32"/>
          <w:szCs w:val="32"/>
          <w:highlight w:val="none"/>
          <w:lang w:val="en-US" w:eastAsia="zh-CN" w:bidi="ar-SA"/>
        </w:rPr>
      </w:pPr>
      <w:r>
        <w:rPr>
          <w:rFonts w:hint="eastAsia" w:ascii="宋体" w:hAnsi="宋体" w:eastAsia="宋体" w:cs="宋体"/>
          <w:b/>
          <w:bCs/>
          <w:color w:val="auto"/>
          <w:kern w:val="28"/>
          <w:sz w:val="32"/>
          <w:szCs w:val="32"/>
          <w:highlight w:val="none"/>
          <w:lang w:val="en-US" w:eastAsia="zh-CN" w:bidi="ar-SA"/>
        </w:rPr>
        <w:t>二、</w:t>
      </w:r>
      <w:r>
        <w:rPr>
          <w:rFonts w:hint="eastAsia" w:ascii="宋体" w:hAnsi="宋体" w:cs="宋体"/>
          <w:b/>
          <w:bCs/>
          <w:color w:val="auto"/>
          <w:kern w:val="28"/>
          <w:sz w:val="32"/>
          <w:szCs w:val="32"/>
          <w:highlight w:val="none"/>
          <w:lang w:val="en-US" w:eastAsia="zh-CN" w:bidi="ar-SA"/>
        </w:rPr>
        <w:t>货物</w:t>
      </w:r>
      <w:r>
        <w:rPr>
          <w:rFonts w:hint="eastAsia" w:ascii="宋体" w:hAnsi="宋体" w:eastAsia="宋体" w:cs="宋体"/>
          <w:b/>
          <w:bCs/>
          <w:color w:val="auto"/>
          <w:kern w:val="28"/>
          <w:sz w:val="32"/>
          <w:szCs w:val="32"/>
          <w:highlight w:val="none"/>
          <w:lang w:val="en-US" w:eastAsia="zh-CN" w:bidi="ar-SA"/>
        </w:rPr>
        <w:t>分项报价一览表</w:t>
      </w:r>
    </w:p>
    <w:tbl>
      <w:tblPr>
        <w:tblStyle w:val="27"/>
        <w:tblW w:w="9700" w:type="dxa"/>
        <w:jc w:val="center"/>
        <w:tblLayout w:type="fixed"/>
        <w:tblCellMar>
          <w:top w:w="0" w:type="dxa"/>
          <w:left w:w="0" w:type="dxa"/>
          <w:bottom w:w="0" w:type="dxa"/>
          <w:right w:w="0" w:type="dxa"/>
        </w:tblCellMar>
      </w:tblPr>
      <w:tblGrid>
        <w:gridCol w:w="559"/>
        <w:gridCol w:w="1555"/>
        <w:gridCol w:w="2289"/>
        <w:gridCol w:w="833"/>
        <w:gridCol w:w="905"/>
        <w:gridCol w:w="1204"/>
        <w:gridCol w:w="1134"/>
        <w:gridCol w:w="1221"/>
      </w:tblGrid>
      <w:tr>
        <w:tblPrEx>
          <w:tblCellMar>
            <w:top w:w="0" w:type="dxa"/>
            <w:left w:w="0" w:type="dxa"/>
            <w:bottom w:w="0" w:type="dxa"/>
            <w:right w:w="0" w:type="dxa"/>
          </w:tblCellMar>
        </w:tblPrEx>
        <w:trPr>
          <w:cantSplit/>
          <w:trHeight w:val="326" w:hRule="atLeast"/>
          <w:jc w:val="center"/>
        </w:trPr>
        <w:tc>
          <w:tcPr>
            <w:tcW w:w="9700" w:type="dxa"/>
            <w:gridSpan w:val="8"/>
            <w:tcBorders>
              <w:top w:val="single" w:color="auto" w:sz="4" w:space="0"/>
              <w:left w:val="single" w:color="auto" w:sz="4" w:space="0"/>
              <w:right w:val="single" w:color="auto" w:sz="4" w:space="0"/>
            </w:tcBorders>
            <w:tcMar>
              <w:top w:w="20" w:type="dxa"/>
              <w:left w:w="20" w:type="dxa"/>
              <w:bottom w:w="0" w:type="dxa"/>
              <w:right w:w="20" w:type="dxa"/>
            </w:tcMar>
            <w:vAlign w:val="center"/>
          </w:tcPr>
          <w:p>
            <w:pPr>
              <w:spacing w:line="500" w:lineRule="exact"/>
              <w:rPr>
                <w:rFonts w:ascii="宋体" w:hAnsi="宋体" w:cs="宋体"/>
                <w:szCs w:val="21"/>
              </w:rPr>
            </w:pPr>
            <w:bookmarkStart w:id="116" w:name="OLE_LINK1"/>
          </w:p>
        </w:tc>
      </w:tr>
      <w:tr>
        <w:tblPrEx>
          <w:tblCellMar>
            <w:top w:w="0" w:type="dxa"/>
            <w:left w:w="0" w:type="dxa"/>
            <w:bottom w:w="0" w:type="dxa"/>
            <w:right w:w="0" w:type="dxa"/>
          </w:tblCellMar>
        </w:tblPrEx>
        <w:trPr>
          <w:cantSplit/>
          <w:trHeight w:val="731" w:hRule="atLeast"/>
          <w:jc w:val="center"/>
        </w:trPr>
        <w:tc>
          <w:tcPr>
            <w:tcW w:w="9700" w:type="dxa"/>
            <w:gridSpan w:val="8"/>
            <w:tcBorders>
              <w:left w:val="single" w:color="auto" w:sz="4" w:space="0"/>
              <w:right w:val="single" w:color="auto" w:sz="4" w:space="0"/>
            </w:tcBorders>
            <w:tcMar>
              <w:top w:w="20" w:type="dxa"/>
              <w:left w:w="20" w:type="dxa"/>
              <w:bottom w:w="0" w:type="dxa"/>
              <w:right w:w="20" w:type="dxa"/>
            </w:tcMar>
            <w:vAlign w:val="center"/>
          </w:tcPr>
          <w:p>
            <w:pPr>
              <w:wordWrap w:val="0"/>
              <w:spacing w:line="500" w:lineRule="exact"/>
              <w:ind w:right="735"/>
              <w:rPr>
                <w:rFonts w:ascii="宋体" w:hAnsi="宋体" w:cs="宋体"/>
                <w:szCs w:val="21"/>
              </w:rPr>
            </w:pPr>
            <w:bookmarkStart w:id="117" w:name="_Toc388091826"/>
            <w:r>
              <w:rPr>
                <w:rFonts w:hint="eastAsia" w:ascii="宋体" w:hAnsi="宋体" w:cs="宋体"/>
                <w:szCs w:val="21"/>
              </w:rPr>
              <w:t>项目</w:t>
            </w:r>
            <w:r>
              <w:rPr>
                <w:rFonts w:hint="eastAsia" w:ascii="宋体" w:hAnsi="宋体" w:cs="宋体"/>
                <w:szCs w:val="21"/>
                <w:lang w:eastAsia="zh-CN"/>
              </w:rPr>
              <w:t>名称</w:t>
            </w:r>
            <w:r>
              <w:rPr>
                <w:rFonts w:hint="eastAsia" w:ascii="宋体" w:hAnsi="宋体" w:cs="宋体"/>
                <w:szCs w:val="21"/>
              </w:rPr>
              <w:t>：</w:t>
            </w:r>
            <w:r>
              <w:rPr>
                <w:rFonts w:hint="eastAsia" w:ascii="宋体" w:hAnsi="宋体" w:cs="宋体"/>
                <w:szCs w:val="21"/>
                <w:u w:val="single"/>
              </w:rPr>
              <w:t xml:space="preserve">（此处填项目名称）  </w:t>
            </w:r>
            <w:r>
              <w:rPr>
                <w:rFonts w:hint="eastAsia" w:ascii="宋体" w:hAnsi="宋体" w:cs="宋体"/>
                <w:szCs w:val="21"/>
              </w:rPr>
              <w:t xml:space="preserve">                                  金额单位：元</w:t>
            </w:r>
            <w:bookmarkEnd w:id="117"/>
          </w:p>
        </w:tc>
      </w:tr>
      <w:tr>
        <w:tblPrEx>
          <w:tblCellMar>
            <w:top w:w="0" w:type="dxa"/>
            <w:left w:w="0" w:type="dxa"/>
            <w:bottom w:w="0" w:type="dxa"/>
            <w:right w:w="0" w:type="dxa"/>
          </w:tblCellMar>
        </w:tblPrEx>
        <w:trPr>
          <w:trHeight w:val="705" w:hRule="atLeast"/>
          <w:jc w:val="center"/>
        </w:trPr>
        <w:tc>
          <w:tcPr>
            <w:tcW w:w="55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bookmarkStart w:id="118" w:name="_Toc388091827"/>
            <w:r>
              <w:rPr>
                <w:rFonts w:hint="eastAsia" w:ascii="宋体" w:hAnsi="宋体" w:cs="宋体"/>
                <w:szCs w:val="21"/>
              </w:rPr>
              <w:t>序号</w:t>
            </w:r>
            <w:bookmarkEnd w:id="118"/>
          </w:p>
        </w:tc>
        <w:tc>
          <w:tcPr>
            <w:tcW w:w="1555"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bookmarkStart w:id="119" w:name="_Toc388091828"/>
            <w:r>
              <w:rPr>
                <w:rFonts w:hint="eastAsia" w:ascii="宋体" w:hAnsi="宋体" w:cs="宋体"/>
                <w:szCs w:val="21"/>
              </w:rPr>
              <w:t>设备（项目）</w:t>
            </w:r>
          </w:p>
          <w:p>
            <w:pPr>
              <w:spacing w:line="500" w:lineRule="exact"/>
              <w:jc w:val="center"/>
              <w:rPr>
                <w:rFonts w:ascii="宋体" w:hAnsi="宋体" w:cs="宋体"/>
                <w:szCs w:val="21"/>
              </w:rPr>
            </w:pPr>
            <w:r>
              <w:rPr>
                <w:rFonts w:hint="eastAsia" w:ascii="宋体" w:hAnsi="宋体" w:cs="宋体"/>
                <w:szCs w:val="21"/>
              </w:rPr>
              <w:t>名称</w:t>
            </w:r>
            <w:bookmarkEnd w:id="119"/>
          </w:p>
        </w:tc>
        <w:tc>
          <w:tcPr>
            <w:tcW w:w="228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bookmarkStart w:id="120" w:name="_Toc388091829"/>
            <w:r>
              <w:rPr>
                <w:rFonts w:hint="eastAsia" w:ascii="宋体" w:hAnsi="宋体" w:cs="宋体"/>
                <w:szCs w:val="21"/>
              </w:rPr>
              <w:t>品牌及</w:t>
            </w:r>
            <w:r>
              <w:rPr>
                <w:rFonts w:hint="eastAsia" w:ascii="宋体" w:hAnsi="宋体" w:cs="宋体"/>
                <w:szCs w:val="21"/>
                <w:lang w:eastAsia="zh-CN"/>
              </w:rPr>
              <w:t>技术</w:t>
            </w:r>
            <w:r>
              <w:rPr>
                <w:rFonts w:hint="eastAsia" w:ascii="宋体" w:hAnsi="宋体" w:cs="宋体"/>
                <w:szCs w:val="21"/>
              </w:rPr>
              <w:t>参数</w:t>
            </w:r>
            <w:bookmarkEnd w:id="120"/>
          </w:p>
        </w:tc>
        <w:tc>
          <w:tcPr>
            <w:tcW w:w="83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bookmarkStart w:id="121" w:name="_Toc388091830"/>
            <w:r>
              <w:rPr>
                <w:rFonts w:hint="eastAsia" w:ascii="宋体" w:hAnsi="宋体" w:cs="宋体"/>
                <w:szCs w:val="21"/>
              </w:rPr>
              <w:t>单位</w:t>
            </w:r>
            <w:bookmarkEnd w:id="121"/>
          </w:p>
        </w:tc>
        <w:tc>
          <w:tcPr>
            <w:tcW w:w="90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bookmarkStart w:id="122" w:name="_Toc388091831"/>
            <w:r>
              <w:rPr>
                <w:rFonts w:hint="eastAsia" w:ascii="宋体" w:hAnsi="宋体" w:cs="宋体"/>
                <w:szCs w:val="21"/>
              </w:rPr>
              <w:t>数量</w:t>
            </w:r>
            <w:bookmarkEnd w:id="122"/>
          </w:p>
        </w:tc>
        <w:tc>
          <w:tcPr>
            <w:tcW w:w="120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bookmarkStart w:id="123" w:name="_Toc388091832"/>
            <w:r>
              <w:rPr>
                <w:rFonts w:hint="eastAsia" w:ascii="宋体" w:hAnsi="宋体" w:cs="宋体"/>
                <w:szCs w:val="21"/>
              </w:rPr>
              <w:t>单价</w:t>
            </w:r>
            <w:bookmarkEnd w:id="123"/>
          </w:p>
        </w:tc>
        <w:tc>
          <w:tcPr>
            <w:tcW w:w="113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bookmarkStart w:id="124" w:name="_Toc388091833"/>
            <w:r>
              <w:rPr>
                <w:rFonts w:hint="eastAsia" w:ascii="宋体" w:hAnsi="宋体" w:cs="宋体"/>
                <w:szCs w:val="21"/>
              </w:rPr>
              <w:t>合计</w:t>
            </w:r>
            <w:bookmarkEnd w:id="124"/>
          </w:p>
        </w:tc>
        <w:tc>
          <w:tcPr>
            <w:tcW w:w="122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bookmarkStart w:id="125" w:name="_Toc388091834"/>
            <w:r>
              <w:rPr>
                <w:rFonts w:hint="eastAsia" w:ascii="宋体" w:hAnsi="宋体" w:cs="宋体"/>
                <w:szCs w:val="21"/>
              </w:rPr>
              <w:t>备注</w:t>
            </w:r>
            <w:bookmarkEnd w:id="125"/>
          </w:p>
        </w:tc>
      </w:tr>
      <w:tr>
        <w:tblPrEx>
          <w:tblCellMar>
            <w:top w:w="0" w:type="dxa"/>
            <w:left w:w="0" w:type="dxa"/>
            <w:bottom w:w="0" w:type="dxa"/>
            <w:right w:w="0" w:type="dxa"/>
          </w:tblCellMar>
        </w:tblPrEx>
        <w:trPr>
          <w:trHeight w:val="645" w:hRule="atLeast"/>
          <w:jc w:val="center"/>
        </w:trPr>
        <w:tc>
          <w:tcPr>
            <w:tcW w:w="559"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555"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2289"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833"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905"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0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13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21"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r>
      <w:tr>
        <w:tblPrEx>
          <w:tblCellMar>
            <w:top w:w="0" w:type="dxa"/>
            <w:left w:w="0" w:type="dxa"/>
            <w:bottom w:w="0" w:type="dxa"/>
            <w:right w:w="0" w:type="dxa"/>
          </w:tblCellMar>
        </w:tblPrEx>
        <w:trPr>
          <w:trHeight w:val="645" w:hRule="atLeast"/>
          <w:jc w:val="center"/>
        </w:trPr>
        <w:tc>
          <w:tcPr>
            <w:tcW w:w="55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555"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228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83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90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0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13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2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r>
      <w:tr>
        <w:tblPrEx>
          <w:tblCellMar>
            <w:top w:w="0" w:type="dxa"/>
            <w:left w:w="0" w:type="dxa"/>
            <w:bottom w:w="0" w:type="dxa"/>
            <w:right w:w="0" w:type="dxa"/>
          </w:tblCellMar>
        </w:tblPrEx>
        <w:trPr>
          <w:trHeight w:val="645" w:hRule="atLeast"/>
          <w:jc w:val="center"/>
        </w:trPr>
        <w:tc>
          <w:tcPr>
            <w:tcW w:w="559"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555"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2289"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833"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905"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0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13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21"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r>
      <w:tr>
        <w:tblPrEx>
          <w:tblCellMar>
            <w:top w:w="0" w:type="dxa"/>
            <w:left w:w="0" w:type="dxa"/>
            <w:bottom w:w="0" w:type="dxa"/>
            <w:right w:w="0" w:type="dxa"/>
          </w:tblCellMar>
        </w:tblPrEx>
        <w:trPr>
          <w:trHeight w:val="645" w:hRule="atLeast"/>
          <w:jc w:val="center"/>
        </w:trPr>
        <w:tc>
          <w:tcPr>
            <w:tcW w:w="55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555"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228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83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90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0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13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2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r>
      <w:tr>
        <w:tblPrEx>
          <w:tblCellMar>
            <w:top w:w="0" w:type="dxa"/>
            <w:left w:w="0" w:type="dxa"/>
            <w:bottom w:w="0" w:type="dxa"/>
            <w:right w:w="0" w:type="dxa"/>
          </w:tblCellMar>
        </w:tblPrEx>
        <w:trPr>
          <w:trHeight w:val="645" w:hRule="atLeast"/>
          <w:jc w:val="center"/>
        </w:trPr>
        <w:tc>
          <w:tcPr>
            <w:tcW w:w="559"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555"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2289"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833"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905"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0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13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21"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r>
      <w:tr>
        <w:tblPrEx>
          <w:tblCellMar>
            <w:top w:w="0" w:type="dxa"/>
            <w:left w:w="0" w:type="dxa"/>
            <w:bottom w:w="0" w:type="dxa"/>
            <w:right w:w="0" w:type="dxa"/>
          </w:tblCellMar>
        </w:tblPrEx>
        <w:trPr>
          <w:trHeight w:val="645" w:hRule="atLeast"/>
          <w:jc w:val="center"/>
        </w:trPr>
        <w:tc>
          <w:tcPr>
            <w:tcW w:w="55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555"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228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83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90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0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13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c>
          <w:tcPr>
            <w:tcW w:w="122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szCs w:val="21"/>
              </w:rPr>
            </w:pPr>
          </w:p>
        </w:tc>
      </w:tr>
      <w:tr>
        <w:tblPrEx>
          <w:tblCellMar>
            <w:top w:w="0" w:type="dxa"/>
            <w:left w:w="0" w:type="dxa"/>
            <w:bottom w:w="0" w:type="dxa"/>
            <w:right w:w="0" w:type="dxa"/>
          </w:tblCellMar>
        </w:tblPrEx>
        <w:trPr>
          <w:trHeight w:val="5610" w:hRule="atLeast"/>
          <w:jc w:val="center"/>
        </w:trPr>
        <w:tc>
          <w:tcPr>
            <w:tcW w:w="9700" w:type="dxa"/>
            <w:gridSpan w:val="8"/>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ind w:firstLine="1050" w:firstLineChars="500"/>
              <w:rPr>
                <w:rFonts w:ascii="宋体" w:hAnsi="宋体" w:cs="宋体"/>
                <w:szCs w:val="21"/>
              </w:rPr>
            </w:pPr>
            <w:bookmarkStart w:id="126" w:name="_Toc388091835"/>
            <w:r>
              <w:rPr>
                <w:rFonts w:hint="eastAsia" w:ascii="宋体" w:hAnsi="宋体" w:cs="宋体"/>
                <w:szCs w:val="21"/>
              </w:rPr>
              <w:t>优惠条件：</w:t>
            </w:r>
            <w:bookmarkEnd w:id="126"/>
          </w:p>
          <w:p>
            <w:pPr>
              <w:spacing w:line="500" w:lineRule="exact"/>
              <w:jc w:val="center"/>
              <w:rPr>
                <w:rFonts w:ascii="宋体" w:hAnsi="宋体" w:cs="宋体"/>
                <w:szCs w:val="21"/>
              </w:rPr>
            </w:pPr>
          </w:p>
          <w:p>
            <w:pPr>
              <w:spacing w:line="500" w:lineRule="exact"/>
              <w:ind w:firstLine="4180" w:firstLineChars="1900"/>
              <w:rPr>
                <w:rFonts w:ascii="宋体" w:hAnsi="宋体"/>
                <w:sz w:val="22"/>
                <w:szCs w:val="22"/>
              </w:rPr>
            </w:pPr>
            <w:bookmarkStart w:id="127" w:name="_Toc388091838"/>
            <w:bookmarkEnd w:id="127"/>
            <w:r>
              <w:rPr>
                <w:rFonts w:hint="eastAsia" w:ascii="宋体" w:hAnsi="宋体"/>
                <w:sz w:val="22"/>
                <w:szCs w:val="22"/>
              </w:rPr>
              <w:t>供应商名称：（盖单位公章）</w:t>
            </w:r>
          </w:p>
          <w:p>
            <w:pPr>
              <w:spacing w:line="500" w:lineRule="exact"/>
              <w:jc w:val="center"/>
              <w:rPr>
                <w:rFonts w:ascii="宋体" w:hAnsi="宋体"/>
                <w:sz w:val="22"/>
                <w:szCs w:val="22"/>
              </w:rPr>
            </w:pPr>
            <w:r>
              <w:rPr>
                <w:rFonts w:hint="eastAsia" w:ascii="宋体" w:hAnsi="宋体"/>
                <w:sz w:val="22"/>
                <w:szCs w:val="22"/>
              </w:rPr>
              <w:t xml:space="preserve">                                   法定代表人（负责人）或其委托代理人：（签字）</w:t>
            </w:r>
          </w:p>
          <w:p>
            <w:pPr>
              <w:pStyle w:val="64"/>
              <w:spacing w:line="500" w:lineRule="exact"/>
              <w:ind w:firstLine="4620" w:firstLineChars="2200"/>
              <w:rPr>
                <w:rFonts w:ascii="宋体" w:hAnsi="宋体" w:cs="宋体"/>
                <w:szCs w:val="21"/>
              </w:rPr>
            </w:pPr>
            <w:r>
              <w:rPr>
                <w:rFonts w:hint="eastAsia" w:ascii="宋体" w:hAnsi="宋体" w:cs="宋体"/>
                <w:szCs w:val="21"/>
              </w:rPr>
              <w:t>日   期： 年</w:t>
            </w:r>
            <w:r>
              <w:rPr>
                <w:rFonts w:hint="eastAsia" w:ascii="宋体" w:hAnsi="宋体" w:cs="宋体"/>
                <w:szCs w:val="21"/>
                <w:lang w:val="en-US" w:eastAsia="zh-CN"/>
              </w:rPr>
              <w:t xml:space="preserve">  </w:t>
            </w:r>
            <w:r>
              <w:rPr>
                <w:rFonts w:hint="eastAsia" w:ascii="宋体" w:hAnsi="宋体" w:cs="宋体"/>
                <w:szCs w:val="21"/>
              </w:rPr>
              <w:t>月</w:t>
            </w:r>
            <w:r>
              <w:rPr>
                <w:rFonts w:hint="eastAsia" w:ascii="宋体" w:hAnsi="宋体" w:cs="宋体"/>
                <w:szCs w:val="21"/>
                <w:lang w:val="en-US" w:eastAsia="zh-CN"/>
              </w:rPr>
              <w:t xml:space="preserve">   </w:t>
            </w:r>
            <w:r>
              <w:rPr>
                <w:rFonts w:hint="eastAsia" w:ascii="宋体" w:hAnsi="宋体" w:cs="宋体"/>
                <w:szCs w:val="21"/>
              </w:rPr>
              <w:t>日</w:t>
            </w:r>
          </w:p>
          <w:p>
            <w:pPr>
              <w:spacing w:line="600" w:lineRule="exact"/>
              <w:ind w:firstLine="420"/>
              <w:rPr>
                <w:rFonts w:ascii="宋体" w:hAnsi="宋体" w:cs="宋体"/>
                <w:kern w:val="0"/>
                <w:szCs w:val="21"/>
              </w:rPr>
            </w:pPr>
          </w:p>
          <w:p>
            <w:pPr>
              <w:spacing w:line="500" w:lineRule="exact"/>
              <w:jc w:val="center"/>
              <w:rPr>
                <w:rFonts w:ascii="宋体" w:hAnsi="宋体" w:cs="宋体"/>
                <w:szCs w:val="21"/>
              </w:rPr>
            </w:pPr>
          </w:p>
        </w:tc>
      </w:tr>
      <w:bookmarkEnd w:id="116"/>
    </w:tbl>
    <w:p>
      <w:pPr>
        <w:pStyle w:val="20"/>
        <w:jc w:val="both"/>
        <w:rPr>
          <w:rFonts w:hint="eastAsia" w:ascii="宋体" w:hAnsi="宋体" w:cs="宋体"/>
          <w:color w:val="auto"/>
          <w:highlight w:val="none"/>
          <w:lang w:eastAsia="zh-CN"/>
        </w:rPr>
      </w:pPr>
    </w:p>
    <w:p>
      <w:pPr>
        <w:pStyle w:val="20"/>
        <w:rPr>
          <w:rFonts w:ascii="宋体" w:cs="宋体"/>
          <w:color w:val="auto"/>
          <w:highlight w:val="none"/>
        </w:rPr>
      </w:pPr>
      <w:r>
        <w:rPr>
          <w:rFonts w:hint="eastAsia" w:ascii="宋体" w:hAnsi="宋体" w:cs="宋体"/>
          <w:color w:val="auto"/>
          <w:highlight w:val="none"/>
          <w:lang w:eastAsia="zh-CN"/>
        </w:rPr>
        <w:t>三</w:t>
      </w:r>
      <w:r>
        <w:rPr>
          <w:rFonts w:hint="eastAsia" w:ascii="宋体" w:hAnsi="宋体" w:cs="宋体"/>
          <w:color w:val="auto"/>
          <w:highlight w:val="none"/>
        </w:rPr>
        <w:t>、</w:t>
      </w:r>
      <w:r>
        <w:rPr>
          <w:rFonts w:hint="eastAsia" w:ascii="宋体" w:hAnsi="宋体" w:cs="宋体"/>
          <w:color w:val="auto"/>
          <w:highlight w:val="none"/>
          <w:lang w:eastAsia="zh-CN"/>
        </w:rPr>
        <w:t>（</w:t>
      </w:r>
      <w:r>
        <w:rPr>
          <w:rFonts w:hint="eastAsia" w:ascii="宋体" w:hAnsi="宋体" w:cs="宋体"/>
          <w:color w:val="auto"/>
          <w:highlight w:val="none"/>
          <w:lang w:val="en-US" w:eastAsia="zh-CN"/>
        </w:rPr>
        <w:t>1</w:t>
      </w:r>
      <w:r>
        <w:rPr>
          <w:rFonts w:hint="eastAsia" w:ascii="宋体" w:hAnsi="宋体" w:cs="宋体"/>
          <w:color w:val="auto"/>
          <w:highlight w:val="none"/>
          <w:lang w:eastAsia="zh-CN"/>
        </w:rPr>
        <w:t>）</w:t>
      </w:r>
      <w:r>
        <w:rPr>
          <w:rFonts w:hint="eastAsia" w:ascii="宋体" w:hAnsi="宋体" w:cs="宋体"/>
          <w:color w:val="auto"/>
          <w:highlight w:val="none"/>
        </w:rPr>
        <w:t>法定代表人（负责人）身份证明</w:t>
      </w:r>
      <w:bookmarkEnd w:id="115"/>
    </w:p>
    <w:p>
      <w:pPr>
        <w:pStyle w:val="35"/>
        <w:jc w:val="center"/>
        <w:rPr>
          <w:rFonts w:hAnsi="宋体"/>
          <w:b/>
          <w:bCs/>
          <w:color w:val="auto"/>
          <w:kern w:val="28"/>
          <w:sz w:val="28"/>
          <w:szCs w:val="28"/>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供应商名称：</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单位性质：</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地址：</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成立时间：</w:t>
      </w: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r>
        <w:rPr>
          <w:rFonts w:ascii="宋体" w:hAnsi="宋体" w:cs="宋体"/>
          <w:color w:val="auto"/>
          <w:szCs w:val="21"/>
          <w:highlight w:val="none"/>
          <w:u w:val="single"/>
        </w:rPr>
        <w:t xml:space="preserve">        </w:t>
      </w:r>
      <w:r>
        <w:rPr>
          <w:rFonts w:hint="eastAsia" w:ascii="宋体" w:hAnsi="宋体" w:cs="宋体"/>
          <w:color w:val="auto"/>
          <w:szCs w:val="21"/>
          <w:highlight w:val="none"/>
        </w:rPr>
        <w:t>月</w:t>
      </w:r>
      <w:r>
        <w:rPr>
          <w:rFonts w:ascii="宋体" w:hAnsi="宋体" w:cs="宋体"/>
          <w:color w:val="auto"/>
          <w:szCs w:val="21"/>
          <w:highlight w:val="none"/>
          <w:u w:val="single"/>
        </w:rPr>
        <w:t xml:space="preserve">        </w:t>
      </w:r>
      <w:r>
        <w:rPr>
          <w:rFonts w:hint="eastAsia" w:ascii="宋体" w:hAnsi="宋体" w:cs="宋体"/>
          <w:color w:val="auto"/>
          <w:szCs w:val="21"/>
          <w:highlight w:val="none"/>
        </w:rPr>
        <w:t>日</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经营期限：</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姓名：</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性别：</w:t>
      </w:r>
      <w:r>
        <w:rPr>
          <w:rFonts w:ascii="宋体" w:hAnsi="宋体" w:cs="宋体"/>
          <w:color w:val="auto"/>
          <w:szCs w:val="21"/>
          <w:highlight w:val="none"/>
          <w:u w:val="single"/>
        </w:rPr>
        <w:t xml:space="preserve">         </w:t>
      </w:r>
      <w:r>
        <w:rPr>
          <w:rFonts w:hint="eastAsia" w:ascii="宋体" w:hAnsi="宋体" w:cs="宋体"/>
          <w:color w:val="auto"/>
          <w:szCs w:val="21"/>
          <w:highlight w:val="none"/>
        </w:rPr>
        <w:t>年龄：</w:t>
      </w:r>
      <w:r>
        <w:rPr>
          <w:rFonts w:ascii="宋体" w:hAnsi="宋体" w:cs="宋体"/>
          <w:color w:val="auto"/>
          <w:szCs w:val="21"/>
          <w:highlight w:val="none"/>
          <w:u w:val="single"/>
        </w:rPr>
        <w:t xml:space="preserve">        </w:t>
      </w:r>
      <w:r>
        <w:rPr>
          <w:rFonts w:hint="eastAsia" w:ascii="宋体" w:hAnsi="宋体" w:cs="宋体"/>
          <w:color w:val="auto"/>
          <w:szCs w:val="21"/>
          <w:highlight w:val="none"/>
        </w:rPr>
        <w:t>职务：</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系</w:t>
      </w:r>
      <w:r>
        <w:rPr>
          <w:rFonts w:ascii="宋体" w:hAnsi="宋体" w:cs="宋体"/>
          <w:color w:val="auto"/>
          <w:szCs w:val="21"/>
          <w:highlight w:val="none"/>
          <w:u w:val="single"/>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（供应商名称）的法定代表人。</w:t>
      </w:r>
    </w:p>
    <w:p>
      <w:pPr>
        <w:spacing w:line="560" w:lineRule="exact"/>
        <w:ind w:firstLine="420" w:firstLineChars="200"/>
        <w:rPr>
          <w:rFonts w:ascii="宋体" w:cs="宋体"/>
          <w:color w:val="auto"/>
          <w:szCs w:val="21"/>
          <w:highlight w:val="none"/>
        </w:rPr>
      </w:pPr>
      <w:r>
        <w:rPr>
          <w:rFonts w:hint="eastAsia" w:ascii="宋体" w:hAnsi="宋体" w:cs="宋体"/>
          <w:color w:val="auto"/>
          <w:szCs w:val="21"/>
          <w:highlight w:val="none"/>
        </w:rPr>
        <w:t>特此证明。</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法定代表人身份证明</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w:t>
      </w:r>
      <w:r>
        <w:rPr>
          <w:rFonts w:ascii="宋体" w:hAnsi="宋体" w:cs="宋体"/>
          <w:color w:val="auto"/>
          <w:szCs w:val="21"/>
          <w:highlight w:val="none"/>
          <w:u w:val="single"/>
        </w:rPr>
        <w:t xml:space="preserve">                 </w:t>
      </w:r>
      <w:r>
        <w:rPr>
          <w:rFonts w:hint="eastAsia" w:ascii="宋体" w:hAnsi="宋体" w:cs="宋体"/>
          <w:color w:val="auto"/>
          <w:szCs w:val="21"/>
          <w:highlight w:val="none"/>
        </w:rPr>
        <w:t>（盖单位章）</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r>
        <w:rPr>
          <w:rFonts w:ascii="宋体" w:hAnsi="宋体" w:cs="宋体"/>
          <w:color w:val="auto"/>
          <w:szCs w:val="21"/>
          <w:highlight w:val="none"/>
          <w:u w:val="single"/>
        </w:rPr>
        <w:t xml:space="preserve">       </w:t>
      </w:r>
      <w:r>
        <w:rPr>
          <w:rFonts w:hint="eastAsia" w:ascii="宋体" w:hAnsi="宋体" w:cs="宋体"/>
          <w:color w:val="auto"/>
          <w:szCs w:val="21"/>
          <w:highlight w:val="none"/>
        </w:rPr>
        <w:t>月</w:t>
      </w:r>
      <w:r>
        <w:rPr>
          <w:rFonts w:ascii="宋体" w:hAnsi="宋体" w:cs="宋体"/>
          <w:color w:val="auto"/>
          <w:szCs w:val="21"/>
          <w:highlight w:val="none"/>
          <w:u w:val="single"/>
        </w:rPr>
        <w:t xml:space="preserve">       </w:t>
      </w:r>
      <w:r>
        <w:rPr>
          <w:rFonts w:hint="eastAsia" w:ascii="宋体" w:hAnsi="宋体" w:cs="宋体"/>
          <w:color w:val="auto"/>
          <w:szCs w:val="21"/>
          <w:highlight w:val="none"/>
        </w:rPr>
        <w:t>日</w:t>
      </w:r>
      <w:r>
        <w:rPr>
          <w:rFonts w:ascii="宋体" w:hAnsi="宋体" w:cs="宋体"/>
          <w:color w:val="auto"/>
          <w:szCs w:val="21"/>
          <w:highlight w:val="none"/>
        </w:rPr>
        <w:t xml:space="preserve">           </w:t>
      </w:r>
    </w:p>
    <w:p>
      <w:pPr>
        <w:pStyle w:val="20"/>
        <w:rPr>
          <w:rFonts w:ascii="宋体" w:cs="宋体"/>
          <w:color w:val="auto"/>
          <w:highlight w:val="none"/>
        </w:rPr>
      </w:pPr>
      <w:r>
        <w:rPr>
          <w:rFonts w:ascii="宋体" w:cs="宋体"/>
          <w:color w:val="auto"/>
          <w:highlight w:val="none"/>
        </w:rPr>
        <w:br w:type="page"/>
      </w:r>
      <w:bookmarkStart w:id="128" w:name="_Toc22543"/>
      <w:bookmarkStart w:id="129" w:name="_Toc14665"/>
      <w:r>
        <w:rPr>
          <w:rFonts w:hint="eastAsia" w:ascii="宋体" w:cs="宋体"/>
          <w:color w:val="auto"/>
          <w:highlight w:val="none"/>
          <w:lang w:eastAsia="zh-CN"/>
        </w:rPr>
        <w:t>（</w:t>
      </w:r>
      <w:r>
        <w:rPr>
          <w:rFonts w:hint="eastAsia" w:ascii="宋体" w:cs="宋体"/>
          <w:color w:val="auto"/>
          <w:highlight w:val="none"/>
          <w:lang w:val="en-US" w:eastAsia="zh-CN"/>
        </w:rPr>
        <w:t>2）</w:t>
      </w:r>
      <w:r>
        <w:rPr>
          <w:rFonts w:hint="eastAsia" w:ascii="宋体" w:hAnsi="宋体" w:cs="宋体"/>
          <w:color w:val="auto"/>
          <w:highlight w:val="none"/>
        </w:rPr>
        <w:t>授权委托书</w:t>
      </w:r>
      <w:bookmarkEnd w:id="128"/>
      <w:bookmarkEnd w:id="129"/>
    </w:p>
    <w:p>
      <w:pPr>
        <w:spacing w:line="440" w:lineRule="exact"/>
        <w:rPr>
          <w:rFonts w:ascii="宋体" w:cs="宋体"/>
          <w:color w:val="auto"/>
          <w:szCs w:val="21"/>
          <w:highlight w:val="none"/>
        </w:rPr>
      </w:pPr>
    </w:p>
    <w:p>
      <w:pPr>
        <w:topLinePunct/>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本人</w:t>
      </w:r>
      <w:r>
        <w:rPr>
          <w:rFonts w:ascii="宋体" w:hAnsi="宋体" w:cs="宋体"/>
          <w:color w:val="auto"/>
          <w:szCs w:val="21"/>
          <w:highlight w:val="none"/>
          <w:u w:val="single"/>
        </w:rPr>
        <w:t xml:space="preserve">                </w:t>
      </w:r>
      <w:r>
        <w:rPr>
          <w:rFonts w:hint="eastAsia" w:ascii="宋体" w:hAnsi="宋体" w:cs="宋体"/>
          <w:color w:val="auto"/>
          <w:szCs w:val="21"/>
          <w:highlight w:val="none"/>
        </w:rPr>
        <w:t>（姓名）系</w:t>
      </w:r>
      <w:r>
        <w:rPr>
          <w:rFonts w:ascii="宋体" w:hAnsi="宋体" w:cs="宋体"/>
          <w:color w:val="auto"/>
          <w:szCs w:val="21"/>
          <w:highlight w:val="none"/>
          <w:u w:val="single"/>
        </w:rPr>
        <w:t xml:space="preserve">                        </w:t>
      </w:r>
      <w:r>
        <w:rPr>
          <w:rFonts w:hint="eastAsia" w:ascii="宋体" w:hAnsi="宋体" w:cs="宋体"/>
          <w:color w:val="auto"/>
          <w:szCs w:val="21"/>
          <w:highlight w:val="none"/>
        </w:rPr>
        <w:t>（供应商名称）的法定代表人（负责人），现委托</w:t>
      </w:r>
      <w:r>
        <w:rPr>
          <w:rFonts w:ascii="宋体" w:hAnsi="宋体" w:cs="宋体"/>
          <w:color w:val="auto"/>
          <w:szCs w:val="21"/>
          <w:highlight w:val="none"/>
          <w:u w:val="single"/>
        </w:rPr>
        <w:t xml:space="preserve">            </w:t>
      </w:r>
      <w:r>
        <w:rPr>
          <w:rFonts w:hint="eastAsia" w:ascii="宋体" w:hAnsi="宋体" w:cs="宋体"/>
          <w:color w:val="auto"/>
          <w:szCs w:val="21"/>
          <w:highlight w:val="none"/>
        </w:rPr>
        <w:t>（姓名）为我方代理人。代理人根据授权，以我方名义签署、澄清、说明、补正、递交、撤回、修改</w:t>
      </w:r>
      <w:r>
        <w:rPr>
          <w:rFonts w:ascii="宋体" w:hAnsi="宋体" w:cs="宋体"/>
          <w:color w:val="auto"/>
          <w:szCs w:val="21"/>
          <w:highlight w:val="none"/>
          <w:u w:val="single"/>
        </w:rPr>
        <w:t xml:space="preserve">                      </w:t>
      </w:r>
      <w:r>
        <w:rPr>
          <w:rFonts w:hint="eastAsia" w:ascii="宋体" w:hAnsi="宋体" w:cs="宋体"/>
          <w:color w:val="auto"/>
          <w:szCs w:val="21"/>
          <w:highlight w:val="none"/>
        </w:rPr>
        <w:t>（项目名称）响应文件、签订合同和处理有关事宜，其法律后果由我方承担。</w:t>
      </w: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委托期限：</w:t>
      </w:r>
      <w:r>
        <w:rPr>
          <w:rFonts w:ascii="宋体" w:hAnsi="宋体" w:cs="宋体"/>
          <w:color w:val="auto"/>
          <w:szCs w:val="21"/>
          <w:highlight w:val="none"/>
          <w:u w:val="single"/>
        </w:rPr>
        <w:t xml:space="preserve">             </w:t>
      </w:r>
      <w:r>
        <w:rPr>
          <w:rFonts w:hint="eastAsia" w:ascii="宋体" w:hAnsi="宋体" w:cs="宋体"/>
          <w:color w:val="auto"/>
          <w:szCs w:val="21"/>
          <w:highlight w:val="none"/>
        </w:rPr>
        <w:t>。</w:t>
      </w:r>
    </w:p>
    <w:p>
      <w:pPr>
        <w:spacing w:line="560" w:lineRule="exact"/>
        <w:ind w:firstLine="420" w:firstLineChars="200"/>
        <w:rPr>
          <w:rFonts w:ascii="宋体" w:cs="宋体"/>
          <w:color w:val="auto"/>
          <w:szCs w:val="21"/>
          <w:highlight w:val="none"/>
        </w:rPr>
      </w:pPr>
      <w:r>
        <w:rPr>
          <w:rFonts w:hint="eastAsia" w:ascii="宋体" w:hAnsi="宋体" w:cs="宋体"/>
          <w:color w:val="auto"/>
          <w:szCs w:val="21"/>
          <w:highlight w:val="none"/>
        </w:rPr>
        <w:t>代理人无转委托权。</w:t>
      </w:r>
    </w:p>
    <w:p>
      <w:pPr>
        <w:spacing w:line="560" w:lineRule="exact"/>
        <w:ind w:firstLine="420" w:firstLineChars="200"/>
        <w:rPr>
          <w:rFonts w:ascii="宋体" w:cs="宋体"/>
          <w:color w:val="auto"/>
          <w:szCs w:val="21"/>
          <w:highlight w:val="none"/>
        </w:rPr>
      </w:pPr>
      <w:r>
        <w:rPr>
          <w:rFonts w:hint="eastAsia" w:ascii="宋体" w:hAnsi="宋体" w:cs="宋体"/>
          <w:color w:val="auto"/>
          <w:szCs w:val="21"/>
          <w:highlight w:val="none"/>
        </w:rPr>
        <w:t>附：委托代理人身份证明</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w:t>
      </w:r>
      <w:r>
        <w:rPr>
          <w:rFonts w:ascii="宋体" w:hAnsi="宋体" w:cs="宋体"/>
          <w:color w:val="auto"/>
          <w:szCs w:val="21"/>
          <w:highlight w:val="none"/>
          <w:u w:val="single"/>
        </w:rPr>
        <w:t xml:space="preserve">                               </w:t>
      </w:r>
      <w:r>
        <w:rPr>
          <w:rFonts w:hint="eastAsia" w:ascii="宋体" w:hAnsi="宋体" w:cs="宋体"/>
          <w:color w:val="auto"/>
          <w:szCs w:val="21"/>
          <w:highlight w:val="none"/>
        </w:rPr>
        <w:t>（盖单位章）</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法定代表人：</w:t>
      </w:r>
      <w:r>
        <w:rPr>
          <w:rFonts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身份证号码：</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委托代理人：</w:t>
      </w:r>
      <w:r>
        <w:rPr>
          <w:rFonts w:ascii="宋体" w:hAnsi="宋体" w:cs="宋体"/>
          <w:color w:val="auto"/>
          <w:szCs w:val="21"/>
          <w:highlight w:val="none"/>
          <w:u w:val="single"/>
        </w:rPr>
        <w:t xml:space="preserve">                                   </w:t>
      </w:r>
      <w:r>
        <w:rPr>
          <w:rFonts w:hint="eastAsia" w:ascii="宋体" w:hAnsi="宋体" w:cs="宋体"/>
          <w:color w:val="auto"/>
          <w:szCs w:val="21"/>
          <w:highlight w:val="none"/>
        </w:rPr>
        <w:t>（签字）</w:t>
      </w:r>
      <w:r>
        <w:rPr>
          <w:rFonts w:ascii="宋体" w:hAnsi="宋体" w:cs="宋体"/>
          <w:color w:val="auto"/>
          <w:szCs w:val="21"/>
          <w:highlight w:val="none"/>
        </w:rPr>
        <w:t xml:space="preserve"> </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身份证号码：</w:t>
      </w:r>
      <w:r>
        <w:rPr>
          <w:rFonts w:ascii="宋体" w:hAnsi="宋体" w:cs="宋体"/>
          <w:color w:val="auto"/>
          <w:szCs w:val="21"/>
          <w:highlight w:val="none"/>
          <w:u w:val="single"/>
        </w:rPr>
        <w:t xml:space="preserve">                                      </w:t>
      </w:r>
    </w:p>
    <w:p>
      <w:pPr>
        <w:spacing w:line="560" w:lineRule="exact"/>
        <w:rPr>
          <w:rFonts w:ascii="宋体" w:cs="宋体"/>
          <w:color w:val="auto"/>
          <w:szCs w:val="21"/>
          <w:highlight w:val="none"/>
        </w:rPr>
      </w:pPr>
    </w:p>
    <w:p>
      <w:pPr>
        <w:spacing w:line="560" w:lineRule="exact"/>
        <w:rPr>
          <w:rFonts w:ascii="宋体" w:cs="宋体"/>
          <w:color w:val="auto"/>
          <w:szCs w:val="21"/>
          <w:highlight w:val="none"/>
        </w:rPr>
      </w:pPr>
    </w:p>
    <w:p>
      <w:pPr>
        <w:spacing w:line="560" w:lineRule="exact"/>
        <w:ind w:firstLine="525" w:firstLineChars="250"/>
        <w:jc w:val="right"/>
        <w:rPr>
          <w:rFonts w:ascii="宋体" w:cs="宋体"/>
          <w:color w:val="auto"/>
          <w:szCs w:val="21"/>
          <w:highlight w:val="none"/>
        </w:rPr>
      </w:pPr>
      <w:r>
        <w:rPr>
          <w:rFonts w:ascii="宋体" w:hAnsi="宋体" w:cs="宋体"/>
          <w:color w:val="auto"/>
          <w:szCs w:val="21"/>
          <w:highlight w:val="none"/>
          <w:u w:val="single"/>
        </w:rPr>
        <w:t xml:space="preserve">       </w:t>
      </w:r>
      <w:r>
        <w:rPr>
          <w:rFonts w:hint="eastAsia" w:ascii="宋体" w:hAnsi="宋体" w:cs="宋体"/>
          <w:color w:val="auto"/>
          <w:szCs w:val="21"/>
          <w:highlight w:val="none"/>
        </w:rPr>
        <w:t>年</w:t>
      </w:r>
      <w:r>
        <w:rPr>
          <w:rFonts w:ascii="宋体" w:hAnsi="宋体" w:cs="宋体"/>
          <w:color w:val="auto"/>
          <w:szCs w:val="21"/>
          <w:highlight w:val="none"/>
          <w:u w:val="single"/>
        </w:rPr>
        <w:t xml:space="preserve">       </w:t>
      </w:r>
      <w:r>
        <w:rPr>
          <w:rFonts w:hint="eastAsia" w:ascii="宋体" w:hAnsi="宋体" w:cs="宋体"/>
          <w:color w:val="auto"/>
          <w:szCs w:val="21"/>
          <w:highlight w:val="none"/>
        </w:rPr>
        <w:t>月</w:t>
      </w:r>
      <w:r>
        <w:rPr>
          <w:rFonts w:ascii="宋体" w:hAnsi="宋体" w:cs="宋体"/>
          <w:color w:val="auto"/>
          <w:szCs w:val="21"/>
          <w:highlight w:val="none"/>
          <w:u w:val="single"/>
        </w:rPr>
        <w:t xml:space="preserve">       </w:t>
      </w:r>
      <w:r>
        <w:rPr>
          <w:rFonts w:hint="eastAsia" w:ascii="宋体" w:hAnsi="宋体" w:cs="宋体"/>
          <w:color w:val="auto"/>
          <w:szCs w:val="21"/>
          <w:highlight w:val="none"/>
        </w:rPr>
        <w:t>日</w:t>
      </w:r>
    </w:p>
    <w:p>
      <w:pPr>
        <w:jc w:val="center"/>
        <w:rPr>
          <w:rFonts w:ascii="宋体" w:cs="宋体"/>
          <w:color w:val="auto"/>
          <w:szCs w:val="21"/>
          <w:highlight w:val="none"/>
        </w:rPr>
      </w:pPr>
      <w:bookmarkStart w:id="130" w:name="_Toc30296"/>
      <w:bookmarkStart w:id="131" w:name="_Toc19605"/>
    </w:p>
    <w:p>
      <w:pPr>
        <w:pStyle w:val="20"/>
        <w:rPr>
          <w:rFonts w:ascii="宋体" w:cs="宋体"/>
          <w:color w:val="auto"/>
          <w:highlight w:val="none"/>
        </w:rPr>
      </w:pPr>
      <w:bookmarkStart w:id="132" w:name="_Toc4490"/>
      <w:r>
        <w:rPr>
          <w:rFonts w:hint="eastAsia" w:ascii="宋体" w:hAnsi="宋体" w:cs="宋体"/>
          <w:color w:val="auto"/>
          <w:highlight w:val="none"/>
          <w:lang w:eastAsia="zh-CN"/>
        </w:rPr>
        <w:t>四</w:t>
      </w:r>
      <w:r>
        <w:rPr>
          <w:rFonts w:hint="eastAsia" w:ascii="宋体" w:hAnsi="宋体" w:cs="宋体"/>
          <w:color w:val="auto"/>
          <w:highlight w:val="none"/>
        </w:rPr>
        <w:t>、供应商基本情况表</w:t>
      </w:r>
      <w:bookmarkEnd w:id="130"/>
      <w:bookmarkEnd w:id="131"/>
      <w:bookmarkEnd w:id="132"/>
    </w:p>
    <w:p>
      <w:pPr>
        <w:spacing w:line="360" w:lineRule="exact"/>
        <w:rPr>
          <w:rFonts w:ascii="宋体" w:cs="宋体"/>
          <w:color w:val="auto"/>
          <w:szCs w:val="21"/>
          <w:highlight w:val="none"/>
        </w:rPr>
      </w:pPr>
    </w:p>
    <w:tbl>
      <w:tblPr>
        <w:tblStyle w:val="27"/>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086"/>
        <w:gridCol w:w="2612"/>
        <w:gridCol w:w="1306"/>
        <w:gridCol w:w="2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供应商名称</w:t>
            </w:r>
          </w:p>
        </w:tc>
        <w:tc>
          <w:tcPr>
            <w:tcW w:w="7618" w:type="dxa"/>
            <w:gridSpan w:val="4"/>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注册地址</w:t>
            </w:r>
          </w:p>
        </w:tc>
        <w:tc>
          <w:tcPr>
            <w:tcW w:w="3698" w:type="dxa"/>
            <w:gridSpan w:val="2"/>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邮政编码</w:t>
            </w:r>
          </w:p>
        </w:tc>
        <w:tc>
          <w:tcPr>
            <w:tcW w:w="2614"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Merge w:val="restart"/>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联系方式</w:t>
            </w:r>
          </w:p>
        </w:tc>
        <w:tc>
          <w:tcPr>
            <w:tcW w:w="108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联系人</w:t>
            </w:r>
          </w:p>
        </w:tc>
        <w:tc>
          <w:tcPr>
            <w:tcW w:w="2612" w:type="dxa"/>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电</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话</w:t>
            </w:r>
          </w:p>
        </w:tc>
        <w:tc>
          <w:tcPr>
            <w:tcW w:w="2614"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1523" w:type="dxa"/>
            <w:vMerge w:val="continue"/>
            <w:vAlign w:val="center"/>
          </w:tcPr>
          <w:p>
            <w:pPr>
              <w:autoSpaceDE w:val="0"/>
              <w:autoSpaceDN w:val="0"/>
              <w:adjustRightInd w:val="0"/>
              <w:spacing w:line="360" w:lineRule="exact"/>
              <w:jc w:val="center"/>
              <w:rPr>
                <w:rFonts w:ascii="宋体" w:cs="宋体"/>
                <w:color w:val="auto"/>
                <w:kern w:val="0"/>
                <w:szCs w:val="21"/>
                <w:highlight w:val="none"/>
              </w:rPr>
            </w:pPr>
          </w:p>
        </w:tc>
        <w:tc>
          <w:tcPr>
            <w:tcW w:w="108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传</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真</w:t>
            </w:r>
          </w:p>
        </w:tc>
        <w:tc>
          <w:tcPr>
            <w:tcW w:w="2612" w:type="dxa"/>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网</w:t>
            </w:r>
            <w:r>
              <w:rPr>
                <w:rFonts w:ascii="宋体" w:hAnsi="宋体" w:cs="宋体"/>
                <w:color w:val="auto"/>
                <w:kern w:val="0"/>
                <w:szCs w:val="21"/>
                <w:highlight w:val="none"/>
              </w:rPr>
              <w:t xml:space="preserve"> </w:t>
            </w:r>
            <w:r>
              <w:rPr>
                <w:rFonts w:hint="eastAsia" w:ascii="宋体" w:hAnsi="宋体" w:cs="宋体"/>
                <w:color w:val="auto"/>
                <w:kern w:val="0"/>
                <w:szCs w:val="21"/>
                <w:highlight w:val="none"/>
              </w:rPr>
              <w:t>址</w:t>
            </w:r>
          </w:p>
        </w:tc>
        <w:tc>
          <w:tcPr>
            <w:tcW w:w="2614"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组织结构</w:t>
            </w:r>
          </w:p>
        </w:tc>
        <w:tc>
          <w:tcPr>
            <w:tcW w:w="7618" w:type="dxa"/>
            <w:gridSpan w:val="4"/>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法定代表人</w:t>
            </w:r>
          </w:p>
        </w:tc>
        <w:tc>
          <w:tcPr>
            <w:tcW w:w="108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姓名</w:t>
            </w:r>
          </w:p>
        </w:tc>
        <w:tc>
          <w:tcPr>
            <w:tcW w:w="2612" w:type="dxa"/>
            <w:vAlign w:val="center"/>
          </w:tcPr>
          <w:p>
            <w:pPr>
              <w:autoSpaceDE w:val="0"/>
              <w:autoSpaceDN w:val="0"/>
              <w:adjustRightInd w:val="0"/>
              <w:spacing w:line="360" w:lineRule="exact"/>
              <w:jc w:val="center"/>
              <w:rPr>
                <w:rFonts w:ascii="宋体" w:cs="宋体"/>
                <w:color w:val="auto"/>
                <w:kern w:val="0"/>
                <w:szCs w:val="21"/>
                <w:highlight w:val="none"/>
              </w:rPr>
            </w:pPr>
          </w:p>
        </w:tc>
        <w:tc>
          <w:tcPr>
            <w:tcW w:w="1306"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电话</w:t>
            </w:r>
          </w:p>
        </w:tc>
        <w:tc>
          <w:tcPr>
            <w:tcW w:w="2614" w:type="dxa"/>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成立时间</w:t>
            </w:r>
          </w:p>
        </w:tc>
        <w:tc>
          <w:tcPr>
            <w:tcW w:w="7618" w:type="dxa"/>
            <w:gridSpan w:val="4"/>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营业执照号</w:t>
            </w:r>
          </w:p>
        </w:tc>
        <w:tc>
          <w:tcPr>
            <w:tcW w:w="7618" w:type="dxa"/>
            <w:gridSpan w:val="4"/>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注册资金</w:t>
            </w:r>
          </w:p>
        </w:tc>
        <w:tc>
          <w:tcPr>
            <w:tcW w:w="7618" w:type="dxa"/>
            <w:gridSpan w:val="4"/>
            <w:vAlign w:val="center"/>
          </w:tcPr>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4"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经营范围</w:t>
            </w:r>
          </w:p>
        </w:tc>
        <w:tc>
          <w:tcPr>
            <w:tcW w:w="7618" w:type="dxa"/>
            <w:gridSpan w:val="4"/>
            <w:vAlign w:val="center"/>
          </w:tcPr>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p>
            <w:pPr>
              <w:autoSpaceDE w:val="0"/>
              <w:autoSpaceDN w:val="0"/>
              <w:adjustRightInd w:val="0"/>
              <w:spacing w:line="360" w:lineRule="exact"/>
              <w:jc w:val="center"/>
              <w:rPr>
                <w:rFonts w:ascii="宋体" w:cs="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highlight w:val="none"/>
              </w:rPr>
            </w:pPr>
            <w:r>
              <w:rPr>
                <w:rFonts w:hint="eastAsia" w:ascii="宋体" w:hAnsi="宋体" w:cs="宋体"/>
                <w:color w:val="auto"/>
                <w:kern w:val="0"/>
                <w:szCs w:val="21"/>
                <w:highlight w:val="none"/>
              </w:rPr>
              <w:t>备注</w:t>
            </w:r>
          </w:p>
        </w:tc>
        <w:tc>
          <w:tcPr>
            <w:tcW w:w="7618" w:type="dxa"/>
            <w:gridSpan w:val="4"/>
            <w:vAlign w:val="center"/>
          </w:tcPr>
          <w:p>
            <w:pPr>
              <w:autoSpaceDE w:val="0"/>
              <w:autoSpaceDN w:val="0"/>
              <w:adjustRightInd w:val="0"/>
              <w:spacing w:line="360" w:lineRule="exact"/>
              <w:rPr>
                <w:rFonts w:ascii="宋体" w:cs="宋体"/>
                <w:color w:val="auto"/>
                <w:kern w:val="0"/>
                <w:szCs w:val="21"/>
                <w:highlight w:val="none"/>
              </w:rPr>
            </w:pPr>
            <w:r>
              <w:rPr>
                <w:rFonts w:hint="eastAsia" w:ascii="宋体" w:hAnsi="宋体" w:cs="宋体"/>
                <w:color w:val="auto"/>
                <w:kern w:val="0"/>
                <w:szCs w:val="21"/>
                <w:highlight w:val="none"/>
              </w:rPr>
              <w:t>供应商可跟据企业实际情况增加或删减填写此表</w:t>
            </w:r>
          </w:p>
        </w:tc>
      </w:tr>
    </w:tbl>
    <w:p>
      <w:pPr>
        <w:rPr>
          <w:color w:val="auto"/>
          <w:highlight w:val="none"/>
        </w:rPr>
      </w:pPr>
      <w:r>
        <w:rPr>
          <w:rFonts w:hint="eastAsia"/>
          <w:color w:val="auto"/>
          <w:highlight w:val="none"/>
        </w:rPr>
        <w:t>备注：本表应附相关证明文件</w:t>
      </w:r>
    </w:p>
    <w:p>
      <w:pPr>
        <w:spacing w:line="360" w:lineRule="exact"/>
        <w:jc w:val="left"/>
        <w:outlineLvl w:val="1"/>
        <w:rPr>
          <w:rFonts w:ascii="宋体" w:cs="宋体"/>
          <w:color w:val="auto"/>
          <w:sz w:val="28"/>
          <w:szCs w:val="28"/>
          <w:highlight w:val="none"/>
        </w:rPr>
      </w:pPr>
      <w:bookmarkStart w:id="133" w:name="_Toc24712"/>
    </w:p>
    <w:p>
      <w:pPr>
        <w:spacing w:line="360" w:lineRule="auto"/>
        <w:rPr>
          <w:rFonts w:ascii="Times New Roman" w:hAnsi="Times New Roman"/>
          <w:b/>
          <w:color w:val="auto"/>
          <w:sz w:val="28"/>
          <w:highlight w:val="none"/>
        </w:rPr>
      </w:pPr>
      <w:bookmarkStart w:id="134" w:name="_Toc355787721"/>
      <w:bookmarkStart w:id="135" w:name="_Toc304388439"/>
      <w:bookmarkStart w:id="136" w:name="_Toc341340664"/>
      <w:bookmarkStart w:id="137" w:name="_Hlk450185766"/>
    </w:p>
    <w:p>
      <w:pPr>
        <w:pStyle w:val="2"/>
        <w:rPr>
          <w:rFonts w:ascii="Times New Roman" w:hAnsi="Times New Roman"/>
          <w:b/>
          <w:color w:val="auto"/>
          <w:sz w:val="28"/>
          <w:highlight w:val="none"/>
        </w:rPr>
      </w:pPr>
    </w:p>
    <w:p/>
    <w:bookmarkEnd w:id="134"/>
    <w:bookmarkEnd w:id="135"/>
    <w:bookmarkEnd w:id="136"/>
    <w:bookmarkEnd w:id="137"/>
    <w:p>
      <w:pPr>
        <w:pStyle w:val="20"/>
        <w:spacing w:line="460" w:lineRule="exact"/>
        <w:rPr>
          <w:rFonts w:hint="eastAsia" w:ascii="宋体" w:hAnsi="宋体" w:cs="宋体"/>
          <w:color w:val="auto"/>
          <w:sz w:val="30"/>
          <w:szCs w:val="30"/>
          <w:highlight w:val="none"/>
        </w:rPr>
      </w:pPr>
      <w:bookmarkStart w:id="138" w:name="_Toc320969915"/>
      <w:bookmarkStart w:id="139" w:name="_Toc341340670"/>
      <w:bookmarkStart w:id="140" w:name="_Toc300210390"/>
      <w:bookmarkStart w:id="141" w:name="_Toc220232402"/>
      <w:bookmarkStart w:id="142" w:name="_Toc32658"/>
      <w:bookmarkStart w:id="143" w:name="_Toc516969105"/>
      <w:bookmarkStart w:id="144" w:name="_Toc477765595"/>
      <w:bookmarkStart w:id="145" w:name="_Toc355787727"/>
      <w:bookmarkStart w:id="146" w:name="_Toc8522"/>
      <w:r>
        <w:rPr>
          <w:rFonts w:hint="eastAsia" w:ascii="Times New Roman" w:hAnsi="Times New Roman"/>
          <w:color w:val="auto"/>
          <w:sz w:val="28"/>
          <w:szCs w:val="28"/>
          <w:highlight w:val="none"/>
          <w:lang w:eastAsia="zh-CN"/>
        </w:rPr>
        <w:t>五</w:t>
      </w:r>
      <w:r>
        <w:rPr>
          <w:rFonts w:ascii="Times New Roman" w:hAnsi="Times New Roman" w:eastAsia="宋体"/>
          <w:color w:val="auto"/>
          <w:sz w:val="28"/>
          <w:szCs w:val="28"/>
          <w:highlight w:val="none"/>
        </w:rPr>
        <w:t>．</w:t>
      </w:r>
      <w:bookmarkEnd w:id="138"/>
      <w:bookmarkEnd w:id="139"/>
      <w:bookmarkEnd w:id="140"/>
      <w:bookmarkEnd w:id="141"/>
      <w:bookmarkEnd w:id="142"/>
      <w:bookmarkEnd w:id="143"/>
      <w:bookmarkEnd w:id="144"/>
      <w:bookmarkEnd w:id="145"/>
      <w:r>
        <w:rPr>
          <w:rFonts w:hint="eastAsia" w:ascii="宋体" w:hAnsi="宋体" w:cs="宋体"/>
          <w:color w:val="auto"/>
          <w:sz w:val="30"/>
          <w:szCs w:val="30"/>
          <w:highlight w:val="none"/>
        </w:rPr>
        <w:t>企业业绩</w:t>
      </w:r>
      <w:bookmarkEnd w:id="146"/>
    </w:p>
    <w:p>
      <w:pPr>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近年类似业绩（如有）</w:t>
      </w:r>
    </w:p>
    <w:tbl>
      <w:tblPr>
        <w:tblStyle w:val="27"/>
        <w:tblpPr w:leftFromText="180" w:rightFromText="180" w:vertAnchor="text" w:horzAnchor="page" w:tblpX="1606"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7"/>
        <w:gridCol w:w="1708"/>
        <w:gridCol w:w="3204"/>
        <w:gridCol w:w="1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2137" w:type="dxa"/>
            <w:noWrap w:val="0"/>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项目名称</w:t>
            </w:r>
          </w:p>
        </w:tc>
        <w:tc>
          <w:tcPr>
            <w:tcW w:w="1708" w:type="dxa"/>
            <w:noWrap w:val="0"/>
            <w:vAlign w:val="center"/>
          </w:tcPr>
          <w:p>
            <w:pPr>
              <w:spacing w:line="360" w:lineRule="exact"/>
              <w:ind w:left="57"/>
              <w:jc w:val="center"/>
              <w:rPr>
                <w:rFonts w:ascii="宋体" w:cs="宋体"/>
                <w:color w:val="auto"/>
                <w:szCs w:val="21"/>
                <w:highlight w:val="none"/>
              </w:rPr>
            </w:pPr>
            <w:r>
              <w:rPr>
                <w:rFonts w:hint="eastAsia" w:ascii="宋体" w:hAnsi="宋体" w:cs="宋体"/>
                <w:color w:val="auto"/>
                <w:szCs w:val="21"/>
                <w:highlight w:val="none"/>
              </w:rPr>
              <w:t>签约日期</w:t>
            </w:r>
          </w:p>
        </w:tc>
        <w:tc>
          <w:tcPr>
            <w:tcW w:w="3204" w:type="dxa"/>
            <w:noWrap w:val="0"/>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业绩（合同）</w:t>
            </w:r>
          </w:p>
        </w:tc>
        <w:tc>
          <w:tcPr>
            <w:tcW w:w="1731" w:type="dxa"/>
            <w:noWrap w:val="0"/>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合同额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2137" w:type="dxa"/>
            <w:noWrap w:val="0"/>
            <w:vAlign w:val="top"/>
          </w:tcPr>
          <w:p>
            <w:pPr>
              <w:spacing w:line="360" w:lineRule="exact"/>
              <w:rPr>
                <w:rFonts w:ascii="宋体" w:cs="宋体"/>
                <w:color w:val="auto"/>
                <w:szCs w:val="21"/>
                <w:highlight w:val="none"/>
              </w:rPr>
            </w:pPr>
          </w:p>
        </w:tc>
        <w:tc>
          <w:tcPr>
            <w:tcW w:w="1708" w:type="dxa"/>
            <w:noWrap w:val="0"/>
            <w:vAlign w:val="top"/>
          </w:tcPr>
          <w:p>
            <w:pPr>
              <w:spacing w:line="360" w:lineRule="exact"/>
              <w:rPr>
                <w:rFonts w:ascii="宋体" w:cs="宋体"/>
                <w:color w:val="auto"/>
                <w:szCs w:val="21"/>
                <w:highlight w:val="none"/>
              </w:rPr>
            </w:pPr>
          </w:p>
        </w:tc>
        <w:tc>
          <w:tcPr>
            <w:tcW w:w="3204" w:type="dxa"/>
            <w:noWrap w:val="0"/>
            <w:vAlign w:val="top"/>
          </w:tcPr>
          <w:p>
            <w:pPr>
              <w:spacing w:line="360" w:lineRule="exact"/>
              <w:rPr>
                <w:rFonts w:ascii="宋体" w:cs="宋体"/>
                <w:color w:val="auto"/>
                <w:szCs w:val="21"/>
                <w:highlight w:val="none"/>
              </w:rPr>
            </w:pPr>
          </w:p>
        </w:tc>
        <w:tc>
          <w:tcPr>
            <w:tcW w:w="1731" w:type="dxa"/>
            <w:noWrap w:val="0"/>
            <w:vAlign w:val="top"/>
          </w:tcPr>
          <w:p>
            <w:pPr>
              <w:spacing w:line="360" w:lineRule="exact"/>
              <w:rPr>
                <w:rFonts w:asci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2137" w:type="dxa"/>
            <w:noWrap w:val="0"/>
            <w:vAlign w:val="top"/>
          </w:tcPr>
          <w:p>
            <w:pPr>
              <w:spacing w:line="360" w:lineRule="exact"/>
              <w:rPr>
                <w:rFonts w:ascii="宋体" w:cs="宋体"/>
                <w:color w:val="auto"/>
                <w:szCs w:val="21"/>
                <w:highlight w:val="none"/>
              </w:rPr>
            </w:pPr>
          </w:p>
        </w:tc>
        <w:tc>
          <w:tcPr>
            <w:tcW w:w="1708" w:type="dxa"/>
            <w:noWrap w:val="0"/>
            <w:vAlign w:val="top"/>
          </w:tcPr>
          <w:p>
            <w:pPr>
              <w:spacing w:line="360" w:lineRule="exact"/>
              <w:rPr>
                <w:rFonts w:ascii="宋体" w:cs="宋体"/>
                <w:color w:val="auto"/>
                <w:szCs w:val="21"/>
                <w:highlight w:val="none"/>
              </w:rPr>
            </w:pPr>
          </w:p>
        </w:tc>
        <w:tc>
          <w:tcPr>
            <w:tcW w:w="3204" w:type="dxa"/>
            <w:noWrap w:val="0"/>
            <w:vAlign w:val="top"/>
          </w:tcPr>
          <w:p>
            <w:pPr>
              <w:spacing w:line="360" w:lineRule="exact"/>
              <w:rPr>
                <w:rFonts w:ascii="宋体" w:cs="宋体"/>
                <w:color w:val="auto"/>
                <w:szCs w:val="21"/>
                <w:highlight w:val="none"/>
              </w:rPr>
            </w:pPr>
          </w:p>
        </w:tc>
        <w:tc>
          <w:tcPr>
            <w:tcW w:w="1731" w:type="dxa"/>
            <w:noWrap w:val="0"/>
            <w:vAlign w:val="top"/>
          </w:tcPr>
          <w:p>
            <w:pPr>
              <w:spacing w:line="360" w:lineRule="exact"/>
              <w:rPr>
                <w:rFonts w:asci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2137" w:type="dxa"/>
            <w:noWrap w:val="0"/>
            <w:vAlign w:val="top"/>
          </w:tcPr>
          <w:p>
            <w:pPr>
              <w:spacing w:line="360" w:lineRule="exact"/>
              <w:rPr>
                <w:rFonts w:ascii="宋体" w:cs="宋体"/>
                <w:color w:val="auto"/>
                <w:szCs w:val="21"/>
                <w:highlight w:val="none"/>
              </w:rPr>
            </w:pPr>
          </w:p>
        </w:tc>
        <w:tc>
          <w:tcPr>
            <w:tcW w:w="1708" w:type="dxa"/>
            <w:noWrap w:val="0"/>
            <w:vAlign w:val="top"/>
          </w:tcPr>
          <w:p>
            <w:pPr>
              <w:spacing w:line="360" w:lineRule="exact"/>
              <w:rPr>
                <w:rFonts w:ascii="宋体" w:cs="宋体"/>
                <w:color w:val="auto"/>
                <w:szCs w:val="21"/>
                <w:highlight w:val="none"/>
              </w:rPr>
            </w:pPr>
          </w:p>
        </w:tc>
        <w:tc>
          <w:tcPr>
            <w:tcW w:w="3204" w:type="dxa"/>
            <w:noWrap w:val="0"/>
            <w:vAlign w:val="top"/>
          </w:tcPr>
          <w:p>
            <w:pPr>
              <w:spacing w:line="360" w:lineRule="exact"/>
              <w:rPr>
                <w:rFonts w:ascii="宋体" w:cs="宋体"/>
                <w:color w:val="auto"/>
                <w:szCs w:val="21"/>
                <w:highlight w:val="none"/>
              </w:rPr>
            </w:pPr>
          </w:p>
        </w:tc>
        <w:tc>
          <w:tcPr>
            <w:tcW w:w="1731" w:type="dxa"/>
            <w:noWrap w:val="0"/>
            <w:vAlign w:val="top"/>
          </w:tcPr>
          <w:p>
            <w:pPr>
              <w:spacing w:line="360" w:lineRule="exact"/>
              <w:rPr>
                <w:rFonts w:asci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2137" w:type="dxa"/>
            <w:noWrap w:val="0"/>
            <w:vAlign w:val="top"/>
          </w:tcPr>
          <w:p>
            <w:pPr>
              <w:spacing w:line="360" w:lineRule="exact"/>
              <w:rPr>
                <w:rFonts w:ascii="宋体" w:cs="宋体"/>
                <w:color w:val="auto"/>
                <w:szCs w:val="21"/>
                <w:highlight w:val="none"/>
              </w:rPr>
            </w:pPr>
          </w:p>
        </w:tc>
        <w:tc>
          <w:tcPr>
            <w:tcW w:w="1708" w:type="dxa"/>
            <w:noWrap w:val="0"/>
            <w:vAlign w:val="top"/>
          </w:tcPr>
          <w:p>
            <w:pPr>
              <w:spacing w:line="360" w:lineRule="exact"/>
              <w:rPr>
                <w:rFonts w:ascii="宋体" w:cs="宋体"/>
                <w:color w:val="auto"/>
                <w:szCs w:val="21"/>
                <w:highlight w:val="none"/>
              </w:rPr>
            </w:pPr>
          </w:p>
        </w:tc>
        <w:tc>
          <w:tcPr>
            <w:tcW w:w="3204" w:type="dxa"/>
            <w:noWrap w:val="0"/>
            <w:vAlign w:val="top"/>
          </w:tcPr>
          <w:p>
            <w:pPr>
              <w:spacing w:line="360" w:lineRule="exact"/>
              <w:rPr>
                <w:rFonts w:ascii="宋体" w:cs="宋体"/>
                <w:color w:val="auto"/>
                <w:szCs w:val="21"/>
                <w:highlight w:val="none"/>
              </w:rPr>
            </w:pPr>
          </w:p>
        </w:tc>
        <w:tc>
          <w:tcPr>
            <w:tcW w:w="1731" w:type="dxa"/>
            <w:noWrap w:val="0"/>
            <w:vAlign w:val="top"/>
          </w:tcPr>
          <w:p>
            <w:pPr>
              <w:spacing w:line="360" w:lineRule="exact"/>
              <w:rPr>
                <w:rFonts w:ascii="宋体" w:cs="宋体"/>
                <w:color w:val="auto"/>
                <w:szCs w:val="21"/>
                <w:highlight w:val="none"/>
              </w:rPr>
            </w:pPr>
          </w:p>
        </w:tc>
      </w:tr>
    </w:tbl>
    <w:p>
      <w:pPr>
        <w:ind w:left="721" w:hanging="718" w:hangingChars="342"/>
        <w:rPr>
          <w:rFonts w:ascii="宋体" w:hAnsi="宋体" w:cs="宋体"/>
          <w:color w:val="auto"/>
          <w:highlight w:val="none"/>
        </w:rPr>
      </w:pPr>
    </w:p>
    <w:p>
      <w:pPr>
        <w:pStyle w:val="20"/>
        <w:rPr>
          <w:rFonts w:hint="eastAsia" w:ascii="Times New Roman" w:hAnsi="Times New Roman"/>
          <w:color w:val="auto"/>
          <w:sz w:val="28"/>
          <w:szCs w:val="28"/>
          <w:highlight w:val="none"/>
        </w:rPr>
      </w:pPr>
    </w:p>
    <w:p>
      <w:pPr>
        <w:pStyle w:val="20"/>
        <w:rPr>
          <w:rFonts w:hint="eastAsia" w:ascii="Times New Roman" w:hAnsi="Times New Roman"/>
          <w:color w:val="auto"/>
          <w:sz w:val="28"/>
          <w:szCs w:val="28"/>
          <w:highlight w:val="none"/>
        </w:rPr>
      </w:pPr>
    </w:p>
    <w:p>
      <w:pPr>
        <w:pStyle w:val="20"/>
        <w:rPr>
          <w:rFonts w:hint="eastAsia" w:ascii="Times New Roman" w:hAnsi="Times New Roman"/>
          <w:color w:val="auto"/>
          <w:sz w:val="28"/>
          <w:szCs w:val="28"/>
          <w:highlight w:val="none"/>
        </w:rPr>
      </w:pPr>
    </w:p>
    <w:p>
      <w:pPr>
        <w:pStyle w:val="20"/>
        <w:rPr>
          <w:rFonts w:hint="eastAsia" w:ascii="Times New Roman" w:hAnsi="Times New Roman"/>
          <w:color w:val="auto"/>
          <w:sz w:val="28"/>
          <w:szCs w:val="28"/>
          <w:highlight w:val="none"/>
        </w:rPr>
      </w:pPr>
    </w:p>
    <w:p>
      <w:pPr>
        <w:pStyle w:val="20"/>
        <w:rPr>
          <w:rFonts w:hint="eastAsia" w:ascii="Times New Roman" w:hAnsi="Times New Roman"/>
          <w:color w:val="auto"/>
          <w:sz w:val="28"/>
          <w:szCs w:val="28"/>
          <w:highlight w:val="none"/>
        </w:rPr>
      </w:pPr>
    </w:p>
    <w:p>
      <w:pPr>
        <w:pStyle w:val="20"/>
        <w:rPr>
          <w:rFonts w:hint="eastAsia" w:ascii="Times New Roman" w:hAnsi="Times New Roman"/>
          <w:color w:val="auto"/>
          <w:sz w:val="28"/>
          <w:szCs w:val="28"/>
          <w:highlight w:val="none"/>
        </w:rPr>
      </w:pPr>
    </w:p>
    <w:p>
      <w:pPr>
        <w:pStyle w:val="20"/>
        <w:rPr>
          <w:rFonts w:hint="eastAsia" w:ascii="Times New Roman" w:hAnsi="Times New Roman"/>
          <w:color w:val="auto"/>
          <w:sz w:val="28"/>
          <w:szCs w:val="28"/>
          <w:highlight w:val="none"/>
        </w:rPr>
      </w:pPr>
    </w:p>
    <w:p>
      <w:pPr>
        <w:pStyle w:val="20"/>
        <w:jc w:val="both"/>
        <w:rPr>
          <w:rFonts w:hint="eastAsia" w:ascii="Times New Roman" w:hAnsi="Times New Roman"/>
          <w:color w:val="auto"/>
          <w:sz w:val="28"/>
          <w:szCs w:val="28"/>
          <w:highlight w:val="none"/>
        </w:rPr>
      </w:pPr>
    </w:p>
    <w:p>
      <w:pPr>
        <w:pStyle w:val="20"/>
        <w:rPr>
          <w:rFonts w:ascii="宋体" w:hAnsi="宋体" w:cs="宋体"/>
          <w:color w:val="auto"/>
          <w:highlight w:val="none"/>
        </w:rPr>
      </w:pPr>
      <w:bookmarkStart w:id="147" w:name="_Toc6055"/>
      <w:r>
        <w:rPr>
          <w:rFonts w:hint="eastAsia" w:ascii="Times New Roman" w:hAnsi="Times New Roman"/>
          <w:color w:val="auto"/>
          <w:sz w:val="28"/>
          <w:szCs w:val="28"/>
          <w:highlight w:val="none"/>
          <w:lang w:eastAsia="zh-CN"/>
        </w:rPr>
        <w:t>六</w:t>
      </w:r>
      <w:r>
        <w:rPr>
          <w:rFonts w:ascii="Times New Roman" w:hAnsi="Times New Roman"/>
          <w:color w:val="auto"/>
          <w:sz w:val="28"/>
          <w:szCs w:val="28"/>
          <w:highlight w:val="none"/>
        </w:rPr>
        <w:t>．</w:t>
      </w:r>
      <w:bookmarkEnd w:id="133"/>
      <w:r>
        <w:rPr>
          <w:rFonts w:hint="eastAsia" w:ascii="宋体" w:hAnsi="宋体" w:cs="宋体"/>
          <w:color w:val="auto"/>
          <w:highlight w:val="none"/>
          <w:lang w:eastAsia="zh-CN"/>
        </w:rPr>
        <w:t>技术及综合部分</w:t>
      </w:r>
      <w:bookmarkEnd w:id="147"/>
    </w:p>
    <w:p>
      <w:pPr>
        <w:spacing w:line="360" w:lineRule="exact"/>
        <w:outlineLvl w:val="1"/>
        <w:rPr>
          <w:rFonts w:ascii="宋体" w:cs="宋体"/>
          <w:color w:val="auto"/>
          <w:szCs w:val="21"/>
          <w:highlight w:val="none"/>
        </w:rPr>
      </w:pPr>
    </w:p>
    <w:p>
      <w:pPr>
        <w:tabs>
          <w:tab w:val="right" w:leader="dot" w:pos="8505"/>
        </w:tabs>
        <w:spacing w:line="360" w:lineRule="auto"/>
        <w:ind w:firstLine="480" w:firstLineChars="200"/>
        <w:rPr>
          <w:rFonts w:ascii="宋体" w:cs="宋体"/>
          <w:color w:val="auto"/>
          <w:sz w:val="24"/>
          <w:highlight w:val="none"/>
        </w:rPr>
      </w:pPr>
    </w:p>
    <w:p>
      <w:pPr>
        <w:pStyle w:val="35"/>
        <w:rPr>
          <w:rFonts w:ascii="宋体" w:cs="宋体"/>
          <w:color w:val="auto"/>
          <w:sz w:val="24"/>
          <w:highlight w:val="none"/>
        </w:rPr>
      </w:pPr>
    </w:p>
    <w:p>
      <w:pPr>
        <w:pStyle w:val="34"/>
        <w:rPr>
          <w:rFonts w:ascii="宋体" w:cs="宋体"/>
          <w:color w:val="auto"/>
          <w:sz w:val="24"/>
          <w:highlight w:val="none"/>
        </w:rPr>
      </w:pPr>
    </w:p>
    <w:p>
      <w:pPr>
        <w:pStyle w:val="11"/>
        <w:rPr>
          <w:rFonts w:ascii="宋体" w:cs="宋体"/>
          <w:color w:val="auto"/>
          <w:sz w:val="24"/>
          <w:highlight w:val="none"/>
        </w:rPr>
      </w:pPr>
    </w:p>
    <w:p>
      <w:pPr>
        <w:pStyle w:val="35"/>
        <w:rPr>
          <w:rFonts w:ascii="宋体" w:cs="宋体"/>
          <w:color w:val="auto"/>
          <w:sz w:val="24"/>
          <w:highlight w:val="none"/>
        </w:rPr>
      </w:pPr>
    </w:p>
    <w:p>
      <w:pPr>
        <w:pStyle w:val="34"/>
        <w:rPr>
          <w:rFonts w:ascii="宋体" w:cs="宋体"/>
          <w:color w:val="auto"/>
          <w:sz w:val="24"/>
          <w:highlight w:val="none"/>
        </w:rPr>
      </w:pPr>
    </w:p>
    <w:p>
      <w:pPr>
        <w:pStyle w:val="11"/>
        <w:rPr>
          <w:rFonts w:ascii="宋体" w:cs="宋体"/>
          <w:color w:val="auto"/>
          <w:sz w:val="24"/>
          <w:highlight w:val="none"/>
        </w:rPr>
      </w:pPr>
    </w:p>
    <w:p>
      <w:pPr>
        <w:pStyle w:val="35"/>
        <w:rPr>
          <w:rFonts w:ascii="宋体" w:cs="宋体"/>
          <w:color w:val="auto"/>
          <w:sz w:val="24"/>
          <w:highlight w:val="none"/>
        </w:rPr>
      </w:pPr>
    </w:p>
    <w:p>
      <w:pPr>
        <w:pStyle w:val="34"/>
        <w:rPr>
          <w:rFonts w:ascii="宋体" w:cs="宋体"/>
          <w:color w:val="auto"/>
          <w:sz w:val="24"/>
          <w:highlight w:val="none"/>
        </w:rPr>
      </w:pPr>
    </w:p>
    <w:p>
      <w:pPr>
        <w:pStyle w:val="11"/>
        <w:rPr>
          <w:rFonts w:ascii="宋体" w:cs="宋体"/>
          <w:color w:val="auto"/>
          <w:sz w:val="24"/>
          <w:highlight w:val="none"/>
        </w:rPr>
      </w:pPr>
    </w:p>
    <w:p>
      <w:pPr>
        <w:pStyle w:val="35"/>
        <w:rPr>
          <w:rFonts w:ascii="宋体" w:cs="宋体"/>
          <w:color w:val="auto"/>
          <w:sz w:val="24"/>
          <w:highlight w:val="none"/>
        </w:rPr>
      </w:pPr>
    </w:p>
    <w:p>
      <w:pPr>
        <w:pStyle w:val="34"/>
        <w:rPr>
          <w:rFonts w:ascii="宋体" w:cs="宋体"/>
          <w:color w:val="auto"/>
          <w:sz w:val="24"/>
          <w:highlight w:val="none"/>
        </w:rPr>
      </w:pPr>
    </w:p>
    <w:p>
      <w:pPr>
        <w:pStyle w:val="11"/>
        <w:rPr>
          <w:rFonts w:ascii="宋体" w:cs="宋体"/>
          <w:color w:val="auto"/>
          <w:sz w:val="24"/>
          <w:highlight w:val="none"/>
        </w:rPr>
      </w:pPr>
    </w:p>
    <w:p>
      <w:pPr>
        <w:pStyle w:val="35"/>
        <w:rPr>
          <w:rFonts w:ascii="宋体" w:cs="宋体"/>
          <w:color w:val="auto"/>
          <w:sz w:val="24"/>
          <w:highlight w:val="none"/>
        </w:rPr>
      </w:pPr>
    </w:p>
    <w:p>
      <w:pPr>
        <w:pStyle w:val="34"/>
        <w:rPr>
          <w:rFonts w:ascii="宋体" w:cs="宋体"/>
          <w:color w:val="auto"/>
          <w:sz w:val="24"/>
          <w:highlight w:val="none"/>
        </w:rPr>
      </w:pPr>
    </w:p>
    <w:p>
      <w:pPr>
        <w:pStyle w:val="11"/>
        <w:rPr>
          <w:rFonts w:ascii="宋体" w:cs="宋体"/>
          <w:color w:val="auto"/>
          <w:sz w:val="24"/>
          <w:highlight w:val="none"/>
        </w:rPr>
      </w:pPr>
    </w:p>
    <w:p>
      <w:pPr>
        <w:pStyle w:val="35"/>
        <w:rPr>
          <w:rFonts w:ascii="宋体" w:cs="宋体"/>
          <w:color w:val="auto"/>
          <w:sz w:val="24"/>
          <w:highlight w:val="none"/>
        </w:rPr>
      </w:pPr>
    </w:p>
    <w:p>
      <w:pPr>
        <w:pStyle w:val="34"/>
        <w:rPr>
          <w:rFonts w:ascii="宋体" w:cs="宋体"/>
          <w:color w:val="auto"/>
          <w:sz w:val="24"/>
          <w:highlight w:val="none"/>
        </w:rPr>
      </w:pPr>
    </w:p>
    <w:p>
      <w:pPr>
        <w:pStyle w:val="11"/>
        <w:rPr>
          <w:rFonts w:ascii="宋体" w:cs="宋体"/>
          <w:color w:val="auto"/>
          <w:sz w:val="24"/>
          <w:highlight w:val="none"/>
        </w:rPr>
      </w:pPr>
    </w:p>
    <w:p>
      <w:pPr>
        <w:pStyle w:val="35"/>
        <w:rPr>
          <w:rFonts w:ascii="宋体" w:cs="宋体"/>
          <w:color w:val="auto"/>
          <w:sz w:val="24"/>
          <w:highlight w:val="none"/>
        </w:rPr>
      </w:pPr>
    </w:p>
    <w:p>
      <w:pPr>
        <w:pStyle w:val="34"/>
        <w:rPr>
          <w:rFonts w:ascii="宋体" w:cs="宋体"/>
          <w:color w:val="auto"/>
          <w:sz w:val="24"/>
          <w:highlight w:val="none"/>
        </w:rPr>
      </w:pPr>
    </w:p>
    <w:p>
      <w:pPr>
        <w:pStyle w:val="11"/>
        <w:rPr>
          <w:color w:val="auto"/>
          <w:highlight w:val="none"/>
        </w:rPr>
      </w:pPr>
    </w:p>
    <w:p>
      <w:pPr>
        <w:spacing w:line="360" w:lineRule="exact"/>
        <w:outlineLvl w:val="1"/>
        <w:rPr>
          <w:rFonts w:ascii="宋体" w:cs="宋体"/>
          <w:color w:val="auto"/>
          <w:szCs w:val="21"/>
          <w:highlight w:val="none"/>
        </w:rPr>
      </w:pPr>
    </w:p>
    <w:p>
      <w:pPr>
        <w:spacing w:line="360" w:lineRule="exact"/>
        <w:outlineLvl w:val="1"/>
        <w:rPr>
          <w:rFonts w:ascii="宋体" w:cs="宋体"/>
          <w:color w:val="auto"/>
          <w:szCs w:val="21"/>
          <w:highlight w:val="none"/>
        </w:rPr>
      </w:pPr>
    </w:p>
    <w:p>
      <w:pPr>
        <w:pStyle w:val="34"/>
        <w:rPr>
          <w:color w:val="auto"/>
          <w:highlight w:val="none"/>
        </w:rPr>
      </w:pPr>
    </w:p>
    <w:p>
      <w:pPr>
        <w:spacing w:line="360" w:lineRule="exact"/>
        <w:outlineLvl w:val="1"/>
        <w:rPr>
          <w:rFonts w:ascii="宋体" w:cs="宋体"/>
          <w:color w:val="auto"/>
          <w:szCs w:val="21"/>
          <w:highlight w:val="none"/>
        </w:rPr>
      </w:pPr>
    </w:p>
    <w:p>
      <w:pPr>
        <w:pStyle w:val="20"/>
        <w:jc w:val="left"/>
        <w:rPr>
          <w:rFonts w:ascii="宋体" w:cs="宋体"/>
          <w:color w:val="auto"/>
          <w:highlight w:val="none"/>
        </w:rPr>
      </w:pPr>
      <w:bookmarkStart w:id="148" w:name="_Toc26740"/>
      <w:r>
        <w:rPr>
          <w:rFonts w:ascii="宋体" w:hAnsi="宋体" w:cs="宋体"/>
          <w:color w:val="auto"/>
          <w:highlight w:val="none"/>
        </w:rPr>
        <w:t xml:space="preserve">              </w:t>
      </w:r>
    </w:p>
    <w:p>
      <w:pPr>
        <w:pStyle w:val="20"/>
        <w:rPr>
          <w:rFonts w:hint="eastAsia" w:ascii="宋体" w:hAnsi="宋体" w:cs="宋体"/>
          <w:color w:val="auto"/>
          <w:highlight w:val="none"/>
          <w:lang w:eastAsia="zh-CN"/>
        </w:rPr>
      </w:pPr>
    </w:p>
    <w:p>
      <w:pPr>
        <w:rPr>
          <w:rFonts w:hint="eastAsia"/>
          <w:lang w:eastAsia="zh-CN"/>
        </w:rPr>
      </w:pPr>
    </w:p>
    <w:p>
      <w:pPr>
        <w:pStyle w:val="20"/>
        <w:rPr>
          <w:rFonts w:ascii="宋体" w:cs="宋体"/>
          <w:color w:val="auto"/>
          <w:highlight w:val="none"/>
        </w:rPr>
      </w:pPr>
      <w:bookmarkStart w:id="149" w:name="_Toc29991"/>
      <w:r>
        <w:rPr>
          <w:rFonts w:hint="eastAsia" w:ascii="宋体" w:hAnsi="宋体" w:cs="宋体"/>
          <w:color w:val="auto"/>
          <w:highlight w:val="none"/>
          <w:lang w:eastAsia="zh-CN"/>
        </w:rPr>
        <w:t>七</w:t>
      </w:r>
      <w:r>
        <w:rPr>
          <w:rFonts w:hint="eastAsia" w:ascii="宋体" w:hAnsi="宋体" w:cs="宋体"/>
          <w:color w:val="auto"/>
          <w:highlight w:val="none"/>
        </w:rPr>
        <w:t>、反商业贿赂承诺书</w:t>
      </w:r>
      <w:bookmarkEnd w:id="148"/>
      <w:bookmarkEnd w:id="149"/>
    </w:p>
    <w:p>
      <w:pPr>
        <w:spacing w:line="360" w:lineRule="exact"/>
        <w:rPr>
          <w:rFonts w:ascii="宋体" w:cs="宋体"/>
          <w:color w:val="auto"/>
          <w:szCs w:val="21"/>
          <w:highlight w:val="none"/>
        </w:rPr>
      </w:pPr>
    </w:p>
    <w:p>
      <w:pPr>
        <w:spacing w:line="600" w:lineRule="exact"/>
        <w:rPr>
          <w:rFonts w:ascii="宋体" w:cs="宋体"/>
          <w:color w:val="auto"/>
          <w:szCs w:val="21"/>
          <w:highlight w:val="none"/>
        </w:rPr>
      </w:pPr>
      <w:r>
        <w:rPr>
          <w:rFonts w:hint="eastAsia" w:ascii="宋体" w:hAnsi="宋体" w:cs="宋体"/>
          <w:color w:val="auto"/>
          <w:szCs w:val="21"/>
          <w:highlight w:val="none"/>
        </w:rPr>
        <w:t>我公司承诺：</w:t>
      </w:r>
      <w:r>
        <w:rPr>
          <w:rFonts w:ascii="宋体" w:cs="宋体"/>
          <w:color w:val="auto"/>
          <w:szCs w:val="21"/>
          <w:highlight w:val="none"/>
        </w:rPr>
        <w:tab/>
      </w:r>
    </w:p>
    <w:p>
      <w:pPr>
        <w:spacing w:line="60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在</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（项目名称）</w:t>
      </w:r>
      <w:r>
        <w:rPr>
          <w:rFonts w:hint="eastAsia" w:ascii="宋体" w:hAnsi="宋体" w:cs="宋体"/>
          <w:color w:val="auto"/>
          <w:szCs w:val="21"/>
          <w:highlight w:val="none"/>
        </w:rPr>
        <w:t>投标活动中，我公司保证做到：</w:t>
      </w:r>
    </w:p>
    <w:p>
      <w:pPr>
        <w:spacing w:line="600" w:lineRule="exact"/>
        <w:ind w:firstLine="420" w:firstLineChars="200"/>
        <w:rPr>
          <w:rFonts w:ascii="宋体" w:cs="宋体"/>
          <w:color w:val="auto"/>
          <w:szCs w:val="21"/>
          <w:highlight w:val="none"/>
        </w:rPr>
      </w:pPr>
      <w:r>
        <w:rPr>
          <w:rFonts w:hint="eastAsia" w:ascii="宋体" w:hAnsi="宋体" w:cs="宋体"/>
          <w:color w:val="auto"/>
          <w:szCs w:val="21"/>
          <w:highlight w:val="none"/>
        </w:rPr>
        <w:t>一、公平参加本次投标活动。</w:t>
      </w:r>
    </w:p>
    <w:p>
      <w:pPr>
        <w:spacing w:line="600" w:lineRule="exact"/>
        <w:ind w:firstLine="420" w:firstLineChars="200"/>
        <w:rPr>
          <w:rFonts w:ascii="宋体" w:cs="宋体"/>
          <w:color w:val="auto"/>
          <w:szCs w:val="21"/>
          <w:highlight w:val="none"/>
        </w:rPr>
      </w:pPr>
      <w:r>
        <w:rPr>
          <w:rFonts w:hint="eastAsia" w:ascii="宋体" w:hAnsi="宋体" w:cs="宋体"/>
          <w:color w:val="auto"/>
          <w:szCs w:val="21"/>
          <w:highlight w:val="none"/>
        </w:rPr>
        <w:t>二、杜绝任何形式的商业贿赂行为。不向国家工作人员、政府采购代理机构工作人员、评审专家及其亲属提供礼品礼金、回扣、佣金等费用。</w:t>
      </w:r>
    </w:p>
    <w:p>
      <w:pPr>
        <w:spacing w:line="600" w:lineRule="exact"/>
        <w:ind w:firstLine="420" w:firstLineChars="200"/>
        <w:rPr>
          <w:rFonts w:ascii="宋体" w:cs="宋体"/>
          <w:color w:val="auto"/>
          <w:szCs w:val="21"/>
          <w:highlight w:val="none"/>
        </w:rPr>
      </w:pPr>
      <w:r>
        <w:rPr>
          <w:rFonts w:hint="eastAsia" w:ascii="宋体" w:hAnsi="宋体" w:cs="宋体"/>
          <w:color w:val="auto"/>
          <w:szCs w:val="21"/>
          <w:highlight w:val="none"/>
        </w:rPr>
        <w:t>三、若出现上述行为，我公司及参与投标的工作人员愿意接受按照国家法律法规等有关规定的处罚。</w:t>
      </w:r>
    </w:p>
    <w:p>
      <w:pPr>
        <w:spacing w:line="600" w:lineRule="exact"/>
        <w:ind w:firstLine="420" w:firstLineChars="200"/>
        <w:rPr>
          <w:rFonts w:ascii="宋体" w:cs="宋体"/>
          <w:color w:val="auto"/>
          <w:szCs w:val="21"/>
          <w:highlight w:val="none"/>
        </w:rPr>
      </w:pPr>
    </w:p>
    <w:p>
      <w:pPr>
        <w:spacing w:line="600" w:lineRule="exact"/>
        <w:ind w:firstLine="420" w:firstLineChars="200"/>
        <w:rPr>
          <w:rFonts w:ascii="宋体" w:cs="宋体"/>
          <w:color w:val="auto"/>
          <w:szCs w:val="21"/>
          <w:highlight w:val="none"/>
        </w:rPr>
      </w:pPr>
    </w:p>
    <w:p>
      <w:pPr>
        <w:spacing w:line="600" w:lineRule="exact"/>
        <w:ind w:firstLine="420" w:firstLineChars="200"/>
        <w:rPr>
          <w:rFonts w:ascii="宋体" w:cs="宋体"/>
          <w:color w:val="auto"/>
          <w:szCs w:val="21"/>
          <w:highlight w:val="none"/>
        </w:rPr>
      </w:pPr>
    </w:p>
    <w:p>
      <w:pPr>
        <w:spacing w:line="600" w:lineRule="exact"/>
        <w:ind w:firstLine="3780" w:firstLineChars="1800"/>
        <w:rPr>
          <w:rFonts w:ascii="宋体" w:cs="宋体"/>
          <w:color w:val="auto"/>
          <w:szCs w:val="21"/>
          <w:highlight w:val="none"/>
        </w:rPr>
      </w:pPr>
      <w:r>
        <w:rPr>
          <w:rFonts w:hint="eastAsia" w:ascii="宋体" w:hAnsi="宋体" w:cs="宋体"/>
          <w:color w:val="auto"/>
          <w:szCs w:val="21"/>
          <w:highlight w:val="none"/>
        </w:rPr>
        <w:t>供应商（公章）</w:t>
      </w:r>
      <w:r>
        <w:rPr>
          <w:rFonts w:hint="eastAsia" w:ascii="宋体" w:hAnsi="宋体" w:cs="宋体"/>
          <w:color w:val="auto"/>
          <w:szCs w:val="21"/>
          <w:highlight w:val="none"/>
          <w:lang w:eastAsia="zh-CN"/>
        </w:rPr>
        <w:t>：</w:t>
      </w:r>
      <w:r>
        <w:rPr>
          <w:rFonts w:ascii="宋体" w:hAnsi="宋体" w:cs="宋体"/>
          <w:color w:val="auto"/>
          <w:szCs w:val="21"/>
          <w:highlight w:val="none"/>
        </w:rPr>
        <w:t xml:space="preserve">                                      </w:t>
      </w:r>
    </w:p>
    <w:p>
      <w:pPr>
        <w:spacing w:line="600" w:lineRule="exact"/>
        <w:ind w:left="4305" w:hanging="4305" w:hangingChars="2050"/>
        <w:rPr>
          <w:rFonts w:ascii="宋体" w:cs="宋体"/>
          <w:color w:val="auto"/>
          <w:szCs w:val="21"/>
          <w:highlight w:val="none"/>
        </w:rPr>
      </w:pPr>
    </w:p>
    <w:p>
      <w:pPr>
        <w:spacing w:line="600" w:lineRule="exact"/>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年</w:t>
      </w:r>
      <w:r>
        <w:rPr>
          <w:rFonts w:ascii="宋体" w:hAnsi="宋体" w:cs="宋体"/>
          <w:color w:val="auto"/>
          <w:szCs w:val="21"/>
          <w:highlight w:val="none"/>
        </w:rPr>
        <w:t xml:space="preserve">   </w:t>
      </w:r>
      <w:r>
        <w:rPr>
          <w:rFonts w:hint="eastAsia" w:ascii="宋体" w:hAnsi="宋体" w:cs="宋体"/>
          <w:color w:val="auto"/>
          <w:szCs w:val="21"/>
          <w:highlight w:val="none"/>
        </w:rPr>
        <w:t>月</w:t>
      </w:r>
      <w:r>
        <w:rPr>
          <w:rFonts w:ascii="宋体" w:hAnsi="宋体" w:cs="宋体"/>
          <w:color w:val="auto"/>
          <w:szCs w:val="21"/>
          <w:highlight w:val="none"/>
        </w:rPr>
        <w:t xml:space="preserve">  </w:t>
      </w:r>
      <w:r>
        <w:rPr>
          <w:rFonts w:hint="eastAsia" w:ascii="宋体" w:hAnsi="宋体" w:cs="宋体"/>
          <w:color w:val="auto"/>
          <w:szCs w:val="21"/>
          <w:highlight w:val="none"/>
        </w:rPr>
        <w:t>日</w:t>
      </w:r>
    </w:p>
    <w:p>
      <w:pPr>
        <w:spacing w:line="360" w:lineRule="exact"/>
        <w:rPr>
          <w:rFonts w:ascii="宋体" w:cs="宋体"/>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pStyle w:val="35"/>
        <w:rPr>
          <w:b/>
          <w:color w:val="auto"/>
          <w:szCs w:val="21"/>
          <w:highlight w:val="none"/>
        </w:rPr>
      </w:pPr>
    </w:p>
    <w:p>
      <w:pPr>
        <w:pStyle w:val="35"/>
        <w:rPr>
          <w:b/>
          <w:color w:val="auto"/>
          <w:szCs w:val="21"/>
          <w:highlight w:val="none"/>
        </w:rPr>
      </w:pPr>
    </w:p>
    <w:p>
      <w:pPr>
        <w:pStyle w:val="35"/>
        <w:rPr>
          <w:b/>
          <w:color w:val="auto"/>
          <w:szCs w:val="21"/>
          <w:highlight w:val="none"/>
        </w:rPr>
      </w:pPr>
    </w:p>
    <w:p>
      <w:pPr>
        <w:pStyle w:val="35"/>
        <w:rPr>
          <w:b/>
          <w:color w:val="auto"/>
          <w:szCs w:val="21"/>
          <w:highlight w:val="none"/>
        </w:rPr>
      </w:pPr>
    </w:p>
    <w:p>
      <w:pPr>
        <w:pStyle w:val="35"/>
        <w:rPr>
          <w:b/>
          <w:color w:val="auto"/>
          <w:szCs w:val="21"/>
          <w:highlight w:val="none"/>
        </w:rPr>
      </w:pPr>
    </w:p>
    <w:p>
      <w:pPr>
        <w:pStyle w:val="35"/>
        <w:rPr>
          <w:b/>
          <w:color w:val="auto"/>
          <w:szCs w:val="21"/>
          <w:highlight w:val="none"/>
        </w:rPr>
      </w:pPr>
    </w:p>
    <w:p/>
    <w:p>
      <w:pPr>
        <w:pStyle w:val="20"/>
        <w:rPr>
          <w:rFonts w:ascii="宋体" w:hAnsi="宋体" w:cs="宋体"/>
          <w:color w:val="auto"/>
          <w:highlight w:val="none"/>
        </w:rPr>
      </w:pPr>
      <w:bookmarkStart w:id="150" w:name="_Toc18065"/>
      <w:r>
        <w:rPr>
          <w:rFonts w:hint="eastAsia" w:ascii="宋体" w:hAnsi="宋体" w:cs="宋体"/>
          <w:color w:val="auto"/>
          <w:highlight w:val="none"/>
          <w:lang w:eastAsia="zh-CN"/>
        </w:rPr>
        <w:t>八</w:t>
      </w:r>
      <w:r>
        <w:rPr>
          <w:rFonts w:hint="eastAsia" w:ascii="宋体" w:hAnsi="宋体" w:cs="宋体"/>
          <w:color w:val="auto"/>
          <w:highlight w:val="none"/>
        </w:rPr>
        <w:t>、无行贿犯罪记录承诺书</w:t>
      </w:r>
      <w:bookmarkEnd w:id="150"/>
    </w:p>
    <w:p>
      <w:pPr>
        <w:spacing w:beforeLines="100" w:afterLines="100"/>
        <w:jc w:val="center"/>
        <w:rPr>
          <w:rFonts w:ascii="宋体" w:hAnsi="宋体"/>
          <w:color w:val="auto"/>
          <w:sz w:val="30"/>
          <w:szCs w:val="30"/>
          <w:highlight w:val="none"/>
        </w:rPr>
      </w:pPr>
      <w:r>
        <w:rPr>
          <w:rFonts w:hint="eastAsia" w:ascii="宋体" w:hAnsi="宋体"/>
          <w:color w:val="auto"/>
          <w:sz w:val="30"/>
          <w:szCs w:val="30"/>
          <w:highlight w:val="none"/>
        </w:rPr>
        <w:t>承诺书</w:t>
      </w: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（采购人名称）：</w:t>
      </w: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我方在此声明，我方在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（项目名称）招投标过程中所涉及的包括企业法人、法定代表人、授权委托人近三年内均无行贿犯罪记录。</w:t>
      </w: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我方保证上述信息的真实和准确，并愿意承担因我方就此弄虚作假所引起的一切法律后果。</w:t>
      </w:r>
    </w:p>
    <w:p>
      <w:pPr>
        <w:spacing w:line="600" w:lineRule="exact"/>
        <w:rPr>
          <w:rFonts w:ascii="宋体" w:hAnsi="宋体" w:cs="宋体"/>
          <w:color w:val="auto"/>
          <w:szCs w:val="21"/>
          <w:highlight w:val="none"/>
        </w:rPr>
      </w:pP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特此承诺</w:t>
      </w:r>
    </w:p>
    <w:p>
      <w:pPr>
        <w:spacing w:line="600" w:lineRule="exact"/>
        <w:ind w:firstLine="315" w:firstLineChars="150"/>
        <w:rPr>
          <w:rFonts w:ascii="宋体" w:hAnsi="宋体" w:cs="宋体"/>
          <w:color w:val="auto"/>
          <w:szCs w:val="21"/>
          <w:highlight w:val="none"/>
        </w:rPr>
      </w:pP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（盖单位章）</w:t>
      </w: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                           法定代表人或授权委托人：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（签字</w:t>
      </w:r>
      <w:r>
        <w:rPr>
          <w:rFonts w:hint="eastAsia" w:ascii="宋体" w:hAnsi="宋体" w:cs="宋体"/>
          <w:color w:val="auto"/>
          <w:szCs w:val="21"/>
          <w:highlight w:val="none"/>
          <w:lang w:eastAsia="zh-CN"/>
        </w:rPr>
        <w:t>或盖章</w:t>
      </w:r>
      <w:r>
        <w:rPr>
          <w:rFonts w:hint="eastAsia" w:ascii="宋体" w:hAnsi="宋体" w:cs="宋体"/>
          <w:color w:val="auto"/>
          <w:szCs w:val="21"/>
          <w:highlight w:val="none"/>
        </w:rPr>
        <w:t>）</w:t>
      </w:r>
    </w:p>
    <w:p>
      <w:pPr>
        <w:spacing w:line="600" w:lineRule="exact"/>
        <w:ind w:firstLine="315" w:firstLineChars="150"/>
        <w:rPr>
          <w:rFonts w:ascii="宋体" w:hAnsi="宋体" w:cs="宋体"/>
          <w:color w:val="auto"/>
          <w:szCs w:val="21"/>
          <w:highlight w:val="none"/>
        </w:rPr>
      </w:pPr>
    </w:p>
    <w:p>
      <w:pPr>
        <w:spacing w:line="600" w:lineRule="exact"/>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                                                      年    月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w:t>
      </w:r>
    </w:p>
    <w:p>
      <w:pPr>
        <w:spacing w:line="600" w:lineRule="exact"/>
        <w:ind w:firstLine="315" w:firstLineChars="150"/>
        <w:rPr>
          <w:rFonts w:ascii="宋体" w:hAnsi="宋体" w:cs="宋体"/>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pStyle w:val="34"/>
        <w:rPr>
          <w:rFonts w:ascii="宋体" w:cs="宋体"/>
          <w:b/>
          <w:color w:val="auto"/>
          <w:szCs w:val="21"/>
          <w:highlight w:val="none"/>
        </w:rPr>
      </w:pPr>
    </w:p>
    <w:p>
      <w:pPr>
        <w:pStyle w:val="11"/>
        <w:rPr>
          <w:rFonts w:ascii="宋体" w:cs="宋体"/>
          <w:b/>
          <w:color w:val="auto"/>
          <w:szCs w:val="21"/>
          <w:highlight w:val="none"/>
        </w:rPr>
      </w:pPr>
    </w:p>
    <w:p>
      <w:pPr>
        <w:rPr>
          <w:color w:val="auto"/>
          <w:highlight w:val="none"/>
        </w:rPr>
      </w:pPr>
    </w:p>
    <w:p>
      <w:pPr>
        <w:spacing w:line="360" w:lineRule="exact"/>
        <w:jc w:val="center"/>
        <w:rPr>
          <w:rFonts w:ascii="宋体" w:cs="宋体"/>
          <w:b/>
          <w:color w:val="auto"/>
          <w:szCs w:val="21"/>
          <w:highlight w:val="none"/>
        </w:rPr>
      </w:pPr>
    </w:p>
    <w:p>
      <w:pPr>
        <w:spacing w:line="360" w:lineRule="exact"/>
        <w:rPr>
          <w:rFonts w:ascii="宋体" w:cs="宋体"/>
          <w:b/>
          <w:color w:val="auto"/>
          <w:szCs w:val="21"/>
          <w:highlight w:val="none"/>
        </w:rPr>
      </w:pPr>
    </w:p>
    <w:p>
      <w:pPr>
        <w:pStyle w:val="35"/>
        <w:rPr>
          <w:b/>
          <w:color w:val="auto"/>
          <w:szCs w:val="21"/>
          <w:highlight w:val="none"/>
        </w:rPr>
      </w:pPr>
    </w:p>
    <w:p>
      <w:pPr>
        <w:pStyle w:val="34"/>
        <w:rPr>
          <w:rFonts w:ascii="宋体" w:cs="宋体"/>
          <w:b/>
          <w:color w:val="auto"/>
          <w:szCs w:val="21"/>
          <w:highlight w:val="none"/>
        </w:rPr>
      </w:pPr>
    </w:p>
    <w:p>
      <w:pPr>
        <w:pStyle w:val="35"/>
        <w:rPr>
          <w:color w:val="auto"/>
          <w:highlight w:val="none"/>
        </w:rPr>
      </w:pPr>
    </w:p>
    <w:p>
      <w:pPr>
        <w:pStyle w:val="20"/>
        <w:jc w:val="left"/>
        <w:rPr>
          <w:rFonts w:ascii="宋体" w:cs="宋体"/>
          <w:color w:val="auto"/>
          <w:highlight w:val="none"/>
        </w:rPr>
      </w:pPr>
      <w:bookmarkStart w:id="151" w:name="_Toc6331"/>
      <w:r>
        <w:rPr>
          <w:rFonts w:ascii="宋体" w:hAnsi="宋体" w:cs="宋体"/>
          <w:color w:val="auto"/>
          <w:highlight w:val="none"/>
        </w:rPr>
        <w:t xml:space="preserve">             </w:t>
      </w:r>
      <w:bookmarkStart w:id="152" w:name="_Toc20867"/>
      <w:r>
        <w:rPr>
          <w:rFonts w:hint="eastAsia" w:ascii="宋体" w:hAnsi="宋体" w:cs="宋体"/>
          <w:color w:val="auto"/>
          <w:highlight w:val="none"/>
          <w:lang w:eastAsia="zh-CN"/>
        </w:rPr>
        <w:t>九</w:t>
      </w:r>
      <w:r>
        <w:rPr>
          <w:rFonts w:hint="eastAsia" w:ascii="宋体" w:hAnsi="宋体" w:cs="宋体"/>
          <w:color w:val="auto"/>
          <w:highlight w:val="none"/>
        </w:rPr>
        <w:t>、</w:t>
      </w:r>
      <w:r>
        <w:rPr>
          <w:rFonts w:ascii="宋体" w:hAnsi="宋体" w:cs="宋体"/>
          <w:color w:val="auto"/>
          <w:highlight w:val="none"/>
        </w:rPr>
        <w:t xml:space="preserve"> </w:t>
      </w:r>
      <w:r>
        <w:rPr>
          <w:rFonts w:hint="eastAsia" w:ascii="宋体" w:hAnsi="宋体" w:cs="宋体"/>
          <w:color w:val="auto"/>
          <w:highlight w:val="none"/>
        </w:rPr>
        <w:t>资</w:t>
      </w:r>
      <w:r>
        <w:rPr>
          <w:rFonts w:ascii="宋体" w:hAnsi="宋体" w:cs="宋体"/>
          <w:color w:val="auto"/>
          <w:highlight w:val="none"/>
        </w:rPr>
        <w:t xml:space="preserve"> </w:t>
      </w:r>
      <w:r>
        <w:rPr>
          <w:rFonts w:hint="eastAsia" w:ascii="宋体" w:hAnsi="宋体" w:cs="宋体"/>
          <w:color w:val="auto"/>
          <w:highlight w:val="none"/>
        </w:rPr>
        <w:t>格</w:t>
      </w:r>
      <w:r>
        <w:rPr>
          <w:rFonts w:ascii="宋体" w:hAnsi="宋体" w:cs="宋体"/>
          <w:color w:val="auto"/>
          <w:highlight w:val="none"/>
        </w:rPr>
        <w:t xml:space="preserve"> </w:t>
      </w:r>
      <w:r>
        <w:rPr>
          <w:rFonts w:hint="eastAsia" w:ascii="宋体" w:hAnsi="宋体" w:cs="宋体"/>
          <w:color w:val="auto"/>
          <w:highlight w:val="none"/>
        </w:rPr>
        <w:t>证</w:t>
      </w:r>
      <w:r>
        <w:rPr>
          <w:rFonts w:ascii="宋体" w:hAnsi="宋体" w:cs="宋体"/>
          <w:color w:val="auto"/>
          <w:highlight w:val="none"/>
        </w:rPr>
        <w:t xml:space="preserve"> </w:t>
      </w:r>
      <w:r>
        <w:rPr>
          <w:rFonts w:hint="eastAsia" w:ascii="宋体" w:hAnsi="宋体" w:cs="宋体"/>
          <w:color w:val="auto"/>
          <w:highlight w:val="none"/>
        </w:rPr>
        <w:t>明</w:t>
      </w:r>
      <w:r>
        <w:rPr>
          <w:rFonts w:ascii="宋体" w:hAnsi="宋体" w:cs="宋体"/>
          <w:color w:val="auto"/>
          <w:highlight w:val="none"/>
        </w:rPr>
        <w:t xml:space="preserve"> </w:t>
      </w:r>
      <w:r>
        <w:rPr>
          <w:rFonts w:hint="eastAsia" w:ascii="宋体" w:hAnsi="宋体" w:cs="宋体"/>
          <w:color w:val="auto"/>
          <w:highlight w:val="none"/>
        </w:rPr>
        <w:t>文</w:t>
      </w:r>
      <w:r>
        <w:rPr>
          <w:rFonts w:ascii="宋体" w:hAnsi="宋体" w:cs="宋体"/>
          <w:color w:val="auto"/>
          <w:highlight w:val="none"/>
        </w:rPr>
        <w:t xml:space="preserve"> </w:t>
      </w:r>
      <w:r>
        <w:rPr>
          <w:rFonts w:hint="eastAsia" w:ascii="宋体" w:hAnsi="宋体" w:cs="宋体"/>
          <w:color w:val="auto"/>
          <w:highlight w:val="none"/>
        </w:rPr>
        <w:t>件</w:t>
      </w:r>
      <w:bookmarkEnd w:id="151"/>
      <w:bookmarkEnd w:id="152"/>
    </w:p>
    <w:p>
      <w:pPr>
        <w:rPr>
          <w:rFonts w:ascii="宋体" w:cs="宋体"/>
          <w:color w:val="auto"/>
          <w:highlight w:val="none"/>
        </w:rPr>
      </w:pPr>
    </w:p>
    <w:p>
      <w:pPr>
        <w:numPr>
          <w:ilvl w:val="0"/>
          <w:numId w:val="9"/>
        </w:numPr>
        <w:spacing w:line="500" w:lineRule="exact"/>
        <w:ind w:firstLine="420" w:firstLineChars="200"/>
        <w:jc w:val="left"/>
        <w:rPr>
          <w:rFonts w:hint="eastAsia" w:ascii="宋体" w:hAnsi="宋体" w:cs="宋体"/>
          <w:color w:val="auto"/>
          <w:kern w:val="0"/>
          <w:szCs w:val="21"/>
          <w:highlight w:val="none"/>
          <w:lang w:eastAsia="zh-CN"/>
        </w:rPr>
      </w:pPr>
      <w:r>
        <w:rPr>
          <w:rFonts w:hint="eastAsia" w:ascii="宋体" w:hAnsi="宋体" w:cs="宋体"/>
          <w:color w:val="auto"/>
          <w:kern w:val="0"/>
          <w:szCs w:val="21"/>
          <w:highlight w:val="none"/>
          <w:lang w:eastAsia="zh-CN"/>
        </w:rPr>
        <w:t>温县政府采购供应商资格信用承诺函（格式附后）</w:t>
      </w:r>
    </w:p>
    <w:p>
      <w:pPr>
        <w:pStyle w:val="8"/>
        <w:ind w:firstLine="420" w:firstLineChars="200"/>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bidi="ar-SA"/>
        </w:rPr>
        <w:t>2、法定代表人证明或法定代表人有效委托书及本人身份证；</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根据《关于在政府采购活动中查询及使用信用记录有关问题的通知》(财库[2016]125号)的规定，</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通过“信用中国”网（www.creditchina.gov.cn）、中国政府采购网（www.ccgp.gov.cn）等渠道在资格审查环节查询投标人信用记录，被列入失信被执行人、</w:t>
      </w:r>
      <w:r>
        <w:rPr>
          <w:rFonts w:hint="eastAsia" w:ascii="宋体" w:hAnsi="宋体" w:cs="宋体"/>
          <w:color w:val="auto"/>
          <w:szCs w:val="21"/>
          <w:highlight w:val="none"/>
          <w:lang w:eastAsia="zh-CN"/>
        </w:rPr>
        <w:t>重大税收违法失信主体</w:t>
      </w:r>
      <w:r>
        <w:rPr>
          <w:rFonts w:hint="eastAsia" w:ascii="宋体" w:hAnsi="宋体" w:cs="宋体"/>
          <w:color w:val="auto"/>
          <w:szCs w:val="21"/>
          <w:highlight w:val="none"/>
        </w:rPr>
        <w:t>、政府采购严重违法失信行为记录名单的单位将被拒绝参与本项目政府采购活动；信用信息查询记录和证据将同采购文件等资料一同归档保存。（</w:t>
      </w:r>
      <w:r>
        <w:rPr>
          <w:rFonts w:hint="eastAsia" w:ascii="宋体" w:hAnsi="宋体" w:cs="宋体"/>
          <w:szCs w:val="21"/>
          <w:lang w:eastAsia="zh-CN"/>
        </w:rPr>
        <w:t>供应商</w:t>
      </w:r>
      <w:r>
        <w:rPr>
          <w:rFonts w:hint="eastAsia" w:ascii="宋体" w:hAnsi="宋体" w:cs="宋体"/>
          <w:szCs w:val="21"/>
        </w:rPr>
        <w:t>需提供网站查询截图，加盖企业公章</w:t>
      </w:r>
      <w:r>
        <w:rPr>
          <w:rFonts w:hint="eastAsia" w:ascii="宋体" w:hAnsi="宋体" w:cs="宋体"/>
          <w:szCs w:val="21"/>
          <w:lang w:eastAsia="zh-CN"/>
        </w:rPr>
        <w:t>，</w:t>
      </w:r>
      <w:r>
        <w:rPr>
          <w:rFonts w:hint="eastAsia" w:ascii="宋体" w:hAnsi="宋体" w:cs="宋体"/>
          <w:color w:val="auto"/>
          <w:szCs w:val="21"/>
          <w:highlight w:val="none"/>
        </w:rPr>
        <w:t>网站查询时间为磋商公告发布之后）；</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4、供应商必须提供无行贿犯罪记录承诺书(并出具由“中国裁判文书网”网站查询近三年来法人、法定代表人（负责人）、法定代表人（负责人）委托人无行贿犯罪记录网页截图加盖企业公章证明)；若有行贿犯罪记录则取消其投标资格；</w:t>
      </w:r>
    </w:p>
    <w:p>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必须提供投标承诺函。</w:t>
      </w:r>
    </w:p>
    <w:p>
      <w:pPr>
        <w:pStyle w:val="35"/>
        <w:ind w:firstLine="420" w:firstLineChars="200"/>
        <w:rPr>
          <w:color w:val="auto"/>
          <w:highlight w:val="none"/>
        </w:rPr>
      </w:pPr>
      <w:r>
        <w:rPr>
          <w:rFonts w:hint="eastAsia" w:hAnsi="宋体" w:cs="宋体"/>
          <w:color w:val="auto"/>
          <w:kern w:val="2"/>
          <w:sz w:val="21"/>
          <w:szCs w:val="21"/>
          <w:highlight w:val="none"/>
          <w:lang w:val="en-US" w:eastAsia="zh-CN" w:bidi="ar-SA"/>
        </w:rPr>
        <w:t>6、</w:t>
      </w:r>
      <w:r>
        <w:rPr>
          <w:rFonts w:hint="eastAsia" w:ascii="宋体" w:hAnsi="宋体" w:eastAsia="宋体" w:cs="宋体"/>
          <w:color w:val="auto"/>
          <w:kern w:val="2"/>
          <w:sz w:val="21"/>
          <w:szCs w:val="21"/>
          <w:highlight w:val="none"/>
          <w:lang w:val="en-US" w:eastAsia="zh-CN" w:bidi="ar-SA"/>
        </w:rPr>
        <w:t>投标单位必须提供中小企业声明函。</w:t>
      </w:r>
    </w:p>
    <w:p>
      <w:pPr>
        <w:spacing w:line="360" w:lineRule="auto"/>
        <w:ind w:firstLine="420" w:firstLineChars="200"/>
        <w:rPr>
          <w:rFonts w:hint="eastAsia" w:ascii="宋体" w:cs="宋体"/>
          <w:color w:val="auto"/>
          <w:szCs w:val="22"/>
          <w:highlight w:val="none"/>
        </w:rPr>
      </w:pPr>
      <w:r>
        <w:rPr>
          <w:rFonts w:hint="eastAsia" w:ascii="宋体" w:cs="宋体"/>
          <w:color w:val="auto"/>
          <w:szCs w:val="22"/>
          <w:highlight w:val="none"/>
          <w:lang w:val="en-US" w:eastAsia="zh-CN"/>
        </w:rPr>
        <w:t>7、</w:t>
      </w:r>
      <w:r>
        <w:rPr>
          <w:rFonts w:hint="eastAsia" w:ascii="宋体" w:cs="宋体"/>
          <w:color w:val="auto"/>
          <w:szCs w:val="22"/>
          <w:highlight w:val="none"/>
          <w:lang w:eastAsia="zh-CN"/>
        </w:rPr>
        <w:t>磋商</w:t>
      </w:r>
      <w:r>
        <w:rPr>
          <w:rFonts w:hint="eastAsia" w:ascii="宋体" w:cs="宋体"/>
          <w:color w:val="auto"/>
          <w:szCs w:val="22"/>
          <w:highlight w:val="none"/>
        </w:rPr>
        <w:t>文件中规定的其他资料以及投标单位认为有必要提供的其他材料。</w:t>
      </w:r>
    </w:p>
    <w:p>
      <w:pPr>
        <w:spacing w:line="360" w:lineRule="auto"/>
        <w:rPr>
          <w:rFonts w:hint="eastAsia" w:ascii="宋体" w:hAnsi="Times New Roman" w:cs="宋体"/>
          <w:b/>
          <w:bCs/>
          <w:color w:val="auto"/>
          <w:szCs w:val="22"/>
          <w:highlight w:val="none"/>
        </w:rPr>
      </w:pPr>
    </w:p>
    <w:p>
      <w:pPr>
        <w:spacing w:line="360" w:lineRule="auto"/>
        <w:rPr>
          <w:rFonts w:hint="eastAsia" w:ascii="宋体" w:hAnsi="Times New Roman" w:eastAsia="宋体" w:cs="宋体"/>
          <w:b/>
          <w:bCs/>
          <w:color w:val="auto"/>
          <w:szCs w:val="22"/>
          <w:highlight w:val="none"/>
          <w:lang w:eastAsia="zh-CN"/>
        </w:rPr>
      </w:pPr>
      <w:r>
        <w:rPr>
          <w:rFonts w:hint="eastAsia" w:ascii="宋体" w:hAnsi="Times New Roman" w:cs="宋体"/>
          <w:b/>
          <w:bCs/>
          <w:color w:val="auto"/>
          <w:szCs w:val="22"/>
          <w:highlight w:val="none"/>
        </w:rPr>
        <w:t>以上</w:t>
      </w:r>
      <w:r>
        <w:rPr>
          <w:rFonts w:hint="eastAsia" w:ascii="宋体" w:hAnsi="Times New Roman" w:cs="宋体"/>
          <w:b/>
          <w:bCs/>
          <w:color w:val="auto"/>
          <w:szCs w:val="22"/>
          <w:highlight w:val="none"/>
          <w:lang w:eastAsia="zh-CN"/>
        </w:rPr>
        <w:t>证</w:t>
      </w:r>
      <w:r>
        <w:rPr>
          <w:rFonts w:hint="eastAsia" w:ascii="宋体" w:hAnsi="Times New Roman" w:cs="宋体"/>
          <w:b/>
          <w:bCs/>
          <w:color w:val="auto"/>
          <w:szCs w:val="22"/>
          <w:highlight w:val="none"/>
        </w:rPr>
        <w:t>件必须加盖单位公章</w:t>
      </w:r>
    </w:p>
    <w:p>
      <w:pPr>
        <w:spacing w:line="600" w:lineRule="exact"/>
        <w:ind w:firstLine="210" w:firstLineChars="100"/>
        <w:rPr>
          <w:rFonts w:ascii="宋体" w:hAnsi="宋体" w:cs="宋体"/>
          <w:color w:val="auto"/>
          <w:szCs w:val="21"/>
          <w:highlight w:val="none"/>
        </w:rPr>
      </w:pPr>
    </w:p>
    <w:p>
      <w:pPr>
        <w:spacing w:line="360" w:lineRule="exact"/>
        <w:rPr>
          <w:rFonts w:ascii="宋体" w:cs="宋体"/>
          <w:b/>
          <w:color w:val="auto"/>
          <w:szCs w:val="21"/>
          <w:highlight w:val="none"/>
        </w:rPr>
      </w:pPr>
      <w:r>
        <w:rPr>
          <w:rFonts w:ascii="宋体" w:hAnsi="宋体" w:cs="宋体"/>
          <w:b/>
          <w:color w:val="auto"/>
          <w:szCs w:val="21"/>
          <w:highlight w:val="none"/>
        </w:rPr>
        <w:t xml:space="preserve"> </w:t>
      </w:r>
    </w:p>
    <w:p>
      <w:pPr>
        <w:tabs>
          <w:tab w:val="left" w:pos="3037"/>
        </w:tabs>
        <w:spacing w:line="360" w:lineRule="exact"/>
        <w:jc w:val="left"/>
        <w:rPr>
          <w:rFonts w:ascii="宋体" w:cs="宋体"/>
          <w:b/>
          <w:color w:val="auto"/>
          <w:szCs w:val="21"/>
          <w:highlight w:val="none"/>
        </w:rPr>
      </w:pPr>
      <w:r>
        <w:rPr>
          <w:rFonts w:hint="eastAsia" w:ascii="宋体" w:cs="宋体"/>
          <w:b/>
          <w:color w:val="auto"/>
          <w:szCs w:val="21"/>
          <w:highlight w:val="none"/>
        </w:rPr>
        <w:tab/>
      </w:r>
    </w:p>
    <w:p>
      <w:pPr>
        <w:spacing w:line="360" w:lineRule="exact"/>
        <w:jc w:val="center"/>
        <w:rPr>
          <w:rFonts w:ascii="宋体" w:cs="宋体"/>
          <w:b/>
          <w:color w:val="auto"/>
          <w:szCs w:val="21"/>
          <w:highlight w:val="none"/>
        </w:rPr>
      </w:pPr>
    </w:p>
    <w:p>
      <w:pPr>
        <w:spacing w:line="360" w:lineRule="exact"/>
        <w:jc w:val="center"/>
        <w:rPr>
          <w:rFonts w:ascii="宋体" w:cs="宋体"/>
          <w:b/>
          <w:color w:val="auto"/>
          <w:szCs w:val="21"/>
          <w:highlight w:val="none"/>
        </w:rPr>
      </w:pPr>
    </w:p>
    <w:p>
      <w:pPr>
        <w:spacing w:line="360" w:lineRule="exact"/>
        <w:rPr>
          <w:rFonts w:ascii="宋体" w:cs="宋体"/>
          <w:b/>
          <w:color w:val="auto"/>
          <w:szCs w:val="21"/>
          <w:highlight w:val="none"/>
        </w:rPr>
      </w:pPr>
    </w:p>
    <w:p>
      <w:pPr>
        <w:pStyle w:val="35"/>
        <w:rPr>
          <w:b/>
          <w:color w:val="auto"/>
          <w:szCs w:val="21"/>
          <w:highlight w:val="none"/>
        </w:rPr>
      </w:pPr>
    </w:p>
    <w:p>
      <w:pPr>
        <w:pStyle w:val="34"/>
        <w:rPr>
          <w:rFonts w:ascii="宋体" w:cs="宋体"/>
          <w:b/>
          <w:color w:val="auto"/>
          <w:szCs w:val="21"/>
          <w:highlight w:val="none"/>
        </w:rPr>
      </w:pPr>
    </w:p>
    <w:p>
      <w:pPr>
        <w:pStyle w:val="11"/>
        <w:rPr>
          <w:rFonts w:ascii="宋体" w:cs="宋体"/>
          <w:b/>
          <w:color w:val="auto"/>
          <w:szCs w:val="21"/>
          <w:highlight w:val="none"/>
        </w:rPr>
      </w:pPr>
    </w:p>
    <w:p>
      <w:pPr>
        <w:rPr>
          <w:color w:val="auto"/>
          <w:highlight w:val="none"/>
        </w:rPr>
      </w:pPr>
    </w:p>
    <w:p>
      <w:pPr>
        <w:pStyle w:val="34"/>
        <w:rPr>
          <w:color w:val="auto"/>
          <w:highlight w:val="none"/>
        </w:rPr>
      </w:pPr>
    </w:p>
    <w:p>
      <w:pPr>
        <w:pStyle w:val="11"/>
        <w:rPr>
          <w:color w:val="auto"/>
          <w:highlight w:val="none"/>
        </w:rPr>
      </w:pPr>
    </w:p>
    <w:p>
      <w:pPr>
        <w:keepNext w:val="0"/>
        <w:keepLines w:val="0"/>
        <w:widowControl/>
        <w:suppressLineNumbers w:val="0"/>
        <w:ind w:firstLine="3112" w:firstLineChars="1000"/>
        <w:jc w:val="left"/>
        <w:rPr>
          <w:rFonts w:hint="eastAsia" w:ascii="宋体" w:hAnsi="宋体" w:eastAsia="宋体" w:cs="宋体"/>
          <w:b/>
          <w:bCs/>
          <w:color w:val="auto"/>
          <w:kern w:val="0"/>
          <w:sz w:val="31"/>
          <w:szCs w:val="31"/>
          <w:highlight w:val="none"/>
          <w:lang w:val="en-US" w:eastAsia="zh-CN" w:bidi="ar"/>
        </w:rPr>
      </w:pPr>
      <w:bookmarkStart w:id="153" w:name="_Toc20577"/>
    </w:p>
    <w:p>
      <w:pPr>
        <w:pStyle w:val="34"/>
        <w:rPr>
          <w:rFonts w:hint="eastAsia" w:ascii="宋体" w:hAnsi="宋体" w:eastAsia="宋体" w:cs="宋体"/>
          <w:b/>
          <w:bCs/>
          <w:color w:val="auto"/>
          <w:kern w:val="0"/>
          <w:sz w:val="31"/>
          <w:szCs w:val="31"/>
          <w:highlight w:val="none"/>
          <w:lang w:val="en-US" w:eastAsia="zh-CN" w:bidi="ar"/>
        </w:rPr>
      </w:pPr>
    </w:p>
    <w:p>
      <w:pPr>
        <w:pStyle w:val="11"/>
        <w:rPr>
          <w:rFonts w:hint="eastAsia"/>
          <w:color w:val="auto"/>
          <w:highlight w:val="none"/>
          <w:lang w:val="en-US" w:eastAsia="zh-CN"/>
        </w:rPr>
      </w:pPr>
    </w:p>
    <w:p>
      <w:pPr>
        <w:keepNext w:val="0"/>
        <w:keepLines w:val="0"/>
        <w:widowControl/>
        <w:suppressLineNumbers w:val="0"/>
        <w:ind w:firstLine="3112" w:firstLineChars="1000"/>
        <w:jc w:val="left"/>
        <w:rPr>
          <w:rFonts w:hint="eastAsia" w:ascii="宋体" w:hAnsi="宋体" w:eastAsia="宋体" w:cs="宋体"/>
          <w:b/>
          <w:bCs/>
          <w:color w:val="auto"/>
          <w:kern w:val="0"/>
          <w:sz w:val="31"/>
          <w:szCs w:val="31"/>
          <w:highlight w:val="none"/>
          <w:lang w:val="en-US" w:eastAsia="zh-CN" w:bidi="ar"/>
        </w:rPr>
      </w:pPr>
      <w:r>
        <w:rPr>
          <w:rFonts w:hint="eastAsia" w:ascii="宋体" w:hAnsi="宋体" w:cs="宋体"/>
          <w:b/>
          <w:bCs/>
          <w:color w:val="auto"/>
          <w:kern w:val="0"/>
          <w:sz w:val="31"/>
          <w:szCs w:val="31"/>
          <w:highlight w:val="none"/>
          <w:lang w:val="en-US" w:eastAsia="zh-CN" w:bidi="ar"/>
        </w:rPr>
        <w:t>十</w:t>
      </w:r>
      <w:r>
        <w:rPr>
          <w:rFonts w:hint="eastAsia" w:ascii="宋体" w:hAnsi="宋体" w:eastAsia="宋体" w:cs="宋体"/>
          <w:b/>
          <w:bCs/>
          <w:color w:val="auto"/>
          <w:kern w:val="0"/>
          <w:sz w:val="31"/>
          <w:szCs w:val="31"/>
          <w:highlight w:val="none"/>
          <w:lang w:val="en-US" w:eastAsia="zh-CN" w:bidi="ar"/>
        </w:rPr>
        <w:t xml:space="preserve">、 中小企业声明函（服务） </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本公司（联合体）郑重声明，根据《政府釆购促进中小企业发展管理办法》（财库（2020）46 号）的规定，本公司（联合体）参加</w:t>
      </w:r>
      <w:r>
        <w:rPr>
          <w:rFonts w:hint="eastAsia" w:ascii="宋体" w:hAnsi="宋体" w:eastAsia="宋体" w:cs="宋体"/>
          <w:color w:val="auto"/>
          <w:sz w:val="21"/>
          <w:szCs w:val="21"/>
          <w:highlight w:val="none"/>
          <w:u w:val="single"/>
          <w:lang w:val="en-US" w:eastAsia="zh-CN"/>
        </w:rPr>
        <w:t>（单位名称）</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u w:val="single"/>
          <w:lang w:val="en-US" w:eastAsia="zh-CN"/>
        </w:rPr>
        <w:t>（项目名称 ）</w:t>
      </w:r>
      <w:r>
        <w:rPr>
          <w:rFonts w:hint="eastAsia" w:ascii="宋体" w:hAnsi="宋体" w:eastAsia="宋体" w:cs="宋体"/>
          <w:color w:val="auto"/>
          <w:sz w:val="21"/>
          <w:szCs w:val="21"/>
          <w:highlight w:val="none"/>
          <w:lang w:val="en-US" w:eastAsia="zh-CN"/>
        </w:rPr>
        <w:t xml:space="preserve">釆购活动,工程的施工单位全部为符合政策要求的中小企业（或者：服务全部由符合政策要求的中小企业承接）。相关企业（含联合体中的中小企业、签订分包意向协议的中小企业）的具体情况如下： </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u w:val="single"/>
          <w:lang w:val="en-US" w:eastAsia="zh-CN"/>
        </w:rPr>
        <w:t>（标的名称）</w:t>
      </w:r>
      <w:r>
        <w:rPr>
          <w:rFonts w:hint="eastAsia" w:ascii="宋体" w:hAnsi="宋体" w:eastAsia="宋体" w:cs="宋体"/>
          <w:color w:val="auto"/>
          <w:sz w:val="21"/>
          <w:szCs w:val="21"/>
          <w:highlight w:val="none"/>
          <w:lang w:val="en-US" w:eastAsia="zh-CN"/>
        </w:rPr>
        <w:t>,属于</w:t>
      </w:r>
      <w:r>
        <w:rPr>
          <w:rFonts w:hint="eastAsia" w:ascii="宋体" w:hAnsi="宋体" w:eastAsia="宋体" w:cs="宋体"/>
          <w:color w:val="auto"/>
          <w:sz w:val="21"/>
          <w:szCs w:val="21"/>
          <w:highlight w:val="none"/>
          <w:u w:val="single"/>
          <w:lang w:val="en-US" w:eastAsia="zh-CN"/>
        </w:rPr>
        <w:t>（釆购文件中明确的所属行业）</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u w:val="none"/>
          <w:lang w:val="en-US" w:eastAsia="zh-CN"/>
        </w:rPr>
        <w:t>供应商</w:t>
      </w:r>
      <w:r>
        <w:rPr>
          <w:rFonts w:hint="eastAsia" w:ascii="宋体" w:hAnsi="宋体" w:eastAsia="宋体" w:cs="宋体"/>
          <w:color w:val="auto"/>
          <w:sz w:val="21"/>
          <w:szCs w:val="21"/>
          <w:highlight w:val="none"/>
          <w:lang w:val="en-US" w:eastAsia="zh-CN"/>
        </w:rPr>
        <w:t>为</w:t>
      </w:r>
      <w:r>
        <w:rPr>
          <w:rFonts w:hint="eastAsia" w:ascii="宋体" w:hAnsi="宋体" w:eastAsia="宋体" w:cs="宋体"/>
          <w:color w:val="auto"/>
          <w:sz w:val="21"/>
          <w:szCs w:val="21"/>
          <w:highlight w:val="none"/>
          <w:u w:val="single"/>
          <w:lang w:val="en-US" w:eastAsia="zh-CN"/>
        </w:rPr>
        <w:t>（企业名称）</w:t>
      </w:r>
      <w:r>
        <w:rPr>
          <w:rFonts w:hint="eastAsia" w:ascii="宋体" w:hAnsi="宋体" w:eastAsia="宋体" w:cs="宋体"/>
          <w:color w:val="auto"/>
          <w:sz w:val="21"/>
          <w:szCs w:val="21"/>
          <w:highlight w:val="none"/>
          <w:lang w:val="en-US" w:eastAsia="zh-CN"/>
        </w:rPr>
        <w:t>,从业人</w:t>
      </w:r>
      <w:r>
        <w:rPr>
          <w:rFonts w:hint="eastAsia" w:ascii="宋体" w:hAnsi="宋体" w:eastAsia="宋体" w:cs="宋体"/>
          <w:color w:val="auto"/>
          <w:sz w:val="21"/>
          <w:szCs w:val="21"/>
          <w:highlight w:val="none"/>
          <w:u w:val="none"/>
          <w:lang w:val="en-US" w:eastAsia="zh-CN"/>
        </w:rPr>
        <w:t>员为</w:t>
      </w:r>
      <w:r>
        <w:rPr>
          <w:rFonts w:hint="eastAsia" w:ascii="宋体" w:hAnsi="宋体" w:eastAsia="宋体" w:cs="宋体"/>
          <w:color w:val="auto"/>
          <w:sz w:val="21"/>
          <w:szCs w:val="21"/>
          <w:highlight w:val="none"/>
          <w:u w:val="single"/>
          <w:lang w:val="en-US" w:eastAsia="zh-CN"/>
        </w:rPr>
        <w:t xml:space="preserve">   人</w:t>
      </w:r>
      <w:r>
        <w:rPr>
          <w:rFonts w:hint="eastAsia" w:ascii="宋体" w:hAnsi="宋体" w:eastAsia="宋体" w:cs="宋体"/>
          <w:color w:val="auto"/>
          <w:sz w:val="21"/>
          <w:szCs w:val="21"/>
          <w:highlight w:val="none"/>
          <w:lang w:val="en-US" w:eastAsia="zh-CN"/>
        </w:rPr>
        <w:t>，营业收入为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万元，资产总额为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万元，属于（</w:t>
      </w:r>
      <w:r>
        <w:rPr>
          <w:rFonts w:hint="eastAsia" w:ascii="宋体" w:hAnsi="宋体" w:eastAsia="宋体" w:cs="宋体"/>
          <w:color w:val="auto"/>
          <w:sz w:val="21"/>
          <w:szCs w:val="21"/>
          <w:highlight w:val="none"/>
          <w:u w:val="single"/>
          <w:lang w:val="en-US" w:eastAsia="zh-CN"/>
        </w:rPr>
        <w:t>中型企业、 小型企业、微型企业</w:t>
      </w:r>
      <w:r>
        <w:rPr>
          <w:rFonts w:hint="eastAsia" w:ascii="宋体" w:hAnsi="宋体" w:eastAsia="宋体" w:cs="宋体"/>
          <w:color w:val="auto"/>
          <w:sz w:val="21"/>
          <w:szCs w:val="21"/>
          <w:highlight w:val="none"/>
          <w:lang w:val="en-US" w:eastAsia="zh-CN"/>
        </w:rPr>
        <w:t xml:space="preserve">）: </w:t>
      </w:r>
    </w:p>
    <w:p>
      <w:pPr>
        <w:spacing w:line="360" w:lineRule="auto"/>
        <w:ind w:firstLine="420" w:firstLineChars="200"/>
        <w:rPr>
          <w:rFonts w:hint="eastAsia" w:ascii="宋体" w:hAnsi="宋体" w:eastAsia="宋体" w:cs="宋体"/>
          <w:color w:val="auto"/>
          <w:sz w:val="21"/>
          <w:szCs w:val="21"/>
          <w:highlight w:val="none"/>
          <w:lang w:val="en-US" w:eastAsia="zh-CN"/>
        </w:rPr>
      </w:pP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以上企业，不属于大企业的分支机构，不存在控股股东为大企业的情形，也不存在与大企业的负责人为同一人的情形。 </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本企业对上述声明内容的真实性负责。如有虚假，将依法承担相应责任。 </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企业名称（盖章）： </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日期： </w:t>
      </w:r>
    </w:p>
    <w:p>
      <w:pPr>
        <w:spacing w:line="360" w:lineRule="auto"/>
        <w:ind w:firstLine="420" w:firstLineChars="200"/>
        <w:rPr>
          <w:rFonts w:hint="eastAsia" w:ascii="宋体" w:hAnsi="宋体" w:eastAsia="宋体" w:cs="宋体"/>
          <w:color w:val="auto"/>
          <w:sz w:val="21"/>
          <w:szCs w:val="21"/>
          <w:highlight w:val="none"/>
          <w:lang w:val="en-US" w:eastAsia="zh-CN"/>
        </w:rPr>
      </w:pPr>
    </w:p>
    <w:p>
      <w:pPr>
        <w:spacing w:line="360" w:lineRule="auto"/>
        <w:ind w:firstLine="420" w:firstLineChars="200"/>
        <w:rPr>
          <w:rFonts w:hint="eastAsia" w:ascii="宋体" w:hAnsi="宋体" w:eastAsia="宋体" w:cs="宋体"/>
          <w:color w:val="auto"/>
          <w:sz w:val="21"/>
          <w:szCs w:val="21"/>
          <w:highlight w:val="none"/>
          <w:lang w:val="en-US" w:eastAsia="zh-CN"/>
        </w:rPr>
      </w:pPr>
    </w:p>
    <w:p>
      <w:pPr>
        <w:spacing w:line="360" w:lineRule="auto"/>
        <w:ind w:firstLine="420" w:firstLineChars="200"/>
        <w:rPr>
          <w:rFonts w:hint="eastAsia" w:ascii="宋体" w:hAnsi="宋体" w:eastAsia="宋体" w:cs="宋体"/>
          <w:color w:val="auto"/>
          <w:sz w:val="21"/>
          <w:szCs w:val="21"/>
          <w:highlight w:val="none"/>
          <w:lang w:val="en-US" w:eastAsia="zh-CN"/>
        </w:rPr>
      </w:pPr>
    </w:p>
    <w:p>
      <w:pPr>
        <w:spacing w:line="44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注：1.从业人员、营业收入、资产总额填报上一年度数据，无上一年度数据的新成立企业可不填报。</w:t>
      </w:r>
    </w:p>
    <w:p>
      <w:pPr>
        <w:spacing w:line="44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2.中小企业划分标准见工业和信息化部 国家统计局 国家发展改革委 财政部 《关于印发中小企业划型标准规定的通知》工信部联企业 [2011]300号。</w:t>
      </w:r>
    </w:p>
    <w:p>
      <w:pPr>
        <w:spacing w:line="500" w:lineRule="exact"/>
        <w:ind w:firstLine="420" w:firstLineChars="20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本项目标的物所属行业：</w:t>
      </w:r>
      <w:r>
        <w:rPr>
          <w:rFonts w:hint="eastAsia" w:ascii="宋体" w:hAnsi="宋体" w:cs="宋体"/>
          <w:color w:val="auto"/>
          <w:sz w:val="21"/>
          <w:szCs w:val="21"/>
          <w:highlight w:val="none"/>
          <w:lang w:val="en-US" w:eastAsia="zh-CN"/>
        </w:rPr>
        <w:t>制造业</w:t>
      </w:r>
      <w:r>
        <w:rPr>
          <w:rFonts w:hint="eastAsia" w:ascii="宋体" w:hAnsi="宋体" w:cs="宋体"/>
          <w:color w:val="auto"/>
          <w:sz w:val="21"/>
          <w:szCs w:val="21"/>
          <w:highlight w:val="none"/>
        </w:rPr>
        <w:t>。</w:t>
      </w:r>
    </w:p>
    <w:p>
      <w:pPr>
        <w:jc w:val="center"/>
        <w:textAlignment w:val="baseline"/>
        <w:outlineLvl w:val="1"/>
        <w:rPr>
          <w:rFonts w:ascii="宋体" w:hAnsi="宋体" w:cs="宋体"/>
          <w:b/>
          <w:bCs/>
          <w:color w:val="auto"/>
          <w:kern w:val="28"/>
          <w:sz w:val="32"/>
          <w:szCs w:val="32"/>
          <w:highlight w:val="none"/>
        </w:rPr>
      </w:pPr>
      <w:r>
        <w:rPr>
          <w:rFonts w:hint="eastAsia" w:ascii="宋体" w:hAnsi="宋体" w:cs="宋体"/>
          <w:b/>
          <w:bCs/>
          <w:color w:val="auto"/>
          <w:kern w:val="28"/>
          <w:sz w:val="21"/>
          <w:szCs w:val="21"/>
          <w:highlight w:val="none"/>
        </w:rPr>
        <w:br w:type="page"/>
      </w:r>
      <w:bookmarkStart w:id="154" w:name="_Toc15435"/>
      <w:r>
        <w:rPr>
          <w:rFonts w:hint="eastAsia" w:ascii="宋体" w:hAnsi="宋体" w:cs="宋体"/>
          <w:b/>
          <w:bCs/>
          <w:color w:val="auto"/>
          <w:kern w:val="28"/>
          <w:sz w:val="32"/>
          <w:szCs w:val="32"/>
          <w:highlight w:val="none"/>
        </w:rPr>
        <w:t>十</w:t>
      </w:r>
      <w:r>
        <w:rPr>
          <w:rFonts w:hint="eastAsia" w:ascii="宋体" w:hAnsi="宋体" w:cs="宋体"/>
          <w:b/>
          <w:bCs/>
          <w:color w:val="auto"/>
          <w:kern w:val="28"/>
          <w:sz w:val="32"/>
          <w:szCs w:val="32"/>
          <w:highlight w:val="none"/>
          <w:lang w:eastAsia="zh-CN"/>
        </w:rPr>
        <w:t>一</w:t>
      </w:r>
      <w:r>
        <w:rPr>
          <w:rFonts w:hint="eastAsia" w:ascii="宋体" w:hAnsi="宋体" w:cs="宋体"/>
          <w:b/>
          <w:bCs/>
          <w:color w:val="auto"/>
          <w:kern w:val="28"/>
          <w:sz w:val="32"/>
          <w:szCs w:val="32"/>
          <w:highlight w:val="none"/>
        </w:rPr>
        <w:t>、投标承诺函</w:t>
      </w:r>
      <w:bookmarkEnd w:id="154"/>
    </w:p>
    <w:p>
      <w:pPr>
        <w:spacing w:line="440" w:lineRule="exact"/>
        <w:ind w:firstLine="420" w:firstLineChars="200"/>
        <w:textAlignment w:val="baseline"/>
        <w:rPr>
          <w:rFonts w:hint="eastAsia" w:ascii="宋体" w:hAnsi="宋体" w:eastAsia="宋体" w:cs="宋体"/>
          <w:color w:val="auto"/>
          <w:sz w:val="21"/>
          <w:szCs w:val="21"/>
          <w:highlight w:val="none"/>
        </w:rPr>
      </w:pP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我单位对</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项目名称</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（采购编号）投标行为做出承诺，保证所提交材料的真实性。</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我单位承诺：</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文件递交截止时间后至确定成交人的</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"https://baike.so.com/doc/5394983-5632135.html" \t "https://baike.so.com/doc/_blank"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投标有效期</w:t>
      </w:r>
      <w:r>
        <w:rPr>
          <w:rFonts w:hint="eastAsia" w:ascii="宋体" w:hAnsi="宋体" w:eastAsia="宋体" w:cs="宋体"/>
          <w:color w:val="auto"/>
          <w:sz w:val="21"/>
          <w:szCs w:val="21"/>
          <w:highlight w:val="none"/>
        </w:rPr>
        <w:fldChar w:fldCharType="end"/>
      </w:r>
      <w:r>
        <w:rPr>
          <w:rFonts w:hint="eastAsia" w:ascii="宋体" w:hAnsi="宋体" w:eastAsia="宋体" w:cs="宋体"/>
          <w:color w:val="auto"/>
          <w:sz w:val="21"/>
          <w:szCs w:val="21"/>
          <w:highlight w:val="none"/>
        </w:rPr>
        <w:t>内，我单位不得要求退出竞标或者修改</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文件且对递交的</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文件负责，受其约束。</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2、若我单位中标，在接到成交通知书后，除不可抗力因素外，及时按规定与采购人签订合同并认真履约。</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spacing w:line="440" w:lineRule="exact"/>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4、不存在法律法规规定的其他违法违规行为。</w:t>
      </w:r>
    </w:p>
    <w:p>
      <w:pPr>
        <w:pStyle w:val="8"/>
        <w:rPr>
          <w:rFonts w:hint="eastAsia" w:ascii="宋体" w:hAnsi="宋体" w:eastAsia="宋体" w:cs="宋体"/>
          <w:color w:val="auto"/>
          <w:sz w:val="21"/>
          <w:szCs w:val="21"/>
          <w:highlight w:val="none"/>
        </w:rPr>
      </w:pPr>
    </w:p>
    <w:p>
      <w:pPr>
        <w:spacing w:line="440" w:lineRule="exact"/>
        <w:ind w:firstLine="420" w:firstLineChars="20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供应商名称（盖章）：</w:t>
      </w:r>
    </w:p>
    <w:p>
      <w:pPr>
        <w:spacing w:line="440" w:lineRule="exact"/>
        <w:ind w:firstLine="420" w:firstLineChars="20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法人代表或授权委托人（签字或盖章）：</w:t>
      </w:r>
    </w:p>
    <w:p>
      <w:pPr>
        <w:spacing w:line="440" w:lineRule="exact"/>
        <w:ind w:firstLine="420" w:firstLineChars="200"/>
        <w:textAlignment w:val="baseline"/>
        <w:rPr>
          <w:rFonts w:hint="eastAsia" w:ascii="宋体" w:hAnsi="宋体" w:eastAsia="宋体" w:cs="宋体"/>
          <w:color w:val="auto"/>
          <w:sz w:val="21"/>
          <w:szCs w:val="21"/>
          <w:highlight w:val="none"/>
        </w:rPr>
      </w:pPr>
      <w:bookmarkStart w:id="155" w:name="_Toc27148152"/>
    </w:p>
    <w:p>
      <w:pPr>
        <w:spacing w:line="440" w:lineRule="exact"/>
        <w:ind w:firstLine="945" w:firstLineChars="450"/>
        <w:jc w:val="right"/>
        <w:textAlignment w:val="baseline"/>
        <w:rPr>
          <w:rFonts w:hint="eastAsia" w:ascii="宋体" w:hAnsi="宋体" w:eastAsia="宋体" w:cs="宋体"/>
          <w:color w:val="auto"/>
          <w:sz w:val="21"/>
          <w:szCs w:val="21"/>
          <w:highlight w:val="none"/>
        </w:rPr>
      </w:pPr>
      <w:bookmarkStart w:id="156" w:name="_Toc14962"/>
      <w:r>
        <w:rPr>
          <w:rFonts w:hint="eastAsia" w:ascii="宋体" w:hAnsi="宋体" w:eastAsia="宋体" w:cs="宋体"/>
          <w:color w:val="auto"/>
          <w:sz w:val="21"/>
          <w:szCs w:val="21"/>
          <w:highlight w:val="none"/>
        </w:rPr>
        <w:t>年   月   日</w:t>
      </w:r>
      <w:bookmarkEnd w:id="155"/>
      <w:bookmarkEnd w:id="156"/>
    </w:p>
    <w:p>
      <w:pPr>
        <w:spacing w:line="440" w:lineRule="exact"/>
        <w:ind w:firstLine="420" w:firstLineChars="200"/>
        <w:textAlignment w:val="baseline"/>
        <w:rPr>
          <w:rFonts w:hint="eastAsia" w:ascii="宋体" w:hAnsi="宋体" w:eastAsia="宋体" w:cs="宋体"/>
          <w:color w:val="auto"/>
          <w:sz w:val="21"/>
          <w:szCs w:val="21"/>
          <w:highlight w:val="none"/>
        </w:rPr>
      </w:pPr>
    </w:p>
    <w:p>
      <w:pPr>
        <w:pStyle w:val="20"/>
        <w:rPr>
          <w:rFonts w:hint="eastAsia" w:ascii="宋体" w:hAnsi="宋体" w:eastAsia="宋体" w:cs="宋体"/>
          <w:color w:val="auto"/>
          <w:sz w:val="21"/>
          <w:szCs w:val="21"/>
          <w:highlight w:val="none"/>
        </w:rPr>
      </w:pPr>
    </w:p>
    <w:p>
      <w:pPr>
        <w:pStyle w:val="20"/>
        <w:rPr>
          <w:rFonts w:hint="eastAsia" w:ascii="宋体" w:hAnsi="宋体" w:eastAsia="宋体" w:cs="宋体"/>
          <w:color w:val="auto"/>
          <w:sz w:val="21"/>
          <w:szCs w:val="21"/>
          <w:highlight w:val="none"/>
        </w:rPr>
      </w:pPr>
    </w:p>
    <w:p>
      <w:pPr>
        <w:pStyle w:val="20"/>
        <w:jc w:val="both"/>
        <w:rPr>
          <w:rFonts w:hint="eastAsia" w:ascii="宋体" w:hAnsi="宋体" w:eastAsia="宋体" w:cs="宋体"/>
          <w:color w:val="auto"/>
          <w:sz w:val="21"/>
          <w:szCs w:val="21"/>
          <w:highlight w:val="none"/>
        </w:rPr>
      </w:pPr>
    </w:p>
    <w:p>
      <w:pPr>
        <w:pStyle w:val="20"/>
        <w:jc w:val="both"/>
        <w:rPr>
          <w:rFonts w:ascii="宋体" w:hAnsi="宋体" w:cs="宋体"/>
          <w:color w:val="auto"/>
          <w:highlight w:val="none"/>
        </w:rPr>
      </w:pPr>
    </w:p>
    <w:p>
      <w:pPr>
        <w:rPr>
          <w:rFonts w:ascii="宋体" w:hAnsi="宋体" w:cs="宋体"/>
          <w:color w:val="auto"/>
          <w:highlight w:val="none"/>
        </w:rPr>
      </w:pPr>
    </w:p>
    <w:p>
      <w:pPr>
        <w:pStyle w:val="34"/>
        <w:rPr>
          <w:rFonts w:ascii="宋体" w:hAnsi="宋体" w:cs="宋体"/>
          <w:color w:val="auto"/>
          <w:highlight w:val="none"/>
        </w:rPr>
      </w:pPr>
    </w:p>
    <w:p>
      <w:pPr>
        <w:pStyle w:val="11"/>
        <w:rPr>
          <w:rFonts w:ascii="宋体" w:hAnsi="宋体" w:cs="宋体"/>
          <w:color w:val="auto"/>
          <w:highlight w:val="none"/>
        </w:rPr>
      </w:pPr>
    </w:p>
    <w:p>
      <w:pPr>
        <w:rPr>
          <w:color w:val="auto"/>
          <w:highlight w:val="none"/>
        </w:rPr>
      </w:pPr>
    </w:p>
    <w:p>
      <w:pPr>
        <w:jc w:val="center"/>
        <w:outlineLvl w:val="1"/>
        <w:rPr>
          <w:rFonts w:hint="eastAsia" w:ascii="宋体" w:hAnsi="宋体" w:cs="宋体"/>
          <w:b/>
          <w:color w:val="auto"/>
          <w:kern w:val="0"/>
          <w:sz w:val="32"/>
          <w:szCs w:val="32"/>
          <w:highlight w:val="none"/>
        </w:rPr>
      </w:pPr>
    </w:p>
    <w:p>
      <w:pPr>
        <w:jc w:val="center"/>
        <w:outlineLvl w:val="1"/>
        <w:rPr>
          <w:rFonts w:hint="eastAsia" w:eastAsia="宋体"/>
          <w:color w:val="auto"/>
          <w:sz w:val="28"/>
          <w:szCs w:val="28"/>
          <w:highlight w:val="none"/>
          <w:u w:val="single"/>
          <w:lang w:eastAsia="zh-CN"/>
        </w:rPr>
      </w:pPr>
      <w:bookmarkStart w:id="157" w:name="_Toc32137"/>
      <w:r>
        <w:rPr>
          <w:rFonts w:hint="eastAsia" w:ascii="宋体" w:hAnsi="宋体" w:cs="宋体"/>
          <w:b/>
          <w:color w:val="auto"/>
          <w:kern w:val="0"/>
          <w:sz w:val="32"/>
          <w:szCs w:val="32"/>
          <w:highlight w:val="none"/>
        </w:rPr>
        <w:t>十</w:t>
      </w:r>
      <w:r>
        <w:rPr>
          <w:rFonts w:hint="eastAsia" w:ascii="宋体" w:hAnsi="宋体" w:cs="宋体"/>
          <w:b/>
          <w:color w:val="auto"/>
          <w:kern w:val="0"/>
          <w:sz w:val="32"/>
          <w:szCs w:val="32"/>
          <w:highlight w:val="none"/>
          <w:lang w:eastAsia="zh-CN"/>
        </w:rPr>
        <w:t>二</w:t>
      </w:r>
      <w:r>
        <w:rPr>
          <w:rFonts w:hint="eastAsia" w:ascii="宋体" w:hAnsi="宋体" w:cs="宋体"/>
          <w:b/>
          <w:color w:val="auto"/>
          <w:kern w:val="0"/>
          <w:sz w:val="32"/>
          <w:szCs w:val="32"/>
          <w:highlight w:val="none"/>
        </w:rPr>
        <w:t>、温县政府采购供应商资格信用</w:t>
      </w:r>
      <w:bookmarkEnd w:id="157"/>
      <w:r>
        <w:rPr>
          <w:rFonts w:hint="eastAsia" w:ascii="宋体" w:hAnsi="宋体" w:cs="宋体"/>
          <w:b/>
          <w:color w:val="auto"/>
          <w:kern w:val="0"/>
          <w:sz w:val="32"/>
          <w:szCs w:val="32"/>
          <w:highlight w:val="none"/>
          <w:lang w:eastAsia="zh-CN"/>
        </w:rPr>
        <w:t>承诺函</w:t>
      </w:r>
    </w:p>
    <w:p>
      <w:pPr>
        <w:keepNext w:val="0"/>
        <w:keepLines w:val="0"/>
        <w:pageBreakBefore w:val="0"/>
        <w:widowControl w:val="0"/>
        <w:kinsoku/>
        <w:wordWrap/>
        <w:overflowPunct w:val="0"/>
        <w:topLinePunct w:val="0"/>
        <w:autoSpaceDE/>
        <w:autoSpaceDN/>
        <w:bidi w:val="0"/>
        <w:adjustRightInd w:val="0"/>
        <w:snapToGrid w:val="0"/>
        <w:spacing w:line="480" w:lineRule="exact"/>
        <w:ind w:firstLine="420" w:firstLineChars="200"/>
        <w:textAlignment w:val="auto"/>
        <w:rPr>
          <w:rFonts w:hint="eastAsia" w:ascii="宋体" w:hAnsi="宋体" w:eastAsia="宋体" w:cs="宋体"/>
          <w:color w:val="auto"/>
          <w:szCs w:val="32"/>
          <w:highlight w:val="none"/>
          <w:u w:val="none"/>
        </w:rPr>
      </w:pPr>
      <w:r>
        <w:rPr>
          <w:rFonts w:hint="eastAsia" w:ascii="宋体" w:hAnsi="宋体" w:eastAsia="宋体" w:cs="宋体"/>
          <w:color w:val="auto"/>
          <w:szCs w:val="32"/>
          <w:highlight w:val="none"/>
        </w:rPr>
        <w:t>致：</w:t>
      </w:r>
      <w:r>
        <w:rPr>
          <w:rFonts w:hint="eastAsia" w:ascii="宋体" w:hAnsi="宋体" w:eastAsia="宋体" w:cs="宋体"/>
          <w:color w:val="auto"/>
          <w:szCs w:val="32"/>
          <w:highlight w:val="none"/>
          <w:u w:val="single"/>
          <w:lang w:val="en-US" w:eastAsia="zh-CN"/>
        </w:rPr>
        <w:t xml:space="preserve">             </w:t>
      </w:r>
      <w:r>
        <w:rPr>
          <w:rFonts w:hint="eastAsia" w:ascii="宋体" w:hAnsi="宋体" w:cs="宋体"/>
          <w:color w:val="auto"/>
          <w:szCs w:val="32"/>
          <w:highlight w:val="none"/>
          <w:u w:val="single"/>
          <w:lang w:val="en-US" w:eastAsia="zh-CN"/>
        </w:rPr>
        <w:t xml:space="preserve">              </w:t>
      </w:r>
      <w:r>
        <w:rPr>
          <w:rFonts w:hint="eastAsia" w:ascii="宋体" w:hAnsi="宋体" w:eastAsia="宋体" w:cs="宋体"/>
          <w:color w:val="auto"/>
          <w:szCs w:val="32"/>
          <w:highlight w:val="none"/>
          <w:u w:val="none"/>
        </w:rPr>
        <w:t xml:space="preserve">（采购人或采购代理机构） </w:t>
      </w:r>
    </w:p>
    <w:p>
      <w:pPr>
        <w:keepNext w:val="0"/>
        <w:keepLines w:val="0"/>
        <w:pageBreakBefore w:val="0"/>
        <w:widowControl w:val="0"/>
        <w:kinsoku/>
        <w:wordWrap/>
        <w:overflowPunct w:val="0"/>
        <w:topLinePunct w:val="0"/>
        <w:autoSpaceDE/>
        <w:autoSpaceDN/>
        <w:bidi w:val="0"/>
        <w:adjustRightInd w:val="0"/>
        <w:snapToGrid w:val="0"/>
        <w:spacing w:line="480" w:lineRule="exac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 xml:space="preserve">    供应商名称：</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 xml:space="preserve">                                  </w:t>
      </w:r>
    </w:p>
    <w:p>
      <w:pPr>
        <w:keepNext w:val="0"/>
        <w:keepLines w:val="0"/>
        <w:pageBreakBefore w:val="0"/>
        <w:widowControl w:val="0"/>
        <w:kinsoku/>
        <w:wordWrap/>
        <w:overflowPunct w:val="0"/>
        <w:topLinePunct w:val="0"/>
        <w:autoSpaceDE/>
        <w:autoSpaceDN/>
        <w:bidi w:val="0"/>
        <w:adjustRightInd w:val="0"/>
        <w:snapToGrid w:val="0"/>
        <w:spacing w:line="480" w:lineRule="exac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 xml:space="preserve">    统一社会信用代码：</w:t>
      </w:r>
      <w:r>
        <w:rPr>
          <w:rFonts w:hint="eastAsia" w:ascii="宋体" w:hAnsi="宋体" w:eastAsia="宋体" w:cs="宋体"/>
          <w:color w:val="auto"/>
          <w:szCs w:val="32"/>
          <w:highlight w:val="none"/>
          <w:u w:val="single"/>
        </w:rPr>
        <w:t xml:space="preserve">                                 </w:t>
      </w:r>
      <w:r>
        <w:rPr>
          <w:rFonts w:hint="eastAsia" w:ascii="宋体" w:hAnsi="宋体" w:cs="宋体"/>
          <w:color w:val="auto"/>
          <w:szCs w:val="32"/>
          <w:highlight w:val="none"/>
          <w:u w:val="single"/>
          <w:lang w:val="en-US" w:eastAsia="zh-CN"/>
        </w:rPr>
        <w:t xml:space="preserve">  </w:t>
      </w:r>
      <w:r>
        <w:rPr>
          <w:rFonts w:hint="eastAsia" w:ascii="宋体" w:hAnsi="宋体" w:eastAsia="宋体" w:cs="宋体"/>
          <w:color w:val="auto"/>
          <w:szCs w:val="32"/>
          <w:highlight w:val="none"/>
        </w:rPr>
        <w:t xml:space="preserve">                            </w:t>
      </w:r>
    </w:p>
    <w:p>
      <w:pPr>
        <w:spacing w:line="600" w:lineRule="exact"/>
        <w:ind w:firstLine="210" w:firstLineChars="100"/>
        <w:rPr>
          <w:rFonts w:ascii="宋体" w:hAnsi="宋体"/>
          <w:color w:val="auto"/>
          <w:szCs w:val="21"/>
          <w:highlight w:val="none"/>
        </w:rPr>
      </w:pPr>
      <w:r>
        <w:rPr>
          <w:rFonts w:hint="eastAsia" w:ascii="宋体" w:hAnsi="宋体" w:eastAsia="宋体" w:cs="宋体"/>
          <w:color w:val="auto"/>
          <w:szCs w:val="32"/>
          <w:highlight w:val="none"/>
        </w:rPr>
        <w:t xml:space="preserve">  供应商地址：</w:t>
      </w:r>
      <w:r>
        <w:rPr>
          <w:rFonts w:hint="eastAsia" w:ascii="宋体" w:hAnsi="宋体" w:eastAsia="宋体" w:cs="宋体"/>
          <w:color w:val="auto"/>
          <w:szCs w:val="32"/>
          <w:highlight w:val="none"/>
          <w:u w:val="single"/>
        </w:rPr>
        <w:t xml:space="preserve">                                         </w:t>
      </w:r>
      <w:r>
        <w:rPr>
          <w:rFonts w:hint="eastAsia" w:ascii="宋体" w:hAnsi="宋体" w:eastAsia="宋体" w:cs="宋体"/>
          <w:color w:val="auto"/>
          <w:szCs w:val="32"/>
          <w:highlight w:val="none"/>
        </w:rPr>
        <w:t xml:space="preserve"> </w:t>
      </w:r>
      <w:r>
        <w:rPr>
          <w:rFonts w:ascii="宋体" w:hAnsi="宋体"/>
          <w:color w:val="auto"/>
          <w:szCs w:val="21"/>
          <w:highlight w:val="none"/>
        </w:rPr>
        <w:t xml:space="preserve">                           </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spacing w:line="600" w:lineRule="exact"/>
        <w:ind w:firstLine="420" w:firstLineChars="200"/>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我单位具有符合采购文件资格要求独立承担民事责任的能力。</w:t>
      </w:r>
    </w:p>
    <w:p>
      <w:pPr>
        <w:spacing w:line="600" w:lineRule="exact"/>
        <w:ind w:firstLine="420" w:firstLineChars="200"/>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我单位具有符合采购文件资格要求的财务状况报告。</w:t>
      </w:r>
    </w:p>
    <w:p>
      <w:pPr>
        <w:spacing w:line="600" w:lineRule="exact"/>
        <w:ind w:firstLine="420" w:firstLineChars="200"/>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我单位具有符合采购文件资格要求的依法缴纳税收和社会保障记录的良好记录。</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4</w:t>
      </w:r>
      <w:r>
        <w:rPr>
          <w:rFonts w:ascii="宋体" w:hAnsi="宋体"/>
          <w:color w:val="auto"/>
          <w:szCs w:val="21"/>
          <w:highlight w:val="none"/>
        </w:rPr>
        <w:t>.</w:t>
      </w:r>
      <w:r>
        <w:rPr>
          <w:rFonts w:hint="eastAsia" w:ascii="宋体" w:hAnsi="宋体"/>
          <w:color w:val="auto"/>
          <w:szCs w:val="21"/>
          <w:highlight w:val="none"/>
        </w:rPr>
        <w:t>我单位具有符合采购文件资格要求履行合同所必需的设备和专业技术能力。</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5</w:t>
      </w:r>
      <w:r>
        <w:rPr>
          <w:rFonts w:ascii="宋体" w:hAnsi="宋体"/>
          <w:color w:val="auto"/>
          <w:szCs w:val="21"/>
          <w:highlight w:val="none"/>
        </w:rPr>
        <w:t>.</w:t>
      </w:r>
      <w:r>
        <w:rPr>
          <w:rFonts w:hint="eastAsia" w:ascii="宋体" w:hAnsi="宋体"/>
          <w:color w:val="auto"/>
          <w:szCs w:val="21"/>
          <w:highlight w:val="none"/>
        </w:rPr>
        <w:t>参加政府采购活动前三年内，再经营活动中没有重大违法记录。</w:t>
      </w: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若我单位承诺不实，自愿承担提供虚假材料谋取中标、成交的法律责任。</w:t>
      </w:r>
    </w:p>
    <w:p>
      <w:pPr>
        <w:spacing w:line="600" w:lineRule="exact"/>
        <w:ind w:firstLine="4200" w:firstLineChars="2000"/>
        <w:rPr>
          <w:rFonts w:ascii="宋体" w:hAnsi="宋体"/>
          <w:color w:val="auto"/>
          <w:szCs w:val="21"/>
          <w:highlight w:val="none"/>
        </w:rPr>
      </w:pPr>
      <w:r>
        <w:rPr>
          <w:rFonts w:hint="eastAsia" w:ascii="宋体" w:hAnsi="宋体"/>
          <w:color w:val="auto"/>
          <w:szCs w:val="21"/>
          <w:highlight w:val="none"/>
        </w:rPr>
        <w:t xml:space="preserve">承诺供应商（全称并加盖公章）： </w:t>
      </w:r>
      <w:r>
        <w:rPr>
          <w:rFonts w:ascii="宋体" w:hAnsi="宋体"/>
          <w:color w:val="auto"/>
          <w:szCs w:val="21"/>
          <w:highlight w:val="none"/>
        </w:rPr>
        <w:t xml:space="preserve">              </w:t>
      </w:r>
    </w:p>
    <w:p>
      <w:pPr>
        <w:spacing w:line="600" w:lineRule="exact"/>
        <w:ind w:firstLine="4200" w:firstLineChars="2000"/>
        <w:rPr>
          <w:rFonts w:ascii="宋体" w:hAnsi="宋体"/>
          <w:color w:val="auto"/>
          <w:szCs w:val="21"/>
          <w:highlight w:val="none"/>
        </w:rPr>
      </w:pPr>
      <w:r>
        <w:rPr>
          <w:rFonts w:hint="eastAsia" w:ascii="宋体" w:hAnsi="宋体"/>
          <w:color w:val="auto"/>
          <w:szCs w:val="21"/>
          <w:highlight w:val="none"/>
        </w:rPr>
        <w:t xml:space="preserve">法定代表人或授权代表（签字）： </w:t>
      </w:r>
      <w:r>
        <w:rPr>
          <w:rFonts w:ascii="宋体" w:hAnsi="宋体"/>
          <w:color w:val="auto"/>
          <w:szCs w:val="21"/>
          <w:highlight w:val="none"/>
        </w:rPr>
        <w:t xml:space="preserve">    </w:t>
      </w:r>
    </w:p>
    <w:p>
      <w:pPr>
        <w:spacing w:line="600" w:lineRule="exact"/>
        <w:ind w:firstLine="420" w:firstLineChars="200"/>
        <w:jc w:val="right"/>
        <w:rPr>
          <w:rFonts w:ascii="宋体" w:hAnsi="宋体"/>
          <w:color w:val="auto"/>
          <w:szCs w:val="21"/>
          <w:highlight w:val="none"/>
        </w:rPr>
      </w:pPr>
      <w:r>
        <w:rPr>
          <w:rFonts w:hint="eastAsia" w:ascii="宋体" w:hAnsi="宋体"/>
          <w:color w:val="auto"/>
          <w:szCs w:val="21"/>
          <w:highlight w:val="none"/>
        </w:rPr>
        <w:t xml:space="preserve">日期： </w:t>
      </w:r>
      <w:r>
        <w:rPr>
          <w:rFonts w:ascii="宋体" w:hAnsi="宋体"/>
          <w:color w:val="auto"/>
          <w:szCs w:val="21"/>
          <w:highlight w:val="none"/>
        </w:rPr>
        <w:t xml:space="preserve"> </w:t>
      </w:r>
      <w:r>
        <w:rPr>
          <w:rFonts w:hint="eastAsia" w:ascii="宋体" w:hAnsi="宋体"/>
          <w:color w:val="auto"/>
          <w:szCs w:val="21"/>
          <w:highlight w:val="none"/>
        </w:rPr>
        <w:t xml:space="preserve">年 </w:t>
      </w:r>
      <w:r>
        <w:rPr>
          <w:rFonts w:ascii="宋体" w:hAnsi="宋体"/>
          <w:color w:val="auto"/>
          <w:szCs w:val="21"/>
          <w:highlight w:val="none"/>
        </w:rPr>
        <w:t xml:space="preserve"> </w:t>
      </w:r>
      <w:r>
        <w:rPr>
          <w:rFonts w:hint="eastAsia" w:ascii="宋体" w:hAnsi="宋体"/>
          <w:color w:val="auto"/>
          <w:szCs w:val="21"/>
          <w:highlight w:val="none"/>
        </w:rPr>
        <w:t xml:space="preserve">月 </w:t>
      </w:r>
      <w:r>
        <w:rPr>
          <w:rFonts w:ascii="宋体" w:hAnsi="宋体"/>
          <w:color w:val="auto"/>
          <w:szCs w:val="21"/>
          <w:highlight w:val="none"/>
        </w:rPr>
        <w:t xml:space="preserve"> </w:t>
      </w:r>
      <w:r>
        <w:rPr>
          <w:rFonts w:hint="eastAsia" w:ascii="宋体" w:hAnsi="宋体"/>
          <w:color w:val="auto"/>
          <w:szCs w:val="21"/>
          <w:highlight w:val="none"/>
        </w:rPr>
        <w:t>日</w:t>
      </w:r>
    </w:p>
    <w:p>
      <w:pPr>
        <w:spacing w:line="600" w:lineRule="exact"/>
        <w:ind w:firstLine="420" w:firstLineChars="200"/>
        <w:rPr>
          <w:rFonts w:ascii="宋体" w:hAnsi="宋体"/>
          <w:color w:val="auto"/>
          <w:szCs w:val="21"/>
          <w:highlight w:val="none"/>
        </w:rPr>
      </w:pPr>
    </w:p>
    <w:p>
      <w:pPr>
        <w:spacing w:line="600" w:lineRule="exact"/>
        <w:ind w:firstLine="420" w:firstLineChars="200"/>
        <w:rPr>
          <w:rFonts w:ascii="宋体" w:hAnsi="宋体"/>
          <w:color w:val="auto"/>
          <w:szCs w:val="21"/>
          <w:highlight w:val="none"/>
        </w:rPr>
      </w:pPr>
      <w:r>
        <w:rPr>
          <w:rFonts w:hint="eastAsia" w:ascii="宋体" w:hAnsi="宋体"/>
          <w:color w:val="auto"/>
          <w:szCs w:val="21"/>
          <w:highlight w:val="none"/>
        </w:rPr>
        <w:t>注：</w:t>
      </w:r>
      <w:r>
        <w:rPr>
          <w:rFonts w:ascii="宋体" w:hAnsi="宋体"/>
          <w:color w:val="auto"/>
          <w:szCs w:val="21"/>
          <w:highlight w:val="none"/>
        </w:rPr>
        <w:t>1.</w:t>
      </w:r>
      <w:r>
        <w:rPr>
          <w:rFonts w:hint="eastAsia" w:ascii="宋体" w:hAnsi="宋体"/>
          <w:color w:val="auto"/>
          <w:szCs w:val="21"/>
          <w:highlight w:val="none"/>
        </w:rPr>
        <w:t>供应商须在投标文件中按此模板提供承诺函，未提供视为未实质性响应招标文件要求，按无效投标处理。</w:t>
      </w:r>
    </w:p>
    <w:p>
      <w:pPr>
        <w:spacing w:line="600" w:lineRule="exact"/>
        <w:ind w:firstLine="420" w:firstLineChars="200"/>
        <w:rPr>
          <w:rFonts w:hint="eastAsia" w:ascii="宋体" w:hAnsi="宋体" w:eastAsia="宋体" w:cs="宋体"/>
          <w:color w:val="auto"/>
          <w:highlight w:val="none"/>
          <w:lang w:eastAsia="zh-CN"/>
        </w:rPr>
      </w:pPr>
      <w:r>
        <w:rPr>
          <w:rFonts w:hint="eastAsia" w:ascii="宋体" w:hAnsi="宋体"/>
          <w:color w:val="auto"/>
          <w:szCs w:val="21"/>
          <w:highlight w:val="none"/>
        </w:rPr>
        <w:t>2</w:t>
      </w:r>
      <w:r>
        <w:rPr>
          <w:rFonts w:ascii="宋体" w:hAnsi="宋体"/>
          <w:color w:val="auto"/>
          <w:szCs w:val="21"/>
          <w:highlight w:val="none"/>
        </w:rPr>
        <w:t>.</w:t>
      </w:r>
      <w:r>
        <w:rPr>
          <w:rFonts w:hint="eastAsia" w:ascii="宋体" w:hAnsi="宋体"/>
          <w:color w:val="auto"/>
          <w:szCs w:val="21"/>
          <w:highlight w:val="none"/>
        </w:rPr>
        <w:t>供应商的法定代表人（其他组织的为负责人）或者授权代表的签字或盖章应真实、有效，如由授权代表签字或盖章的，应提供</w:t>
      </w:r>
      <w:r>
        <w:rPr>
          <w:rFonts w:hint="eastAsia" w:ascii="宋体" w:hAnsi="宋体"/>
          <w:color w:val="auto"/>
          <w:szCs w:val="21"/>
          <w:highlight w:val="none"/>
          <w:lang w:eastAsia="zh-CN"/>
        </w:rPr>
        <w:t>“</w:t>
      </w:r>
      <w:r>
        <w:rPr>
          <w:rFonts w:hint="eastAsia" w:ascii="宋体" w:hAnsi="宋体"/>
          <w:color w:val="auto"/>
          <w:szCs w:val="21"/>
          <w:highlight w:val="none"/>
        </w:rPr>
        <w:t>法定代表人授权书</w:t>
      </w:r>
      <w:r>
        <w:rPr>
          <w:rFonts w:hint="eastAsia" w:ascii="宋体" w:hAnsi="宋体"/>
          <w:color w:val="auto"/>
          <w:szCs w:val="21"/>
          <w:highlight w:val="none"/>
          <w:lang w:eastAsia="zh-CN"/>
        </w:rPr>
        <w:t>”</w:t>
      </w:r>
    </w:p>
    <w:p>
      <w:pPr>
        <w:pStyle w:val="20"/>
        <w:rPr>
          <w:rFonts w:hint="eastAsia" w:ascii="宋体" w:hAnsi="宋体" w:cs="宋体"/>
          <w:color w:val="auto"/>
          <w:highlight w:val="none"/>
        </w:rPr>
      </w:pPr>
      <w:bookmarkStart w:id="158" w:name="_Toc1984"/>
    </w:p>
    <w:p>
      <w:pPr>
        <w:pStyle w:val="20"/>
        <w:rPr>
          <w:rFonts w:ascii="宋体" w:cs="宋体"/>
          <w:color w:val="auto"/>
          <w:highlight w:val="none"/>
        </w:rPr>
      </w:pPr>
      <w:r>
        <w:rPr>
          <w:rFonts w:hint="eastAsia" w:ascii="宋体" w:hAnsi="宋体" w:cs="宋体"/>
          <w:color w:val="auto"/>
          <w:highlight w:val="none"/>
        </w:rPr>
        <w:t>十</w:t>
      </w:r>
      <w:r>
        <w:rPr>
          <w:rFonts w:hint="eastAsia" w:ascii="宋体" w:hAnsi="宋体" w:cs="宋体"/>
          <w:color w:val="auto"/>
          <w:highlight w:val="none"/>
          <w:lang w:eastAsia="zh-CN"/>
        </w:rPr>
        <w:t>三</w:t>
      </w:r>
      <w:r>
        <w:rPr>
          <w:rFonts w:hint="eastAsia" w:ascii="宋体" w:hAnsi="宋体" w:cs="宋体"/>
          <w:color w:val="auto"/>
          <w:highlight w:val="none"/>
        </w:rPr>
        <w:t>、供应商认为需要提供的其它材料</w:t>
      </w:r>
      <w:bookmarkEnd w:id="153"/>
      <w:bookmarkEnd w:id="158"/>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center"/>
        <w:rPr>
          <w:b/>
          <w:bCs/>
          <w:color w:val="auto"/>
          <w:sz w:val="28"/>
          <w:szCs w:val="28"/>
          <w:highlight w:val="none"/>
        </w:rPr>
      </w:pPr>
    </w:p>
    <w:p>
      <w:pPr>
        <w:jc w:val="both"/>
        <w:rPr>
          <w:b/>
          <w:bCs/>
          <w:color w:val="auto"/>
          <w:sz w:val="28"/>
          <w:szCs w:val="28"/>
          <w:highlight w:val="none"/>
        </w:rPr>
      </w:pPr>
    </w:p>
    <w:p>
      <w:pPr>
        <w:jc w:val="center"/>
        <w:rPr>
          <w:rFonts w:hint="eastAsia"/>
          <w:b/>
          <w:bCs/>
          <w:color w:val="auto"/>
          <w:sz w:val="28"/>
          <w:szCs w:val="28"/>
          <w:highlight w:val="none"/>
        </w:rPr>
      </w:pPr>
    </w:p>
    <w:p>
      <w:pPr>
        <w:jc w:val="center"/>
        <w:rPr>
          <w:rFonts w:hint="eastAsia"/>
          <w:b/>
          <w:bCs/>
          <w:color w:val="auto"/>
          <w:sz w:val="28"/>
          <w:szCs w:val="28"/>
          <w:highlight w:val="none"/>
        </w:rPr>
      </w:pPr>
    </w:p>
    <w:p>
      <w:pPr>
        <w:jc w:val="center"/>
        <w:rPr>
          <w:b/>
          <w:bCs/>
          <w:color w:val="auto"/>
          <w:sz w:val="28"/>
          <w:szCs w:val="28"/>
          <w:highlight w:val="none"/>
        </w:rPr>
      </w:pPr>
      <w:r>
        <w:rPr>
          <w:rFonts w:hint="eastAsia"/>
          <w:b/>
          <w:bCs/>
          <w:color w:val="auto"/>
          <w:sz w:val="28"/>
          <w:szCs w:val="28"/>
          <w:highlight w:val="none"/>
        </w:rPr>
        <w:t>最终磋商报价表</w:t>
      </w:r>
    </w:p>
    <w:p>
      <w:pPr>
        <w:spacing w:line="360" w:lineRule="exact"/>
        <w:jc w:val="center"/>
        <w:rPr>
          <w:rFonts w:ascii="宋体" w:cs="宋体"/>
          <w:b/>
          <w:color w:val="auto"/>
          <w:szCs w:val="21"/>
          <w:highlight w:val="none"/>
        </w:rPr>
      </w:pPr>
    </w:p>
    <w:tbl>
      <w:tblPr>
        <w:tblStyle w:val="27"/>
        <w:tblW w:w="9781" w:type="dxa"/>
        <w:jc w:val="center"/>
        <w:tblLayout w:type="fixed"/>
        <w:tblCellMar>
          <w:top w:w="0" w:type="dxa"/>
          <w:left w:w="0" w:type="dxa"/>
          <w:bottom w:w="0" w:type="dxa"/>
          <w:right w:w="0" w:type="dxa"/>
        </w:tblCellMar>
      </w:tblPr>
      <w:tblGrid>
        <w:gridCol w:w="2028"/>
        <w:gridCol w:w="3764"/>
        <w:gridCol w:w="1462"/>
        <w:gridCol w:w="2527"/>
      </w:tblGrid>
      <w:tr>
        <w:tblPrEx>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c>
          <w:tcPr>
            <w:tcW w:w="146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项目编号</w:t>
            </w:r>
          </w:p>
        </w:tc>
        <w:tc>
          <w:tcPr>
            <w:tcW w:w="2527"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1537"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磋商报价</w:t>
            </w:r>
            <w:r>
              <w:rPr>
                <w:rFonts w:ascii="宋体" w:hAnsi="宋体" w:cs="宋体"/>
                <w:color w:val="auto"/>
                <w:szCs w:val="21"/>
                <w:highlight w:val="none"/>
              </w:rPr>
              <w:t xml:space="preserve"> </w:t>
            </w:r>
            <w:r>
              <w:rPr>
                <w:rFonts w:hint="eastAsia" w:ascii="宋体" w:hAnsi="宋体" w:cs="宋体"/>
                <w:color w:val="auto"/>
                <w:szCs w:val="21"/>
                <w:highlight w:val="none"/>
              </w:rPr>
              <w:t>（元）</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210" w:firstLineChars="100"/>
              <w:rPr>
                <w:rFonts w:ascii="宋体" w:hAnsi="宋体" w:cs="宋体"/>
                <w:color w:val="auto"/>
                <w:szCs w:val="21"/>
                <w:highlight w:val="none"/>
                <w:u w:val="single"/>
              </w:rPr>
            </w:pPr>
            <w:r>
              <w:rPr>
                <w:rFonts w:hint="eastAsia" w:ascii="宋体" w:hAnsi="宋体" w:cs="宋体"/>
                <w:color w:val="auto"/>
                <w:szCs w:val="21"/>
                <w:highlight w:val="none"/>
              </w:rPr>
              <w:t>总报价：人民币大写：</w:t>
            </w:r>
            <w:r>
              <w:rPr>
                <w:rFonts w:ascii="宋体" w:hAnsi="宋体" w:cs="宋体"/>
                <w:color w:val="auto"/>
                <w:szCs w:val="21"/>
                <w:highlight w:val="none"/>
                <w:u w:val="single"/>
              </w:rPr>
              <w:t xml:space="preserve">                 </w:t>
            </w:r>
            <w:r>
              <w:rPr>
                <w:rFonts w:hint="eastAsia" w:ascii="宋体" w:hAnsi="宋体" w:cs="宋体"/>
                <w:color w:val="auto"/>
                <w:szCs w:val="21"/>
                <w:highlight w:val="none"/>
              </w:rPr>
              <w:t>；小写：</w:t>
            </w:r>
            <w:r>
              <w:rPr>
                <w:rFonts w:ascii="宋体" w:hAnsi="宋体" w:cs="宋体"/>
                <w:color w:val="auto"/>
                <w:szCs w:val="21"/>
                <w:highlight w:val="none"/>
                <w:u w:val="single"/>
              </w:rPr>
              <w:t xml:space="preserve">                 </w:t>
            </w:r>
          </w:p>
        </w:tc>
      </w:tr>
      <w:tr>
        <w:tblPrEx>
          <w:tblCellMar>
            <w:top w:w="0" w:type="dxa"/>
            <w:left w:w="0" w:type="dxa"/>
            <w:bottom w:w="0" w:type="dxa"/>
            <w:right w:w="0" w:type="dxa"/>
          </w:tblCellMar>
        </w:tblPrEx>
        <w:trPr>
          <w:cantSplit/>
          <w:trHeight w:val="8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cs="宋体"/>
                <w:color w:val="auto"/>
                <w:szCs w:val="21"/>
                <w:highlight w:val="none"/>
              </w:rPr>
              <w:t>合同履行期限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97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color w:val="auto"/>
                <w:szCs w:val="21"/>
                <w:highlight w:val="none"/>
              </w:rPr>
            </w:pPr>
            <w:r>
              <w:rPr>
                <w:rFonts w:hint="eastAsia" w:ascii="宋体" w:hAnsi="宋体" w:cs="宋体"/>
                <w:color w:val="auto"/>
                <w:szCs w:val="21"/>
                <w:highlight w:val="none"/>
              </w:rPr>
              <w:t>质量要求</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p>
        </w:tc>
      </w:tr>
      <w:tr>
        <w:tblPrEx>
          <w:tblCellMar>
            <w:top w:w="0" w:type="dxa"/>
            <w:left w:w="0" w:type="dxa"/>
            <w:bottom w:w="0" w:type="dxa"/>
            <w:right w:w="0" w:type="dxa"/>
          </w:tblCellMar>
        </w:tblPrEx>
        <w:trPr>
          <w:cantSplit/>
          <w:trHeight w:val="86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highlight w:val="none"/>
              </w:rPr>
            </w:pPr>
            <w:r>
              <w:rPr>
                <w:rFonts w:hint="eastAsia" w:ascii="宋体" w:hAnsi="宋体" w:eastAsia="宋体" w:cs="宋体"/>
                <w:color w:val="auto"/>
                <w:szCs w:val="21"/>
                <w:highlight w:val="none"/>
              </w:rPr>
              <w:t>磋商有效期</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highlight w:val="none"/>
              </w:rPr>
            </w:pPr>
          </w:p>
        </w:tc>
      </w:tr>
      <w:tr>
        <w:tblPrEx>
          <w:tblCellMar>
            <w:top w:w="0" w:type="dxa"/>
            <w:left w:w="0" w:type="dxa"/>
            <w:bottom w:w="0" w:type="dxa"/>
            <w:right w:w="0" w:type="dxa"/>
          </w:tblCellMar>
        </w:tblPrEx>
        <w:trPr>
          <w:cantSplit/>
          <w:trHeight w:val="98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备注</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highlight w:val="none"/>
              </w:rPr>
            </w:pPr>
          </w:p>
        </w:tc>
      </w:tr>
    </w:tbl>
    <w:p>
      <w:pPr>
        <w:spacing w:line="520" w:lineRule="exact"/>
        <w:ind w:firstLine="4620" w:firstLineChars="2200"/>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供应商名称（公章）：</w:t>
      </w:r>
    </w:p>
    <w:p>
      <w:pPr>
        <w:spacing w:line="520" w:lineRule="exact"/>
        <w:ind w:firstLine="4620" w:firstLineChars="2200"/>
        <w:rPr>
          <w:rFonts w:asci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法定代表人或授权委托人签字</w:t>
      </w:r>
      <w:r>
        <w:rPr>
          <w:rFonts w:ascii="宋体" w:hAnsi="宋体" w:cs="宋体"/>
          <w:color w:val="auto"/>
          <w:szCs w:val="21"/>
          <w:highlight w:val="none"/>
        </w:rPr>
        <w:t>:</w:t>
      </w:r>
    </w:p>
    <w:p>
      <w:pPr>
        <w:spacing w:line="360" w:lineRule="exact"/>
        <w:ind w:left="420" w:leftChars="200"/>
        <w:rPr>
          <w:rFonts w:ascii="宋体" w:cs="宋体"/>
          <w:color w:val="auto"/>
          <w:szCs w:val="21"/>
          <w:highlight w:val="none"/>
        </w:rPr>
      </w:pPr>
    </w:p>
    <w:p>
      <w:pPr>
        <w:spacing w:line="360" w:lineRule="exact"/>
        <w:rPr>
          <w:b/>
          <w:bCs/>
          <w:color w:val="auto"/>
          <w:highlight w:val="none"/>
          <w:u w:val="single"/>
        </w:rPr>
      </w:pPr>
      <w:r>
        <w:rPr>
          <w:rFonts w:ascii="宋体" w:hAnsi="宋体" w:cs="宋体"/>
          <w:color w:val="auto"/>
          <w:szCs w:val="21"/>
          <w:highlight w:val="none"/>
        </w:rPr>
        <w:t xml:space="preserve">                                                          </w:t>
      </w:r>
      <w:r>
        <w:rPr>
          <w:rFonts w:hint="eastAsia" w:ascii="宋体" w:hAnsi="宋体" w:cs="宋体"/>
          <w:color w:val="auto"/>
          <w:szCs w:val="21"/>
          <w:highlight w:val="none"/>
        </w:rPr>
        <w:t>年</w:t>
      </w:r>
      <w:r>
        <w:rPr>
          <w:rFonts w:ascii="宋体" w:hAnsi="宋体" w:cs="宋体"/>
          <w:color w:val="auto"/>
          <w:szCs w:val="21"/>
          <w:highlight w:val="none"/>
        </w:rPr>
        <w:t xml:space="preserve">    </w:t>
      </w:r>
      <w:r>
        <w:rPr>
          <w:rFonts w:hint="eastAsia" w:ascii="宋体" w:hAnsi="宋体" w:cs="宋体"/>
          <w:color w:val="auto"/>
          <w:szCs w:val="21"/>
          <w:highlight w:val="none"/>
        </w:rPr>
        <w:t>月</w:t>
      </w:r>
      <w:r>
        <w:rPr>
          <w:rFonts w:ascii="宋体" w:hAnsi="宋体" w:cs="宋体"/>
          <w:color w:val="auto"/>
          <w:szCs w:val="21"/>
          <w:highlight w:val="none"/>
        </w:rPr>
        <w:t xml:space="preserve"> </w:t>
      </w:r>
      <w:r>
        <w:rPr>
          <w:rFonts w:hint="eastAsia" w:ascii="宋体" w:hAnsi="宋体" w:cs="宋体"/>
          <w:color w:val="auto"/>
          <w:szCs w:val="21"/>
          <w:highlight w:val="none"/>
          <w:lang w:val="en-US" w:eastAsia="zh-CN"/>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日</w:t>
      </w:r>
    </w:p>
    <w:p>
      <w:pPr>
        <w:keepNext w:val="0"/>
        <w:keepLines w:val="0"/>
        <w:pageBreakBefore w:val="0"/>
        <w:widowControl w:val="0"/>
        <w:kinsoku/>
        <w:wordWrap/>
        <w:overflowPunct/>
        <w:topLinePunct w:val="0"/>
        <w:autoSpaceDE/>
        <w:autoSpaceDN/>
        <w:bidi w:val="0"/>
        <w:adjustRightInd/>
        <w:snapToGrid/>
        <w:spacing w:before="236" w:line="380" w:lineRule="exact"/>
        <w:ind w:left="11" w:firstLine="870" w:firstLineChars="407"/>
        <w:textAlignment w:val="auto"/>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注：</w:t>
      </w:r>
    </w:p>
    <w:p>
      <w:pPr>
        <w:keepNext w:val="0"/>
        <w:keepLines w:val="0"/>
        <w:pageBreakBefore w:val="0"/>
        <w:widowControl w:val="0"/>
        <w:kinsoku/>
        <w:wordWrap/>
        <w:overflowPunct/>
        <w:topLinePunct w:val="0"/>
        <w:autoSpaceDE/>
        <w:autoSpaceDN/>
        <w:bidi w:val="0"/>
        <w:adjustRightInd/>
        <w:snapToGrid/>
        <w:spacing w:before="236" w:line="380" w:lineRule="exact"/>
        <w:ind w:firstLine="214" w:firstLineChars="100"/>
        <w:textAlignment w:val="auto"/>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lang w:val="en-US" w:eastAsia="zh-CN"/>
        </w:rPr>
        <w:t>1、报价应包括磋商文件所确定的采购范围内的全部费用。</w:t>
      </w:r>
    </w:p>
    <w:p>
      <w:pPr>
        <w:keepNext w:val="0"/>
        <w:keepLines w:val="0"/>
        <w:pageBreakBefore w:val="0"/>
        <w:widowControl w:val="0"/>
        <w:kinsoku/>
        <w:wordWrap/>
        <w:overflowPunct/>
        <w:topLinePunct w:val="0"/>
        <w:autoSpaceDE/>
        <w:autoSpaceDN/>
        <w:bidi w:val="0"/>
        <w:adjustRightInd/>
        <w:snapToGrid/>
        <w:spacing w:before="236" w:line="380" w:lineRule="exact"/>
        <w:ind w:firstLine="214" w:firstLineChars="100"/>
        <w:textAlignment w:val="auto"/>
        <w:rPr>
          <w:color w:val="auto"/>
          <w:highlight w:val="none"/>
        </w:rPr>
      </w:pP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val="zh-CN" w:eastAsia="zh-CN"/>
        </w:rPr>
        <w:t>供应商应当对竞争性磋商的最终报价在焦作市公共资源交易平台</w:t>
      </w:r>
      <w:r>
        <w:rPr>
          <w:rFonts w:hint="eastAsia" w:ascii="宋体" w:hAnsi="宋体" w:eastAsia="宋体" w:cs="宋体"/>
          <w:color w:val="auto"/>
          <w:spacing w:val="2"/>
          <w:sz w:val="21"/>
          <w:szCs w:val="21"/>
          <w:highlight w:val="none"/>
          <w:lang w:val="en-US" w:eastAsia="zh-CN"/>
        </w:rPr>
        <w:t>系统</w:t>
      </w:r>
      <w:r>
        <w:rPr>
          <w:rFonts w:hint="eastAsia" w:ascii="宋体" w:hAnsi="宋体" w:eastAsia="宋体" w:cs="宋体"/>
          <w:color w:val="auto"/>
          <w:spacing w:val="2"/>
          <w:sz w:val="21"/>
          <w:szCs w:val="21"/>
          <w:highlight w:val="none"/>
          <w:lang w:val="zh-CN" w:eastAsia="zh-CN"/>
        </w:rPr>
        <w:t>进行</w:t>
      </w:r>
      <w:r>
        <w:rPr>
          <w:rFonts w:hint="eastAsia" w:ascii="宋体" w:hAnsi="宋体" w:eastAsia="宋体" w:cs="宋体"/>
          <w:color w:val="auto"/>
          <w:spacing w:val="2"/>
          <w:sz w:val="21"/>
          <w:szCs w:val="21"/>
          <w:highlight w:val="none"/>
          <w:lang w:val="en-US" w:eastAsia="zh-CN"/>
        </w:rPr>
        <w:t>签章</w:t>
      </w:r>
      <w:r>
        <w:rPr>
          <w:rFonts w:hint="eastAsia" w:ascii="宋体" w:hAnsi="宋体" w:eastAsia="宋体" w:cs="宋体"/>
          <w:color w:val="auto"/>
          <w:spacing w:val="2"/>
          <w:sz w:val="21"/>
          <w:szCs w:val="21"/>
          <w:highlight w:val="none"/>
          <w:lang w:val="zh-CN" w:eastAsia="zh-CN"/>
        </w:rPr>
        <w:t>确认，在规定的时限内</w:t>
      </w:r>
      <w:r>
        <w:rPr>
          <w:rFonts w:hint="eastAsia" w:ascii="宋体" w:hAnsi="宋体" w:eastAsia="宋体" w:cs="宋体"/>
          <w:color w:val="auto"/>
          <w:spacing w:val="2"/>
          <w:sz w:val="21"/>
          <w:szCs w:val="21"/>
          <w:highlight w:val="none"/>
          <w:lang w:val="en-US" w:eastAsia="zh-CN"/>
        </w:rPr>
        <w:t>上传</w:t>
      </w:r>
      <w:r>
        <w:rPr>
          <w:rFonts w:hint="eastAsia" w:ascii="宋体" w:hAnsi="宋体" w:eastAsia="宋体" w:cs="宋体"/>
          <w:color w:val="auto"/>
          <w:spacing w:val="2"/>
          <w:sz w:val="21"/>
          <w:szCs w:val="21"/>
          <w:highlight w:val="none"/>
          <w:lang w:val="zh-CN" w:eastAsia="zh-CN"/>
        </w:rPr>
        <w:t>给竞争性磋商小组，</w:t>
      </w:r>
      <w:r>
        <w:rPr>
          <w:rFonts w:hint="eastAsia" w:ascii="宋体" w:hAnsi="宋体" w:eastAsia="宋体" w:cs="宋体"/>
          <w:color w:val="auto"/>
          <w:spacing w:val="2"/>
          <w:sz w:val="21"/>
          <w:szCs w:val="21"/>
          <w:highlight w:val="none"/>
          <w:lang w:val="en-US" w:eastAsia="zh-CN"/>
        </w:rPr>
        <w:t>未在规定时间提供最后报价，由供应商自行承担相关责任。</w:t>
      </w:r>
    </w:p>
    <w:sectPr>
      <w:footerReference r:id="rId9" w:type="first"/>
      <w:footerReference r:id="rId8" w:type="default"/>
      <w:pgSz w:w="11906" w:h="16838"/>
      <w:pgMar w:top="1440" w:right="1417" w:bottom="1440" w:left="1417"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1260" w:firstLineChars="600"/>
      <w:rPr>
        <w:rFonts w:ascii="仿宋_GB2312" w:eastAsia="仿宋_GB2312"/>
        <w:b/>
        <w:color w:val="000000"/>
        <w:sz w:val="32"/>
        <w:szCs w:val="32"/>
        <w:lang w:val="zh-CN"/>
      </w:rPr>
    </w:pPr>
    <w:r>
      <w:t xml:space="preserve">    </w:t>
    </w:r>
    <w:r>
      <w:rPr>
        <w:sz w:val="18"/>
        <w:szCs w:val="18"/>
      </w:rPr>
      <w:t xml:space="preserve"> </w:t>
    </w:r>
    <w:r>
      <w:rPr>
        <w:sz w:val="18"/>
        <w:szCs w:val="18"/>
      </w:rPr>
      <mc:AlternateContent>
        <mc:Choice Requires="wps">
          <w:drawing>
            <wp:anchor distT="0" distB="0" distL="114300" distR="114300" simplePos="0" relativeHeight="251659264" behindDoc="0" locked="0" layoutInCell="1" allowOverlap="1">
              <wp:simplePos x="0" y="0"/>
              <wp:positionH relativeFrom="margin">
                <wp:posOffset>4817745</wp:posOffset>
              </wp:positionH>
              <wp:positionV relativeFrom="paragraph">
                <wp:posOffset>123825</wp:posOffset>
              </wp:positionV>
              <wp:extent cx="103505" cy="139700"/>
              <wp:effectExtent l="0" t="0" r="0" b="0"/>
              <wp:wrapNone/>
              <wp:docPr id="4" name="文本框3"/>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a:noFill/>
                      </a:ln>
                    </wps:spPr>
                    <wps:txbx>
                      <w:txbxContent>
                        <w:p>
                          <w:pPr>
                            <w:snapToGrid w:val="0"/>
                            <w:rPr>
                              <w:sz w:val="18"/>
                            </w:rPr>
                          </w:pPr>
                        </w:p>
                      </w:txbxContent>
                    </wps:txbx>
                    <wps:bodyPr wrap="none" lIns="0" tIns="0" rIns="0" bIns="0" upright="1">
                      <a:spAutoFit/>
                    </wps:bodyPr>
                  </wps:wsp>
                </a:graphicData>
              </a:graphic>
            </wp:anchor>
          </w:drawing>
        </mc:Choice>
        <mc:Fallback>
          <w:pict>
            <v:shape id="文本框3" o:spid="_x0000_s1026" o:spt="202" type="#_x0000_t202" style="position:absolute;left:0pt;margin-left:379.35pt;margin-top:9.75pt;height:11pt;width:8.15pt;mso-position-horizontal-relative:margin;mso-wrap-style:none;z-index:251659264;mso-width-relative:page;mso-height-relative:page;" filled="f" stroked="f" coordsize="21600,21600" o:gfxdata="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wN8wIdUAAAAJAQAADwAAAAAAAAABACAAAAAiAAAAZHJz&#10;L2Rvd25yZXYueG1sUEsBAhQAFAAAAAgAh07iQPj/q6rOAQAAlgMAAA4AAAAAAAAAAQAgAAAAJAEA&#10;AGRycy9lMm9Eb2MueG1sUEsFBgAAAAAGAAYAWQEAAGQFAAAAAA==&#10;">
              <v:fill on="f" focussize="0,0"/>
              <v:stroke on="f"/>
              <v:imagedata o:title=""/>
              <o:lock v:ext="edit" aspectratio="f"/>
              <v:textbox inset="0mm,0mm,0mm,0mm" style="mso-fit-shape-to-text:t;">
                <w:txbxContent>
                  <w:p>
                    <w:pPr>
                      <w:snapToGrid w:val="0"/>
                      <w:rPr>
                        <w:sz w:val="18"/>
                      </w:rPr>
                    </w:pPr>
                  </w:p>
                </w:txbxContent>
              </v:textbox>
            </v:shape>
          </w:pict>
        </mc:Fallback>
      </mc:AlternateContent>
    </w:r>
  </w:p>
  <w:p>
    <w:pPr>
      <w:pStyle w:val="15"/>
      <w:pBdr>
        <w:top w:val="thickThinSmallGap" w:color="auto" w:sz="24" w:space="1"/>
      </w:pBd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&#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Dp8tTK0QEAAKMDAAAOAAAAAAAAAAEAIAAAACIB&#10;AABkcnMvZTJvRG9jLnhtbFBLBQYAAAAABgAGAFkBAABlBQAAAAA=&#10;">
              <v:fill on="f" focussize="0,0"/>
              <v:stroke on="f" weight="1.25pt"/>
              <v:imagedata o:title=""/>
              <o:lock v:ext="edit" aspectratio="f"/>
              <v:textbox inset="0mm,0mm,0mm,0mm" style="mso-fit-shape-to-text:t;">
                <w:txbxContent>
                  <w:p>
                    <w:pPr>
                      <w:snapToGrid w:val="0"/>
                      <w:rPr>
                        <w:rFonts w:hint="eastAsia"/>
                        <w:sz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1260" w:firstLineChars="600"/>
      <w:rPr>
        <w:rFonts w:ascii="仿宋_GB2312" w:eastAsia="仿宋_GB2312"/>
        <w:b/>
        <w:color w:val="000000"/>
        <w:sz w:val="32"/>
        <w:szCs w:val="32"/>
        <w:lang w:val="zh-CN"/>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2</w:t>
                    </w:r>
                    <w:r>
                      <w:fldChar w:fldCharType="end"/>
                    </w:r>
                  </w:p>
                </w:txbxContent>
              </v:textbox>
            </v:shape>
          </w:pict>
        </mc:Fallback>
      </mc:AlternateContent>
    </w:r>
    <w:r>
      <w:t xml:space="preserve">    </w:t>
    </w:r>
    <w:r>
      <w:rPr>
        <w:sz w:val="18"/>
        <w:szCs w:val="18"/>
      </w:rPr>
      <w:t xml:space="preserve"> </w:t>
    </w:r>
    <w:r>
      <w:rPr>
        <w:sz w:val="18"/>
        <w:szCs w:val="18"/>
      </w:rPr>
      <mc:AlternateContent>
        <mc:Choice Requires="wps">
          <w:drawing>
            <wp:anchor distT="0" distB="0" distL="114300" distR="114300" simplePos="0" relativeHeight="251661312" behindDoc="0" locked="0" layoutInCell="1" allowOverlap="1">
              <wp:simplePos x="0" y="0"/>
              <wp:positionH relativeFrom="margin">
                <wp:posOffset>4817745</wp:posOffset>
              </wp:positionH>
              <wp:positionV relativeFrom="paragraph">
                <wp:posOffset>123825</wp:posOffset>
              </wp:positionV>
              <wp:extent cx="103505" cy="139700"/>
              <wp:effectExtent l="0" t="0" r="0" b="0"/>
              <wp:wrapNone/>
              <wp:docPr id="6" name="文本框3"/>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a:noFill/>
                      </a:ln>
                    </wps:spPr>
                    <wps:txbx>
                      <w:txbxContent>
                        <w:p>
                          <w:pPr>
                            <w:snapToGrid w:val="0"/>
                            <w:rPr>
                              <w:sz w:val="18"/>
                            </w:rPr>
                          </w:pPr>
                        </w:p>
                      </w:txbxContent>
                    </wps:txbx>
                    <wps:bodyPr wrap="none" lIns="0" tIns="0" rIns="0" bIns="0" upright="1">
                      <a:spAutoFit/>
                    </wps:bodyPr>
                  </wps:wsp>
                </a:graphicData>
              </a:graphic>
            </wp:anchor>
          </w:drawing>
        </mc:Choice>
        <mc:Fallback>
          <w:pict>
            <v:shape id="文本框3" o:spid="_x0000_s1026" o:spt="202" type="#_x0000_t202" style="position:absolute;left:0pt;margin-left:379.35pt;margin-top:9.75pt;height:11pt;width:8.15pt;mso-position-horizontal-relative:margin;mso-wrap-style:none;z-index:251661312;mso-width-relative:page;mso-height-relative:page;" filled="f" stroked="f" coordsize="21600,21600" o:gfxdata="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&#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wN8wIdUAAAAJAQAADwAAAAAAAAABACAAAAAiAAAAZHJz&#10;L2Rvd25yZXYueG1sUEsBAhQAFAAAAAgAh07iQEi5yhXOAQAAlgMAAA4AAAAAAAAAAQAgAAAAJAEA&#10;AGRycy9lMm9Eb2MueG1sUEsFBgAAAAAGAAYAWQEAAGQFAAAAAA==&#10;">
              <v:fill on="f" focussize="0,0"/>
              <v:stroke on="f"/>
              <v:imagedata o:title=""/>
              <o:lock v:ext="edit" aspectratio="f"/>
              <v:textbox inset="0mm,0mm,0mm,0mm" style="mso-fit-shape-to-text:t;">
                <w:txbxContent>
                  <w:p>
                    <w:pPr>
                      <w:snapToGrid w:val="0"/>
                      <w:rPr>
                        <w:sz w:val="18"/>
                      </w:rPr>
                    </w:pPr>
                  </w:p>
                </w:txbxContent>
              </v:textbox>
            </v:shape>
          </w:pict>
        </mc:Fallback>
      </mc:AlternateContent>
    </w:r>
  </w:p>
  <w:p>
    <w:pPr>
      <w:pStyle w:val="15"/>
      <w:pBdr>
        <w:top w:val="thickThinSmallGap" w:color="auto" w:sz="24" w:space="1"/>
      </w:pBd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jbE+XNIBAACjAwAADgAAAAAAAAABACAAAAAi&#10;AQAAZHJzL2Uyb0RvYy54bWxQSwUGAAAAAAYABgBZAQAAZgUAAAAA&#10;">
              <v:fill on="f" focussize="0,0"/>
              <v:stroke on="f" weight="1.25pt"/>
              <v:imagedata o:title=""/>
              <o:lock v:ext="edit" aspectratio="f"/>
              <v:textbox inset="0mm,0mm,0mm,0mm" style="mso-fit-shape-to-text:t;">
                <w:txbxContent>
                  <w:p>
                    <w:pPr>
                      <w:snapToGrid w:val="0"/>
                      <w:rPr>
                        <w:rFonts w:hint="eastAsia"/>
                        <w:sz w:val="18"/>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spacing w:line="160" w:lineRule="atLeast"/>
      <w:jc w:val="both"/>
      <w:rPr>
        <w:rFonts w:hint="eastAsia" w:ascii="楷体_GB2312" w:eastAsia="楷体_GB2312"/>
        <w:sz w:val="2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nThickSmallGap" w:color="auto" w:sz="24" w:space="1"/>
      </w:pBdr>
      <w:ind w:right="32"/>
      <w:jc w:val="both"/>
      <w:rPr>
        <w:bCs/>
      </w:rPr>
    </w:pPr>
    <w:r>
      <w:t xml:space="preserve"> </w:t>
    </w:r>
    <w:r>
      <w:rPr>
        <w:rFonts w:hint="eastAsia"/>
        <w:lang w:val="en-US" w:eastAsia="zh-CN"/>
      </w:rPr>
      <w:t>2023年度温县番田镇粮食烘干仓储采购设备项目</w:t>
    </w:r>
    <w:r>
      <w:t xml:space="preserve">                    </w:t>
    </w:r>
    <w:r>
      <w:rPr>
        <w:rFonts w:hint="eastAsia"/>
        <w:lang w:val="en-US" w:eastAsia="zh-CN"/>
      </w:rPr>
      <w:t xml:space="preserve">       </w:t>
    </w:r>
    <w:r>
      <w:rPr>
        <w:rFonts w:hint="eastAsia"/>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tabs>
        <w:tab w:val="left" w:pos="4096"/>
        <w:tab w:val="clear" w:pos="4153"/>
      </w:tabs>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94432"/>
    <w:multiLevelType w:val="singleLevel"/>
    <w:tmpl w:val="90A94432"/>
    <w:lvl w:ilvl="0" w:tentative="0">
      <w:start w:val="2"/>
      <w:numFmt w:val="chineseCounting"/>
      <w:suff w:val="nothing"/>
      <w:lvlText w:val="（%1）"/>
      <w:lvlJc w:val="left"/>
      <w:rPr>
        <w:rFonts w:hint="eastAsia"/>
      </w:rPr>
    </w:lvl>
  </w:abstractNum>
  <w:abstractNum w:abstractNumId="1">
    <w:nsid w:val="C88958EA"/>
    <w:multiLevelType w:val="singleLevel"/>
    <w:tmpl w:val="C88958EA"/>
    <w:lvl w:ilvl="0" w:tentative="0">
      <w:start w:val="5"/>
      <w:numFmt w:val="decimal"/>
      <w:suff w:val="nothing"/>
      <w:lvlText w:val="%1、"/>
      <w:lvlJc w:val="left"/>
    </w:lvl>
  </w:abstractNum>
  <w:abstractNum w:abstractNumId="2">
    <w:nsid w:val="EBBD9212"/>
    <w:multiLevelType w:val="singleLevel"/>
    <w:tmpl w:val="EBBD9212"/>
    <w:lvl w:ilvl="0" w:tentative="0">
      <w:start w:val="1"/>
      <w:numFmt w:val="decimal"/>
      <w:lvlText w:val="%1."/>
      <w:lvlJc w:val="left"/>
      <w:pPr>
        <w:tabs>
          <w:tab w:val="left" w:pos="312"/>
        </w:tabs>
      </w:pPr>
    </w:lvl>
  </w:abstractNum>
  <w:abstractNum w:abstractNumId="3">
    <w:nsid w:val="00000001"/>
    <w:multiLevelType w:val="singleLevel"/>
    <w:tmpl w:val="00000001"/>
    <w:lvl w:ilvl="0" w:tentative="0">
      <w:start w:val="1"/>
      <w:numFmt w:val="decimal"/>
      <w:suff w:val="nothing"/>
      <w:lvlText w:val="%1、"/>
      <w:lvlJc w:val="left"/>
    </w:lvl>
  </w:abstractNum>
  <w:abstractNum w:abstractNumId="4">
    <w:nsid w:val="00000002"/>
    <w:multiLevelType w:val="singleLevel"/>
    <w:tmpl w:val="00000002"/>
    <w:lvl w:ilvl="0" w:tentative="0">
      <w:start w:val="4"/>
      <w:numFmt w:val="chineseCounting"/>
      <w:suff w:val="space"/>
      <w:lvlText w:val="第%1章"/>
      <w:lvlJc w:val="left"/>
      <w:rPr>
        <w:rFonts w:hint="eastAsia"/>
      </w:rPr>
    </w:lvl>
  </w:abstractNum>
  <w:abstractNum w:abstractNumId="5">
    <w:nsid w:val="00000003"/>
    <w:multiLevelType w:val="singleLevel"/>
    <w:tmpl w:val="00000003"/>
    <w:lvl w:ilvl="0" w:tentative="0">
      <w:start w:val="1"/>
      <w:numFmt w:val="decimal"/>
      <w:lvlText w:val="%1、"/>
      <w:lvlJc w:val="left"/>
      <w:pPr>
        <w:tabs>
          <w:tab w:val="left" w:pos="645"/>
        </w:tabs>
        <w:ind w:left="645" w:hanging="480"/>
      </w:pPr>
      <w:rPr>
        <w:rFonts w:hint="eastAsia"/>
      </w:rPr>
    </w:lvl>
  </w:abstractNum>
  <w:abstractNum w:abstractNumId="6">
    <w:nsid w:val="55739F65"/>
    <w:multiLevelType w:val="multilevel"/>
    <w:tmpl w:val="55739F65"/>
    <w:lvl w:ilvl="0" w:tentative="0">
      <w:start w:val="4"/>
      <w:numFmt w:val="decimal"/>
      <w:suff w:val="nothing"/>
      <w:lvlText w:val="%1."/>
      <w:lvlJc w:val="left"/>
      <w:rPr>
        <w:rFonts w:cs="Times New Roman"/>
      </w:rPr>
    </w:lvl>
    <w:lvl w:ilvl="1" w:tentative="0">
      <w:start w:val="1"/>
      <w:numFmt w:val="decimal"/>
      <w:isLgl/>
      <w:lvlText w:val="%1.%2"/>
      <w:lvlJc w:val="left"/>
      <w:pPr>
        <w:ind w:left="780" w:hanging="360"/>
      </w:pPr>
      <w:rPr>
        <w:rFonts w:hint="default"/>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7">
    <w:nsid w:val="58033BBC"/>
    <w:multiLevelType w:val="multilevel"/>
    <w:tmpl w:val="58033BBC"/>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8">
    <w:nsid w:val="7439063C"/>
    <w:multiLevelType w:val="singleLevel"/>
    <w:tmpl w:val="7439063C"/>
    <w:lvl w:ilvl="0" w:tentative="0">
      <w:start w:val="2"/>
      <w:numFmt w:val="decimal"/>
      <w:suff w:val="nothing"/>
      <w:lvlText w:val="（%1）"/>
      <w:lvlJc w:val="left"/>
      <w:rPr>
        <w:rFonts w:cs="Times New Roman"/>
      </w:rPr>
    </w:lvl>
  </w:abstractNum>
  <w:num w:numId="1">
    <w:abstractNumId w:val="1"/>
  </w:num>
  <w:num w:numId="2">
    <w:abstractNumId w:val="2"/>
  </w:num>
  <w:num w:numId="3">
    <w:abstractNumId w:val="7"/>
  </w:num>
  <w:num w:numId="4">
    <w:abstractNumId w:val="5"/>
  </w:num>
  <w:num w:numId="5">
    <w:abstractNumId w:val="8"/>
  </w:num>
  <w:num w:numId="6">
    <w:abstractNumId w:val="6"/>
  </w:num>
  <w:num w:numId="7">
    <w:abstractNumId w:val="4"/>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5OGFhM2EzZjA0YWNlMzRmMDYyNzNhNTBhOWJjNjkifQ=="/>
  </w:docVars>
  <w:rsids>
    <w:rsidRoot w:val="00172A27"/>
    <w:rsid w:val="00103897"/>
    <w:rsid w:val="00127E6A"/>
    <w:rsid w:val="001562D7"/>
    <w:rsid w:val="00172E78"/>
    <w:rsid w:val="001D5DBB"/>
    <w:rsid w:val="00237A6E"/>
    <w:rsid w:val="00285085"/>
    <w:rsid w:val="002B6923"/>
    <w:rsid w:val="00307A95"/>
    <w:rsid w:val="003532FE"/>
    <w:rsid w:val="003577A2"/>
    <w:rsid w:val="00366D6D"/>
    <w:rsid w:val="003740BD"/>
    <w:rsid w:val="003B6032"/>
    <w:rsid w:val="003D42F8"/>
    <w:rsid w:val="005148EC"/>
    <w:rsid w:val="005214EA"/>
    <w:rsid w:val="005409D3"/>
    <w:rsid w:val="005539A0"/>
    <w:rsid w:val="00555DA2"/>
    <w:rsid w:val="00586FEC"/>
    <w:rsid w:val="005A7208"/>
    <w:rsid w:val="005C088A"/>
    <w:rsid w:val="005D4603"/>
    <w:rsid w:val="005E5F7E"/>
    <w:rsid w:val="005F037B"/>
    <w:rsid w:val="00645991"/>
    <w:rsid w:val="006D7932"/>
    <w:rsid w:val="006E6810"/>
    <w:rsid w:val="006F60C7"/>
    <w:rsid w:val="007A51B4"/>
    <w:rsid w:val="007E4CA5"/>
    <w:rsid w:val="007F27CB"/>
    <w:rsid w:val="00816543"/>
    <w:rsid w:val="008624D4"/>
    <w:rsid w:val="008C6C96"/>
    <w:rsid w:val="009049D8"/>
    <w:rsid w:val="00950240"/>
    <w:rsid w:val="009A13B3"/>
    <w:rsid w:val="00A364B9"/>
    <w:rsid w:val="00A40E93"/>
    <w:rsid w:val="00A73C15"/>
    <w:rsid w:val="00A94C31"/>
    <w:rsid w:val="00AC7CBE"/>
    <w:rsid w:val="00BC07D2"/>
    <w:rsid w:val="00CF0B16"/>
    <w:rsid w:val="00D11957"/>
    <w:rsid w:val="00D12B0E"/>
    <w:rsid w:val="00D155F9"/>
    <w:rsid w:val="00D64097"/>
    <w:rsid w:val="00E52F76"/>
    <w:rsid w:val="00E60A9C"/>
    <w:rsid w:val="00E635F0"/>
    <w:rsid w:val="00E6364D"/>
    <w:rsid w:val="00ED2375"/>
    <w:rsid w:val="00EF16FF"/>
    <w:rsid w:val="00F036C9"/>
    <w:rsid w:val="01101675"/>
    <w:rsid w:val="011253ED"/>
    <w:rsid w:val="011473B7"/>
    <w:rsid w:val="01154EDD"/>
    <w:rsid w:val="011E1FE4"/>
    <w:rsid w:val="012D0FAF"/>
    <w:rsid w:val="013C06BC"/>
    <w:rsid w:val="013C7109"/>
    <w:rsid w:val="01505F15"/>
    <w:rsid w:val="01536131"/>
    <w:rsid w:val="015E6884"/>
    <w:rsid w:val="016F4967"/>
    <w:rsid w:val="017B11E4"/>
    <w:rsid w:val="01810F86"/>
    <w:rsid w:val="018856AF"/>
    <w:rsid w:val="018A58CB"/>
    <w:rsid w:val="018C0F93"/>
    <w:rsid w:val="018C33F1"/>
    <w:rsid w:val="018F4C90"/>
    <w:rsid w:val="019422A6"/>
    <w:rsid w:val="01981D96"/>
    <w:rsid w:val="019E4ED3"/>
    <w:rsid w:val="01A050EF"/>
    <w:rsid w:val="01A22C15"/>
    <w:rsid w:val="01A324E9"/>
    <w:rsid w:val="01A56261"/>
    <w:rsid w:val="01A60261"/>
    <w:rsid w:val="01A85D51"/>
    <w:rsid w:val="01AA6A3B"/>
    <w:rsid w:val="01AF5332"/>
    <w:rsid w:val="01B666C0"/>
    <w:rsid w:val="01C012ED"/>
    <w:rsid w:val="01C25065"/>
    <w:rsid w:val="01C34939"/>
    <w:rsid w:val="01CF7968"/>
    <w:rsid w:val="01D628BE"/>
    <w:rsid w:val="01E301A6"/>
    <w:rsid w:val="01E4322D"/>
    <w:rsid w:val="01EB45BC"/>
    <w:rsid w:val="01EC20E2"/>
    <w:rsid w:val="01EC5C3E"/>
    <w:rsid w:val="01F60B22"/>
    <w:rsid w:val="01F62F61"/>
    <w:rsid w:val="01F82835"/>
    <w:rsid w:val="01FB0577"/>
    <w:rsid w:val="020236B3"/>
    <w:rsid w:val="02050E58"/>
    <w:rsid w:val="0227311A"/>
    <w:rsid w:val="02337B59"/>
    <w:rsid w:val="023F66B6"/>
    <w:rsid w:val="024A0BB7"/>
    <w:rsid w:val="024B6E08"/>
    <w:rsid w:val="0250441F"/>
    <w:rsid w:val="02551A35"/>
    <w:rsid w:val="02555ED9"/>
    <w:rsid w:val="02641C78"/>
    <w:rsid w:val="02671768"/>
    <w:rsid w:val="02696135"/>
    <w:rsid w:val="026D3223"/>
    <w:rsid w:val="0270061D"/>
    <w:rsid w:val="02750329"/>
    <w:rsid w:val="027C5214"/>
    <w:rsid w:val="0280729A"/>
    <w:rsid w:val="028B5457"/>
    <w:rsid w:val="028E6378"/>
    <w:rsid w:val="02A1111E"/>
    <w:rsid w:val="02AF27D6"/>
    <w:rsid w:val="02AF69EA"/>
    <w:rsid w:val="02B7624C"/>
    <w:rsid w:val="02B938A0"/>
    <w:rsid w:val="02BC6D47"/>
    <w:rsid w:val="02CB619B"/>
    <w:rsid w:val="02CE3596"/>
    <w:rsid w:val="02DD2F85"/>
    <w:rsid w:val="02E03AE7"/>
    <w:rsid w:val="02E1776D"/>
    <w:rsid w:val="02E73723"/>
    <w:rsid w:val="02F53218"/>
    <w:rsid w:val="02F94AB6"/>
    <w:rsid w:val="03011BBD"/>
    <w:rsid w:val="03045209"/>
    <w:rsid w:val="03151A9A"/>
    <w:rsid w:val="031B0E71"/>
    <w:rsid w:val="032A4C70"/>
    <w:rsid w:val="032C3AFD"/>
    <w:rsid w:val="032F04D8"/>
    <w:rsid w:val="03343D40"/>
    <w:rsid w:val="03353615"/>
    <w:rsid w:val="03394EB3"/>
    <w:rsid w:val="03483348"/>
    <w:rsid w:val="034C72DC"/>
    <w:rsid w:val="03525F75"/>
    <w:rsid w:val="03640B3E"/>
    <w:rsid w:val="036839EA"/>
    <w:rsid w:val="036C34DA"/>
    <w:rsid w:val="036D2DAF"/>
    <w:rsid w:val="037378F0"/>
    <w:rsid w:val="0374238F"/>
    <w:rsid w:val="037E320E"/>
    <w:rsid w:val="0382669A"/>
    <w:rsid w:val="038A3361"/>
    <w:rsid w:val="038A4E92"/>
    <w:rsid w:val="03993C05"/>
    <w:rsid w:val="039B56F9"/>
    <w:rsid w:val="03A054F0"/>
    <w:rsid w:val="03AC38D7"/>
    <w:rsid w:val="03B91098"/>
    <w:rsid w:val="03BB1D6C"/>
    <w:rsid w:val="03C40994"/>
    <w:rsid w:val="03C84CE7"/>
    <w:rsid w:val="03D15DD9"/>
    <w:rsid w:val="03D270B5"/>
    <w:rsid w:val="03DD389B"/>
    <w:rsid w:val="03E80687"/>
    <w:rsid w:val="03EE0333"/>
    <w:rsid w:val="03F97151"/>
    <w:rsid w:val="04025BED"/>
    <w:rsid w:val="040A2CF3"/>
    <w:rsid w:val="04272011"/>
    <w:rsid w:val="042A6EF2"/>
    <w:rsid w:val="042E69E2"/>
    <w:rsid w:val="04406715"/>
    <w:rsid w:val="04455AD9"/>
    <w:rsid w:val="04505729"/>
    <w:rsid w:val="045B52FD"/>
    <w:rsid w:val="046248DD"/>
    <w:rsid w:val="04657F2A"/>
    <w:rsid w:val="04696F9E"/>
    <w:rsid w:val="046C48D8"/>
    <w:rsid w:val="047343F5"/>
    <w:rsid w:val="047437E5"/>
    <w:rsid w:val="047A5783"/>
    <w:rsid w:val="04814D63"/>
    <w:rsid w:val="04906C14"/>
    <w:rsid w:val="04912ACD"/>
    <w:rsid w:val="04932CE9"/>
    <w:rsid w:val="04A02142"/>
    <w:rsid w:val="04A10F62"/>
    <w:rsid w:val="04B50CCB"/>
    <w:rsid w:val="04B57590"/>
    <w:rsid w:val="04B85403"/>
    <w:rsid w:val="04BC5D9C"/>
    <w:rsid w:val="04BD56EC"/>
    <w:rsid w:val="04C5022A"/>
    <w:rsid w:val="04C66D99"/>
    <w:rsid w:val="04C94624"/>
    <w:rsid w:val="04D8694E"/>
    <w:rsid w:val="04DD2CD2"/>
    <w:rsid w:val="04DE0E34"/>
    <w:rsid w:val="04DF5587"/>
    <w:rsid w:val="04ED76E2"/>
    <w:rsid w:val="04F03C97"/>
    <w:rsid w:val="04F80D9E"/>
    <w:rsid w:val="05027E0B"/>
    <w:rsid w:val="05052D25"/>
    <w:rsid w:val="05294AA1"/>
    <w:rsid w:val="052D5F8D"/>
    <w:rsid w:val="053A3329"/>
    <w:rsid w:val="053F73B1"/>
    <w:rsid w:val="05483AD3"/>
    <w:rsid w:val="05597A8E"/>
    <w:rsid w:val="055B0BE2"/>
    <w:rsid w:val="05666D2E"/>
    <w:rsid w:val="056D2553"/>
    <w:rsid w:val="05704DD8"/>
    <w:rsid w:val="0584475F"/>
    <w:rsid w:val="05880374"/>
    <w:rsid w:val="058D208D"/>
    <w:rsid w:val="05924D4E"/>
    <w:rsid w:val="05992C19"/>
    <w:rsid w:val="05A36F5B"/>
    <w:rsid w:val="05B11678"/>
    <w:rsid w:val="05B22E31"/>
    <w:rsid w:val="05B253F0"/>
    <w:rsid w:val="05B2719F"/>
    <w:rsid w:val="05B90EFE"/>
    <w:rsid w:val="05B93982"/>
    <w:rsid w:val="05BB2735"/>
    <w:rsid w:val="05CA273A"/>
    <w:rsid w:val="05CC0260"/>
    <w:rsid w:val="05D215EF"/>
    <w:rsid w:val="05D27738"/>
    <w:rsid w:val="05D82FAD"/>
    <w:rsid w:val="05DA2889"/>
    <w:rsid w:val="05DB66F5"/>
    <w:rsid w:val="05DD06BF"/>
    <w:rsid w:val="05DE0ED6"/>
    <w:rsid w:val="05E57574"/>
    <w:rsid w:val="05E57D1D"/>
    <w:rsid w:val="05F81055"/>
    <w:rsid w:val="05F8421E"/>
    <w:rsid w:val="05FA5BE4"/>
    <w:rsid w:val="05FB6D97"/>
    <w:rsid w:val="0604196C"/>
    <w:rsid w:val="06127C3D"/>
    <w:rsid w:val="062E2CC9"/>
    <w:rsid w:val="064060BE"/>
    <w:rsid w:val="064C13A1"/>
    <w:rsid w:val="064F49ED"/>
    <w:rsid w:val="06523909"/>
    <w:rsid w:val="06683779"/>
    <w:rsid w:val="066A1827"/>
    <w:rsid w:val="067033F2"/>
    <w:rsid w:val="06734B80"/>
    <w:rsid w:val="0679102E"/>
    <w:rsid w:val="06802AF8"/>
    <w:rsid w:val="068C5C42"/>
    <w:rsid w:val="069A035E"/>
    <w:rsid w:val="069F0A0E"/>
    <w:rsid w:val="06A729EB"/>
    <w:rsid w:val="06A765D7"/>
    <w:rsid w:val="06B17456"/>
    <w:rsid w:val="06BC6527"/>
    <w:rsid w:val="06BD229F"/>
    <w:rsid w:val="06BF1B73"/>
    <w:rsid w:val="06C15CEB"/>
    <w:rsid w:val="06D25D4A"/>
    <w:rsid w:val="06D3561E"/>
    <w:rsid w:val="06D37733"/>
    <w:rsid w:val="06E710CA"/>
    <w:rsid w:val="06EE06AA"/>
    <w:rsid w:val="06F35CC1"/>
    <w:rsid w:val="06F71A01"/>
    <w:rsid w:val="06FA2BAB"/>
    <w:rsid w:val="070103DE"/>
    <w:rsid w:val="070E1A54"/>
    <w:rsid w:val="07126147"/>
    <w:rsid w:val="071A324D"/>
    <w:rsid w:val="071A4FFB"/>
    <w:rsid w:val="07310CDA"/>
    <w:rsid w:val="0733430F"/>
    <w:rsid w:val="073755EB"/>
    <w:rsid w:val="073C7C63"/>
    <w:rsid w:val="073D0CEA"/>
    <w:rsid w:val="074B1659"/>
    <w:rsid w:val="07500A1D"/>
    <w:rsid w:val="075524D7"/>
    <w:rsid w:val="075B71B2"/>
    <w:rsid w:val="07632E46"/>
    <w:rsid w:val="0764271A"/>
    <w:rsid w:val="07666DC2"/>
    <w:rsid w:val="076D15CF"/>
    <w:rsid w:val="076F5347"/>
    <w:rsid w:val="07746E01"/>
    <w:rsid w:val="077B5848"/>
    <w:rsid w:val="077C5361"/>
    <w:rsid w:val="077C5CB6"/>
    <w:rsid w:val="07807554"/>
    <w:rsid w:val="07854B6B"/>
    <w:rsid w:val="07866B35"/>
    <w:rsid w:val="0787503B"/>
    <w:rsid w:val="078E3664"/>
    <w:rsid w:val="078F7797"/>
    <w:rsid w:val="079254DA"/>
    <w:rsid w:val="079528D4"/>
    <w:rsid w:val="07A74336"/>
    <w:rsid w:val="07A90384"/>
    <w:rsid w:val="07AA45D1"/>
    <w:rsid w:val="07AD2313"/>
    <w:rsid w:val="07C62981"/>
    <w:rsid w:val="07C82CA9"/>
    <w:rsid w:val="07CD4764"/>
    <w:rsid w:val="07CF4038"/>
    <w:rsid w:val="07CF5DE6"/>
    <w:rsid w:val="07D21D7A"/>
    <w:rsid w:val="07E15B19"/>
    <w:rsid w:val="07EF6488"/>
    <w:rsid w:val="07F67816"/>
    <w:rsid w:val="07FE491D"/>
    <w:rsid w:val="08010C5F"/>
    <w:rsid w:val="08084414"/>
    <w:rsid w:val="0808579C"/>
    <w:rsid w:val="0809228B"/>
    <w:rsid w:val="08123F24"/>
    <w:rsid w:val="0816418F"/>
    <w:rsid w:val="081D2FF5"/>
    <w:rsid w:val="081E6D6D"/>
    <w:rsid w:val="08345D51"/>
    <w:rsid w:val="0839318D"/>
    <w:rsid w:val="08404F36"/>
    <w:rsid w:val="084542FA"/>
    <w:rsid w:val="084557CB"/>
    <w:rsid w:val="085046CA"/>
    <w:rsid w:val="08517143"/>
    <w:rsid w:val="085207C5"/>
    <w:rsid w:val="0854453D"/>
    <w:rsid w:val="08585DDB"/>
    <w:rsid w:val="085D7896"/>
    <w:rsid w:val="086230FE"/>
    <w:rsid w:val="086C1BEB"/>
    <w:rsid w:val="08803584"/>
    <w:rsid w:val="0882554E"/>
    <w:rsid w:val="0884335C"/>
    <w:rsid w:val="088A61B1"/>
    <w:rsid w:val="08901A19"/>
    <w:rsid w:val="089A729B"/>
    <w:rsid w:val="089F1C5C"/>
    <w:rsid w:val="08A6123D"/>
    <w:rsid w:val="08B51480"/>
    <w:rsid w:val="08B82D1E"/>
    <w:rsid w:val="08B90536"/>
    <w:rsid w:val="08BF40AC"/>
    <w:rsid w:val="08C16076"/>
    <w:rsid w:val="08C276F9"/>
    <w:rsid w:val="08CF1E16"/>
    <w:rsid w:val="08D119D4"/>
    <w:rsid w:val="08D12032"/>
    <w:rsid w:val="08DC4C5E"/>
    <w:rsid w:val="08DD2784"/>
    <w:rsid w:val="08EE137B"/>
    <w:rsid w:val="08F64F1D"/>
    <w:rsid w:val="08F90BB6"/>
    <w:rsid w:val="08FE25C8"/>
    <w:rsid w:val="08FF042B"/>
    <w:rsid w:val="09035013"/>
    <w:rsid w:val="091837BC"/>
    <w:rsid w:val="09265ED9"/>
    <w:rsid w:val="092D370C"/>
    <w:rsid w:val="092E1232"/>
    <w:rsid w:val="09336848"/>
    <w:rsid w:val="09376242"/>
    <w:rsid w:val="09383E5F"/>
    <w:rsid w:val="093F51ED"/>
    <w:rsid w:val="09410F65"/>
    <w:rsid w:val="09460264"/>
    <w:rsid w:val="094840A2"/>
    <w:rsid w:val="09545244"/>
    <w:rsid w:val="09570789"/>
    <w:rsid w:val="095962AF"/>
    <w:rsid w:val="09684744"/>
    <w:rsid w:val="096B6C5E"/>
    <w:rsid w:val="096D1D5A"/>
    <w:rsid w:val="09747085"/>
    <w:rsid w:val="09750C0F"/>
    <w:rsid w:val="09772BD9"/>
    <w:rsid w:val="097924AD"/>
    <w:rsid w:val="098350DA"/>
    <w:rsid w:val="098470A4"/>
    <w:rsid w:val="098826F0"/>
    <w:rsid w:val="09905A49"/>
    <w:rsid w:val="0992531D"/>
    <w:rsid w:val="09997736"/>
    <w:rsid w:val="099A2423"/>
    <w:rsid w:val="099F5C8C"/>
    <w:rsid w:val="09A1009E"/>
    <w:rsid w:val="09A514F4"/>
    <w:rsid w:val="09A80FE4"/>
    <w:rsid w:val="09A908B8"/>
    <w:rsid w:val="09AF4121"/>
    <w:rsid w:val="09B305E8"/>
    <w:rsid w:val="09B41737"/>
    <w:rsid w:val="09B63701"/>
    <w:rsid w:val="09B74D83"/>
    <w:rsid w:val="09B93830"/>
    <w:rsid w:val="09BE3B4D"/>
    <w:rsid w:val="09C22729"/>
    <w:rsid w:val="09C44C48"/>
    <w:rsid w:val="09CD27F9"/>
    <w:rsid w:val="09D92F4C"/>
    <w:rsid w:val="09DE3D12"/>
    <w:rsid w:val="09DE67B4"/>
    <w:rsid w:val="09DF1358"/>
    <w:rsid w:val="09E07509"/>
    <w:rsid w:val="09E22B15"/>
    <w:rsid w:val="09E243E7"/>
    <w:rsid w:val="09E57B43"/>
    <w:rsid w:val="09E81BAE"/>
    <w:rsid w:val="09EA6F07"/>
    <w:rsid w:val="09EB0ED1"/>
    <w:rsid w:val="09FE29B2"/>
    <w:rsid w:val="0A0124A3"/>
    <w:rsid w:val="0A014251"/>
    <w:rsid w:val="0A03446D"/>
    <w:rsid w:val="0A067AB9"/>
    <w:rsid w:val="0A0A57FB"/>
    <w:rsid w:val="0A0C1573"/>
    <w:rsid w:val="0A130D49"/>
    <w:rsid w:val="0A1952B6"/>
    <w:rsid w:val="0A1B5312"/>
    <w:rsid w:val="0A1B645D"/>
    <w:rsid w:val="0A1C72DC"/>
    <w:rsid w:val="0A2801DC"/>
    <w:rsid w:val="0A283ED3"/>
    <w:rsid w:val="0A285C81"/>
    <w:rsid w:val="0A2D08B3"/>
    <w:rsid w:val="0A310FDA"/>
    <w:rsid w:val="0A375FF0"/>
    <w:rsid w:val="0A4C7BC2"/>
    <w:rsid w:val="0A4F1C78"/>
    <w:rsid w:val="0A5847B8"/>
    <w:rsid w:val="0A5B1BB3"/>
    <w:rsid w:val="0A6767AA"/>
    <w:rsid w:val="0A697C22"/>
    <w:rsid w:val="0A6A168C"/>
    <w:rsid w:val="0A6A3EC4"/>
    <w:rsid w:val="0A6E45E1"/>
    <w:rsid w:val="0A7964DD"/>
    <w:rsid w:val="0A7C3448"/>
    <w:rsid w:val="0A825391"/>
    <w:rsid w:val="0A886720"/>
    <w:rsid w:val="0A8F3F52"/>
    <w:rsid w:val="0A914502"/>
    <w:rsid w:val="0A951569"/>
    <w:rsid w:val="0A9A74D8"/>
    <w:rsid w:val="0AA96DC2"/>
    <w:rsid w:val="0AAC3A20"/>
    <w:rsid w:val="0AAE7C10"/>
    <w:rsid w:val="0AAF1EFF"/>
    <w:rsid w:val="0AAF29E3"/>
    <w:rsid w:val="0AB01373"/>
    <w:rsid w:val="0ABB2FF3"/>
    <w:rsid w:val="0ACA6D38"/>
    <w:rsid w:val="0ACE2AFB"/>
    <w:rsid w:val="0AD4662A"/>
    <w:rsid w:val="0AD57BB7"/>
    <w:rsid w:val="0AE20526"/>
    <w:rsid w:val="0AE55920"/>
    <w:rsid w:val="0AF11877"/>
    <w:rsid w:val="0AFA761E"/>
    <w:rsid w:val="0AFD0EBC"/>
    <w:rsid w:val="0B097861"/>
    <w:rsid w:val="0B0C3222"/>
    <w:rsid w:val="0B154457"/>
    <w:rsid w:val="0B1D50BA"/>
    <w:rsid w:val="0B293A5F"/>
    <w:rsid w:val="0B30303F"/>
    <w:rsid w:val="0B3362C6"/>
    <w:rsid w:val="0B350656"/>
    <w:rsid w:val="0B41524D"/>
    <w:rsid w:val="0B44732B"/>
    <w:rsid w:val="0B470389"/>
    <w:rsid w:val="0B486A8C"/>
    <w:rsid w:val="0B4E1717"/>
    <w:rsid w:val="0B505490"/>
    <w:rsid w:val="0B512FB6"/>
    <w:rsid w:val="0B52745A"/>
    <w:rsid w:val="0B542740"/>
    <w:rsid w:val="0B550CF8"/>
    <w:rsid w:val="0B5B3F3C"/>
    <w:rsid w:val="0B5E5DFE"/>
    <w:rsid w:val="0B6E1DBA"/>
    <w:rsid w:val="0B733B8E"/>
    <w:rsid w:val="0B7E6D73"/>
    <w:rsid w:val="0B81389B"/>
    <w:rsid w:val="0B8B63F2"/>
    <w:rsid w:val="0B9335CE"/>
    <w:rsid w:val="0B954C3D"/>
    <w:rsid w:val="0B9673C3"/>
    <w:rsid w:val="0BA37CB5"/>
    <w:rsid w:val="0BA61553"/>
    <w:rsid w:val="0BA963EA"/>
    <w:rsid w:val="0BB23749"/>
    <w:rsid w:val="0BB377CC"/>
    <w:rsid w:val="0BBE3CB1"/>
    <w:rsid w:val="0BBE689D"/>
    <w:rsid w:val="0BC713D3"/>
    <w:rsid w:val="0BC83278"/>
    <w:rsid w:val="0BCC3E0D"/>
    <w:rsid w:val="0BCF59F4"/>
    <w:rsid w:val="0BD64902"/>
    <w:rsid w:val="0BDA3897"/>
    <w:rsid w:val="0BDE2A1F"/>
    <w:rsid w:val="0BF26547"/>
    <w:rsid w:val="0C0A7D34"/>
    <w:rsid w:val="0C0B7912"/>
    <w:rsid w:val="0C0D0767"/>
    <w:rsid w:val="0C0F70F9"/>
    <w:rsid w:val="0C19409D"/>
    <w:rsid w:val="0C23726D"/>
    <w:rsid w:val="0C26093E"/>
    <w:rsid w:val="0C2A7A8F"/>
    <w:rsid w:val="0C30706F"/>
    <w:rsid w:val="0C3628D7"/>
    <w:rsid w:val="0C395F24"/>
    <w:rsid w:val="0C403756"/>
    <w:rsid w:val="0C412C5B"/>
    <w:rsid w:val="0C476893"/>
    <w:rsid w:val="0C542D5E"/>
    <w:rsid w:val="0C592378"/>
    <w:rsid w:val="0C604464"/>
    <w:rsid w:val="0C6531BD"/>
    <w:rsid w:val="0C6C5F4D"/>
    <w:rsid w:val="0C73269E"/>
    <w:rsid w:val="0C796D86"/>
    <w:rsid w:val="0C7B653C"/>
    <w:rsid w:val="0C851169"/>
    <w:rsid w:val="0C943AA2"/>
    <w:rsid w:val="0C9475FE"/>
    <w:rsid w:val="0C965124"/>
    <w:rsid w:val="0C9B098C"/>
    <w:rsid w:val="0C9F66CF"/>
    <w:rsid w:val="0CB33F28"/>
    <w:rsid w:val="0CB63A18"/>
    <w:rsid w:val="0CC25F19"/>
    <w:rsid w:val="0CC46135"/>
    <w:rsid w:val="0CC779D3"/>
    <w:rsid w:val="0CD345CA"/>
    <w:rsid w:val="0CDD47C2"/>
    <w:rsid w:val="0CED208A"/>
    <w:rsid w:val="0CED322C"/>
    <w:rsid w:val="0CED42B7"/>
    <w:rsid w:val="0CF14A50"/>
    <w:rsid w:val="0CF91BBE"/>
    <w:rsid w:val="0CFA1B57"/>
    <w:rsid w:val="0D013BBD"/>
    <w:rsid w:val="0D0429D6"/>
    <w:rsid w:val="0D057601"/>
    <w:rsid w:val="0D0C53E6"/>
    <w:rsid w:val="0D0E73B0"/>
    <w:rsid w:val="0D136775"/>
    <w:rsid w:val="0D147219"/>
    <w:rsid w:val="0D162709"/>
    <w:rsid w:val="0D166265"/>
    <w:rsid w:val="0D187AA3"/>
    <w:rsid w:val="0D244E26"/>
    <w:rsid w:val="0D2C7836"/>
    <w:rsid w:val="0D314E4D"/>
    <w:rsid w:val="0D335069"/>
    <w:rsid w:val="0D3F57BC"/>
    <w:rsid w:val="0D41259D"/>
    <w:rsid w:val="0D417786"/>
    <w:rsid w:val="0D49663A"/>
    <w:rsid w:val="0D5B1F6A"/>
    <w:rsid w:val="0D5C45C0"/>
    <w:rsid w:val="0D643474"/>
    <w:rsid w:val="0D676AC1"/>
    <w:rsid w:val="0D782A7C"/>
    <w:rsid w:val="0D7D4536"/>
    <w:rsid w:val="0D821994"/>
    <w:rsid w:val="0D86163D"/>
    <w:rsid w:val="0D8E2FA1"/>
    <w:rsid w:val="0DB0769E"/>
    <w:rsid w:val="0DB34ADC"/>
    <w:rsid w:val="0DB5782C"/>
    <w:rsid w:val="0DC21F49"/>
    <w:rsid w:val="0DCB52A1"/>
    <w:rsid w:val="0DD26630"/>
    <w:rsid w:val="0DDC74AE"/>
    <w:rsid w:val="0DE6032D"/>
    <w:rsid w:val="0DE819AF"/>
    <w:rsid w:val="0DEA3152"/>
    <w:rsid w:val="0DF041F6"/>
    <w:rsid w:val="0DF30354"/>
    <w:rsid w:val="0DFF319D"/>
    <w:rsid w:val="0E017A76"/>
    <w:rsid w:val="0E0362E7"/>
    <w:rsid w:val="0E0726B3"/>
    <w:rsid w:val="0E0D7668"/>
    <w:rsid w:val="0E0F33E0"/>
    <w:rsid w:val="0E215675"/>
    <w:rsid w:val="0E2B5D40"/>
    <w:rsid w:val="0E3B2427"/>
    <w:rsid w:val="0E415563"/>
    <w:rsid w:val="0E431A2D"/>
    <w:rsid w:val="0E4D5CB6"/>
    <w:rsid w:val="0E4F1A2E"/>
    <w:rsid w:val="0E7E40C2"/>
    <w:rsid w:val="0E8042DE"/>
    <w:rsid w:val="0E807E3A"/>
    <w:rsid w:val="0E813BB2"/>
    <w:rsid w:val="0E947D89"/>
    <w:rsid w:val="0E963B01"/>
    <w:rsid w:val="0E9B4C74"/>
    <w:rsid w:val="0E9E6512"/>
    <w:rsid w:val="0EA10058"/>
    <w:rsid w:val="0EA53D44"/>
    <w:rsid w:val="0EA578A0"/>
    <w:rsid w:val="0EAA3109"/>
    <w:rsid w:val="0EAF071F"/>
    <w:rsid w:val="0EB14497"/>
    <w:rsid w:val="0EB21FBD"/>
    <w:rsid w:val="0EB6385C"/>
    <w:rsid w:val="0EBE277E"/>
    <w:rsid w:val="0ECD574A"/>
    <w:rsid w:val="0ED40186"/>
    <w:rsid w:val="0EDB7766"/>
    <w:rsid w:val="0EDD528C"/>
    <w:rsid w:val="0EE02FCE"/>
    <w:rsid w:val="0EE24651"/>
    <w:rsid w:val="0EEE7499"/>
    <w:rsid w:val="0EF6339A"/>
    <w:rsid w:val="0F022F45"/>
    <w:rsid w:val="0F031B93"/>
    <w:rsid w:val="0F0A004B"/>
    <w:rsid w:val="0F220EF1"/>
    <w:rsid w:val="0F2C6214"/>
    <w:rsid w:val="0F3257A0"/>
    <w:rsid w:val="0F396D0C"/>
    <w:rsid w:val="0F3A26DF"/>
    <w:rsid w:val="0F3A448D"/>
    <w:rsid w:val="0F3F363C"/>
    <w:rsid w:val="0F44530B"/>
    <w:rsid w:val="0F481A0C"/>
    <w:rsid w:val="0F5337A0"/>
    <w:rsid w:val="0F5A28E4"/>
    <w:rsid w:val="0F615EBD"/>
    <w:rsid w:val="0F657030"/>
    <w:rsid w:val="0F672DA8"/>
    <w:rsid w:val="0F67724C"/>
    <w:rsid w:val="0F6C3505"/>
    <w:rsid w:val="0F6C4862"/>
    <w:rsid w:val="0F6F22E3"/>
    <w:rsid w:val="0F7234C7"/>
    <w:rsid w:val="0F7301AD"/>
    <w:rsid w:val="0F76123D"/>
    <w:rsid w:val="0F7660E1"/>
    <w:rsid w:val="0F7703CF"/>
    <w:rsid w:val="0F786D63"/>
    <w:rsid w:val="0F7E1320"/>
    <w:rsid w:val="0F930041"/>
    <w:rsid w:val="0F931DEF"/>
    <w:rsid w:val="0F96368D"/>
    <w:rsid w:val="0F98134C"/>
    <w:rsid w:val="0FA60A8C"/>
    <w:rsid w:val="0FA8716B"/>
    <w:rsid w:val="0FB32491"/>
    <w:rsid w:val="0FB47E00"/>
    <w:rsid w:val="0FB56209"/>
    <w:rsid w:val="0FCB3337"/>
    <w:rsid w:val="0FCD3553"/>
    <w:rsid w:val="0FCE5F07"/>
    <w:rsid w:val="0FD04DF1"/>
    <w:rsid w:val="0FD146C5"/>
    <w:rsid w:val="0FD53874"/>
    <w:rsid w:val="0FD80633"/>
    <w:rsid w:val="0FD91EF8"/>
    <w:rsid w:val="0FDA5C49"/>
    <w:rsid w:val="0FE07928"/>
    <w:rsid w:val="0FF023A7"/>
    <w:rsid w:val="0FF02D9D"/>
    <w:rsid w:val="0FF07241"/>
    <w:rsid w:val="0FFF7484"/>
    <w:rsid w:val="0FFF7FE2"/>
    <w:rsid w:val="10060813"/>
    <w:rsid w:val="10150A56"/>
    <w:rsid w:val="101C3B92"/>
    <w:rsid w:val="101D0A65"/>
    <w:rsid w:val="10260EB5"/>
    <w:rsid w:val="102A0350"/>
    <w:rsid w:val="102E5902"/>
    <w:rsid w:val="1030763E"/>
    <w:rsid w:val="10333682"/>
    <w:rsid w:val="10376C1E"/>
    <w:rsid w:val="10401F77"/>
    <w:rsid w:val="104135F9"/>
    <w:rsid w:val="104456F6"/>
    <w:rsid w:val="10480E2B"/>
    <w:rsid w:val="104B4477"/>
    <w:rsid w:val="10556C90"/>
    <w:rsid w:val="105816ED"/>
    <w:rsid w:val="10596B94"/>
    <w:rsid w:val="105F7F23"/>
    <w:rsid w:val="10637A13"/>
    <w:rsid w:val="106D0892"/>
    <w:rsid w:val="106F0C81"/>
    <w:rsid w:val="10705412"/>
    <w:rsid w:val="107514F4"/>
    <w:rsid w:val="107E2A9F"/>
    <w:rsid w:val="108856CC"/>
    <w:rsid w:val="1090632E"/>
    <w:rsid w:val="109E4E4B"/>
    <w:rsid w:val="10A34904"/>
    <w:rsid w:val="10A456A7"/>
    <w:rsid w:val="10AB1F4F"/>
    <w:rsid w:val="10AD6EE0"/>
    <w:rsid w:val="10B13159"/>
    <w:rsid w:val="10B464C1"/>
    <w:rsid w:val="10B820FF"/>
    <w:rsid w:val="10C304B2"/>
    <w:rsid w:val="10CA5CE4"/>
    <w:rsid w:val="10D500D4"/>
    <w:rsid w:val="10DE353E"/>
    <w:rsid w:val="10E41F84"/>
    <w:rsid w:val="10E753D1"/>
    <w:rsid w:val="10EC5073"/>
    <w:rsid w:val="10ED552F"/>
    <w:rsid w:val="10FD1C16"/>
    <w:rsid w:val="10FE2A9B"/>
    <w:rsid w:val="10FF6608"/>
    <w:rsid w:val="110747EA"/>
    <w:rsid w:val="1111746F"/>
    <w:rsid w:val="111807FE"/>
    <w:rsid w:val="11196324"/>
    <w:rsid w:val="111E4A8C"/>
    <w:rsid w:val="111F7DDE"/>
    <w:rsid w:val="112E0021"/>
    <w:rsid w:val="11355E05"/>
    <w:rsid w:val="113969C6"/>
    <w:rsid w:val="113E3FDC"/>
    <w:rsid w:val="113F222E"/>
    <w:rsid w:val="115D0906"/>
    <w:rsid w:val="11627CCB"/>
    <w:rsid w:val="11667325"/>
    <w:rsid w:val="116C28F7"/>
    <w:rsid w:val="11731ED8"/>
    <w:rsid w:val="118045F5"/>
    <w:rsid w:val="11827731"/>
    <w:rsid w:val="118E6D12"/>
    <w:rsid w:val="119841B1"/>
    <w:rsid w:val="11A40260"/>
    <w:rsid w:val="11AC63B3"/>
    <w:rsid w:val="11B038B5"/>
    <w:rsid w:val="11B06C88"/>
    <w:rsid w:val="11B81FE1"/>
    <w:rsid w:val="11C444E1"/>
    <w:rsid w:val="11D0182F"/>
    <w:rsid w:val="11D0732A"/>
    <w:rsid w:val="11E15093"/>
    <w:rsid w:val="11E66DE5"/>
    <w:rsid w:val="11F32CD3"/>
    <w:rsid w:val="11F33019"/>
    <w:rsid w:val="11F76665"/>
    <w:rsid w:val="11FD5C45"/>
    <w:rsid w:val="12011292"/>
    <w:rsid w:val="1202325C"/>
    <w:rsid w:val="12064F12"/>
    <w:rsid w:val="12071515"/>
    <w:rsid w:val="12073B15"/>
    <w:rsid w:val="12094BBC"/>
    <w:rsid w:val="120B0362"/>
    <w:rsid w:val="120B2110"/>
    <w:rsid w:val="120E1C01"/>
    <w:rsid w:val="121219F6"/>
    <w:rsid w:val="121B7B26"/>
    <w:rsid w:val="121E62E8"/>
    <w:rsid w:val="121F5BBC"/>
    <w:rsid w:val="12217B86"/>
    <w:rsid w:val="122356AC"/>
    <w:rsid w:val="12280F14"/>
    <w:rsid w:val="122B3799"/>
    <w:rsid w:val="122C1851"/>
    <w:rsid w:val="12301B77"/>
    <w:rsid w:val="12407964"/>
    <w:rsid w:val="124675EC"/>
    <w:rsid w:val="12483BB9"/>
    <w:rsid w:val="12486EC1"/>
    <w:rsid w:val="124D44D7"/>
    <w:rsid w:val="124D6CD3"/>
    <w:rsid w:val="124F030C"/>
    <w:rsid w:val="1256394F"/>
    <w:rsid w:val="125B36A2"/>
    <w:rsid w:val="12606087"/>
    <w:rsid w:val="126C5517"/>
    <w:rsid w:val="12747CB6"/>
    <w:rsid w:val="12751B21"/>
    <w:rsid w:val="127557DC"/>
    <w:rsid w:val="1279351E"/>
    <w:rsid w:val="127C4DBC"/>
    <w:rsid w:val="127F665A"/>
    <w:rsid w:val="12A32349"/>
    <w:rsid w:val="12A367ED"/>
    <w:rsid w:val="12A8795F"/>
    <w:rsid w:val="12BA7692"/>
    <w:rsid w:val="12C66037"/>
    <w:rsid w:val="12CA3D79"/>
    <w:rsid w:val="12D4739C"/>
    <w:rsid w:val="12DD1CFF"/>
    <w:rsid w:val="12DF1935"/>
    <w:rsid w:val="12F47048"/>
    <w:rsid w:val="1305241F"/>
    <w:rsid w:val="13070611"/>
    <w:rsid w:val="13077910"/>
    <w:rsid w:val="130C358B"/>
    <w:rsid w:val="131B2827"/>
    <w:rsid w:val="132E667C"/>
    <w:rsid w:val="133219FE"/>
    <w:rsid w:val="13391AF9"/>
    <w:rsid w:val="133D4586"/>
    <w:rsid w:val="134358DA"/>
    <w:rsid w:val="134F24D1"/>
    <w:rsid w:val="13581385"/>
    <w:rsid w:val="135C112A"/>
    <w:rsid w:val="135C3E9A"/>
    <w:rsid w:val="13620456"/>
    <w:rsid w:val="13637D2A"/>
    <w:rsid w:val="136B34D0"/>
    <w:rsid w:val="136B5A6C"/>
    <w:rsid w:val="13767A5D"/>
    <w:rsid w:val="13851BA5"/>
    <w:rsid w:val="13854144"/>
    <w:rsid w:val="13877EBC"/>
    <w:rsid w:val="138C7F7B"/>
    <w:rsid w:val="138F0B1F"/>
    <w:rsid w:val="139D1805"/>
    <w:rsid w:val="13A4281C"/>
    <w:rsid w:val="13A53180"/>
    <w:rsid w:val="13AF2F6F"/>
    <w:rsid w:val="13B51FA4"/>
    <w:rsid w:val="13CE7899"/>
    <w:rsid w:val="13E175CD"/>
    <w:rsid w:val="13EE5846"/>
    <w:rsid w:val="13F15269"/>
    <w:rsid w:val="13F310AE"/>
    <w:rsid w:val="13F90C6C"/>
    <w:rsid w:val="14043122"/>
    <w:rsid w:val="14043627"/>
    <w:rsid w:val="14123C2A"/>
    <w:rsid w:val="14255AC1"/>
    <w:rsid w:val="1437543F"/>
    <w:rsid w:val="144A2F4F"/>
    <w:rsid w:val="14537D9F"/>
    <w:rsid w:val="145737AD"/>
    <w:rsid w:val="145A470C"/>
    <w:rsid w:val="145C70E9"/>
    <w:rsid w:val="14630F79"/>
    <w:rsid w:val="146879A0"/>
    <w:rsid w:val="147A532B"/>
    <w:rsid w:val="14833BE1"/>
    <w:rsid w:val="148461AA"/>
    <w:rsid w:val="14956609"/>
    <w:rsid w:val="14A037FB"/>
    <w:rsid w:val="14A16D5C"/>
    <w:rsid w:val="14A405FA"/>
    <w:rsid w:val="14A8037D"/>
    <w:rsid w:val="14AB37A8"/>
    <w:rsid w:val="14B57350"/>
    <w:rsid w:val="14B670F9"/>
    <w:rsid w:val="14C33176"/>
    <w:rsid w:val="14C359E0"/>
    <w:rsid w:val="14C842E9"/>
    <w:rsid w:val="14CA0061"/>
    <w:rsid w:val="14CB4340"/>
    <w:rsid w:val="14D62EA9"/>
    <w:rsid w:val="14E22985"/>
    <w:rsid w:val="14E35E82"/>
    <w:rsid w:val="14E60C13"/>
    <w:rsid w:val="14E87A0F"/>
    <w:rsid w:val="14EA3590"/>
    <w:rsid w:val="14EA425F"/>
    <w:rsid w:val="14EB6229"/>
    <w:rsid w:val="14ED01F3"/>
    <w:rsid w:val="14EE6F80"/>
    <w:rsid w:val="15001CD4"/>
    <w:rsid w:val="15023C9F"/>
    <w:rsid w:val="15035321"/>
    <w:rsid w:val="151632A6"/>
    <w:rsid w:val="15231615"/>
    <w:rsid w:val="15233C15"/>
    <w:rsid w:val="152A6D51"/>
    <w:rsid w:val="153100E0"/>
    <w:rsid w:val="15347BD0"/>
    <w:rsid w:val="15363948"/>
    <w:rsid w:val="153B4DDE"/>
    <w:rsid w:val="153D72A5"/>
    <w:rsid w:val="154F4A0A"/>
    <w:rsid w:val="155E69FB"/>
    <w:rsid w:val="156A1E3B"/>
    <w:rsid w:val="156C1118"/>
    <w:rsid w:val="156F0C08"/>
    <w:rsid w:val="15765A27"/>
    <w:rsid w:val="15B34F99"/>
    <w:rsid w:val="15B8435D"/>
    <w:rsid w:val="15C26F8A"/>
    <w:rsid w:val="15CB7091"/>
    <w:rsid w:val="15CE0FE3"/>
    <w:rsid w:val="15CE5D77"/>
    <w:rsid w:val="15DF5D8E"/>
    <w:rsid w:val="15F630D7"/>
    <w:rsid w:val="15FC6940"/>
    <w:rsid w:val="16041350"/>
    <w:rsid w:val="16113106"/>
    <w:rsid w:val="161672D6"/>
    <w:rsid w:val="161A0B74"/>
    <w:rsid w:val="161A1FD2"/>
    <w:rsid w:val="161A6DC6"/>
    <w:rsid w:val="161D2412"/>
    <w:rsid w:val="161F43DC"/>
    <w:rsid w:val="16243337"/>
    <w:rsid w:val="162C08A7"/>
    <w:rsid w:val="16314110"/>
    <w:rsid w:val="16351E52"/>
    <w:rsid w:val="16493207"/>
    <w:rsid w:val="165C118C"/>
    <w:rsid w:val="165D042B"/>
    <w:rsid w:val="1663076D"/>
    <w:rsid w:val="166718DF"/>
    <w:rsid w:val="166C6C78"/>
    <w:rsid w:val="16877047"/>
    <w:rsid w:val="168801D3"/>
    <w:rsid w:val="16893F4C"/>
    <w:rsid w:val="16922E00"/>
    <w:rsid w:val="169721C5"/>
    <w:rsid w:val="169E17A5"/>
    <w:rsid w:val="16A36DBB"/>
    <w:rsid w:val="16AF39B2"/>
    <w:rsid w:val="16BC1C2B"/>
    <w:rsid w:val="16C62AAA"/>
    <w:rsid w:val="16CB6312"/>
    <w:rsid w:val="16D32078"/>
    <w:rsid w:val="16DC407B"/>
    <w:rsid w:val="16DF1C9E"/>
    <w:rsid w:val="16E3365C"/>
    <w:rsid w:val="16E82A20"/>
    <w:rsid w:val="16E8315C"/>
    <w:rsid w:val="16EB42BE"/>
    <w:rsid w:val="16ED6288"/>
    <w:rsid w:val="16F13FCB"/>
    <w:rsid w:val="16F72C63"/>
    <w:rsid w:val="16F75A4D"/>
    <w:rsid w:val="16FA2753"/>
    <w:rsid w:val="17055C28"/>
    <w:rsid w:val="17082757"/>
    <w:rsid w:val="170F00E8"/>
    <w:rsid w:val="171C4DC0"/>
    <w:rsid w:val="172C5003"/>
    <w:rsid w:val="172F4AF3"/>
    <w:rsid w:val="17375756"/>
    <w:rsid w:val="17465999"/>
    <w:rsid w:val="174F484D"/>
    <w:rsid w:val="1752433D"/>
    <w:rsid w:val="175400B6"/>
    <w:rsid w:val="175F0406"/>
    <w:rsid w:val="1767664C"/>
    <w:rsid w:val="176D533D"/>
    <w:rsid w:val="178D5376"/>
    <w:rsid w:val="17982698"/>
    <w:rsid w:val="179B5CE4"/>
    <w:rsid w:val="179E3A27"/>
    <w:rsid w:val="17A0154D"/>
    <w:rsid w:val="17A0779F"/>
    <w:rsid w:val="17A26D42"/>
    <w:rsid w:val="17A8489C"/>
    <w:rsid w:val="17B80644"/>
    <w:rsid w:val="17B84AE8"/>
    <w:rsid w:val="17C52D61"/>
    <w:rsid w:val="17C71DFD"/>
    <w:rsid w:val="17CA0378"/>
    <w:rsid w:val="17D055CA"/>
    <w:rsid w:val="17D70B3D"/>
    <w:rsid w:val="17DD667E"/>
    <w:rsid w:val="17E21B65"/>
    <w:rsid w:val="17E72CD8"/>
    <w:rsid w:val="17F453F5"/>
    <w:rsid w:val="17F54DA1"/>
    <w:rsid w:val="17FB2C27"/>
    <w:rsid w:val="17FF6273"/>
    <w:rsid w:val="180C6BE2"/>
    <w:rsid w:val="180E06B3"/>
    <w:rsid w:val="180E4708"/>
    <w:rsid w:val="18167A61"/>
    <w:rsid w:val="18204407"/>
    <w:rsid w:val="182201B4"/>
    <w:rsid w:val="183D2D88"/>
    <w:rsid w:val="183F2B14"/>
    <w:rsid w:val="1844012A"/>
    <w:rsid w:val="184C6FDF"/>
    <w:rsid w:val="184F12B2"/>
    <w:rsid w:val="18506ACF"/>
    <w:rsid w:val="18534811"/>
    <w:rsid w:val="185A21FA"/>
    <w:rsid w:val="1865506A"/>
    <w:rsid w:val="18694035"/>
    <w:rsid w:val="1869638B"/>
    <w:rsid w:val="18714C97"/>
    <w:rsid w:val="18746BDC"/>
    <w:rsid w:val="18755A63"/>
    <w:rsid w:val="187D188E"/>
    <w:rsid w:val="187F19EB"/>
    <w:rsid w:val="18802BE9"/>
    <w:rsid w:val="1881312C"/>
    <w:rsid w:val="18822A00"/>
    <w:rsid w:val="1888270D"/>
    <w:rsid w:val="18A032C9"/>
    <w:rsid w:val="18A62B93"/>
    <w:rsid w:val="18A8690B"/>
    <w:rsid w:val="18A96818"/>
    <w:rsid w:val="18A97340"/>
    <w:rsid w:val="18B036C8"/>
    <w:rsid w:val="18B74DA0"/>
    <w:rsid w:val="18BA4DAD"/>
    <w:rsid w:val="18C419C1"/>
    <w:rsid w:val="18D03F06"/>
    <w:rsid w:val="18D53478"/>
    <w:rsid w:val="18DA07E2"/>
    <w:rsid w:val="18DC4807"/>
    <w:rsid w:val="18E75CE0"/>
    <w:rsid w:val="18ED2570"/>
    <w:rsid w:val="19037FE5"/>
    <w:rsid w:val="190653E0"/>
    <w:rsid w:val="19067AD5"/>
    <w:rsid w:val="190D49C0"/>
    <w:rsid w:val="190F5F83"/>
    <w:rsid w:val="191007D2"/>
    <w:rsid w:val="191D23C9"/>
    <w:rsid w:val="191E42B4"/>
    <w:rsid w:val="192341E3"/>
    <w:rsid w:val="192374A9"/>
    <w:rsid w:val="19246DE4"/>
    <w:rsid w:val="19265A82"/>
    <w:rsid w:val="192A37C4"/>
    <w:rsid w:val="19380DBB"/>
    <w:rsid w:val="193A32DB"/>
    <w:rsid w:val="193E101D"/>
    <w:rsid w:val="19497D53"/>
    <w:rsid w:val="194F4FD8"/>
    <w:rsid w:val="19510D51"/>
    <w:rsid w:val="195645B9"/>
    <w:rsid w:val="19573E8D"/>
    <w:rsid w:val="196935B8"/>
    <w:rsid w:val="19702964"/>
    <w:rsid w:val="19706CFD"/>
    <w:rsid w:val="19726F19"/>
    <w:rsid w:val="197411B5"/>
    <w:rsid w:val="19742C91"/>
    <w:rsid w:val="197A1C24"/>
    <w:rsid w:val="197E141A"/>
    <w:rsid w:val="197E766C"/>
    <w:rsid w:val="19816413"/>
    <w:rsid w:val="19862718"/>
    <w:rsid w:val="19866520"/>
    <w:rsid w:val="19882298"/>
    <w:rsid w:val="19962C07"/>
    <w:rsid w:val="199D21E8"/>
    <w:rsid w:val="19B60BB4"/>
    <w:rsid w:val="19B7322B"/>
    <w:rsid w:val="19BE3F0C"/>
    <w:rsid w:val="19BF7474"/>
    <w:rsid w:val="19C73FB9"/>
    <w:rsid w:val="19CF1C75"/>
    <w:rsid w:val="19D13C3F"/>
    <w:rsid w:val="19D352B7"/>
    <w:rsid w:val="19D83220"/>
    <w:rsid w:val="19E046EF"/>
    <w:rsid w:val="19E16A10"/>
    <w:rsid w:val="19EC0A79"/>
    <w:rsid w:val="19FF1F98"/>
    <w:rsid w:val="1A045DC3"/>
    <w:rsid w:val="1A0916EC"/>
    <w:rsid w:val="1A0933D9"/>
    <w:rsid w:val="1A101DA4"/>
    <w:rsid w:val="1A144ACE"/>
    <w:rsid w:val="1A2E0437"/>
    <w:rsid w:val="1A2F0966"/>
    <w:rsid w:val="1A306BC4"/>
    <w:rsid w:val="1A475CB0"/>
    <w:rsid w:val="1A501008"/>
    <w:rsid w:val="1A58610F"/>
    <w:rsid w:val="1A5A1E87"/>
    <w:rsid w:val="1A5D3725"/>
    <w:rsid w:val="1A612876"/>
    <w:rsid w:val="1A6B4094"/>
    <w:rsid w:val="1A6B5DA4"/>
    <w:rsid w:val="1A7D3DC7"/>
    <w:rsid w:val="1A914C62"/>
    <w:rsid w:val="1A99197B"/>
    <w:rsid w:val="1A9C249F"/>
    <w:rsid w:val="1A9D7FC6"/>
    <w:rsid w:val="1A9F2885"/>
    <w:rsid w:val="1AAA16DF"/>
    <w:rsid w:val="1ABF28B5"/>
    <w:rsid w:val="1AC45552"/>
    <w:rsid w:val="1AD27C6F"/>
    <w:rsid w:val="1AD3240A"/>
    <w:rsid w:val="1AD43190"/>
    <w:rsid w:val="1ADC1167"/>
    <w:rsid w:val="1ADE4866"/>
    <w:rsid w:val="1ADF05DE"/>
    <w:rsid w:val="1ADF413A"/>
    <w:rsid w:val="1AEB304F"/>
    <w:rsid w:val="1AF20311"/>
    <w:rsid w:val="1AF51BB0"/>
    <w:rsid w:val="1AFA71C6"/>
    <w:rsid w:val="1AFC4CEC"/>
    <w:rsid w:val="1AFF658A"/>
    <w:rsid w:val="1B03607B"/>
    <w:rsid w:val="1B040045"/>
    <w:rsid w:val="1B07224D"/>
    <w:rsid w:val="1B1C7DDF"/>
    <w:rsid w:val="1B216501"/>
    <w:rsid w:val="1B23779E"/>
    <w:rsid w:val="1B282E74"/>
    <w:rsid w:val="1B2D1349"/>
    <w:rsid w:val="1B375D24"/>
    <w:rsid w:val="1B3C77DE"/>
    <w:rsid w:val="1B3E5305"/>
    <w:rsid w:val="1B3F2C9E"/>
    <w:rsid w:val="1B416BA3"/>
    <w:rsid w:val="1B481CDF"/>
    <w:rsid w:val="1B485E74"/>
    <w:rsid w:val="1B4F7512"/>
    <w:rsid w:val="1B506DE6"/>
    <w:rsid w:val="1B5C1C2F"/>
    <w:rsid w:val="1B610A9F"/>
    <w:rsid w:val="1B642891"/>
    <w:rsid w:val="1B7A20B5"/>
    <w:rsid w:val="1B7D185C"/>
    <w:rsid w:val="1B7D5A3D"/>
    <w:rsid w:val="1B7E3953"/>
    <w:rsid w:val="1B811695"/>
    <w:rsid w:val="1B8F3D84"/>
    <w:rsid w:val="1B8F5B60"/>
    <w:rsid w:val="1B903686"/>
    <w:rsid w:val="1B9969DF"/>
    <w:rsid w:val="1B9E5DA3"/>
    <w:rsid w:val="1B9F3FFD"/>
    <w:rsid w:val="1BAA299A"/>
    <w:rsid w:val="1BB05AD7"/>
    <w:rsid w:val="1BC752FA"/>
    <w:rsid w:val="1BCB2A77"/>
    <w:rsid w:val="1BD73063"/>
    <w:rsid w:val="1BD90378"/>
    <w:rsid w:val="1BF14125"/>
    <w:rsid w:val="1BF400B9"/>
    <w:rsid w:val="1BF63E31"/>
    <w:rsid w:val="1BF754B3"/>
    <w:rsid w:val="1BFB7D2E"/>
    <w:rsid w:val="1C02528A"/>
    <w:rsid w:val="1C054074"/>
    <w:rsid w:val="1C093B64"/>
    <w:rsid w:val="1C112A19"/>
    <w:rsid w:val="1C1147C7"/>
    <w:rsid w:val="1C1F5136"/>
    <w:rsid w:val="1C295FB5"/>
    <w:rsid w:val="1C2C01A7"/>
    <w:rsid w:val="1C362480"/>
    <w:rsid w:val="1C391A8B"/>
    <w:rsid w:val="1C3D55BC"/>
    <w:rsid w:val="1C3E30E2"/>
    <w:rsid w:val="1C3E56B7"/>
    <w:rsid w:val="1C4F6042"/>
    <w:rsid w:val="1C511068"/>
    <w:rsid w:val="1C511A32"/>
    <w:rsid w:val="1C534DE0"/>
    <w:rsid w:val="1C542906"/>
    <w:rsid w:val="1C550B58"/>
    <w:rsid w:val="1C626DD1"/>
    <w:rsid w:val="1C7A236C"/>
    <w:rsid w:val="1C7B7E93"/>
    <w:rsid w:val="1C7F4826"/>
    <w:rsid w:val="1C874A89"/>
    <w:rsid w:val="1C9244C5"/>
    <w:rsid w:val="1C9368BB"/>
    <w:rsid w:val="1C980A44"/>
    <w:rsid w:val="1C9D24FF"/>
    <w:rsid w:val="1CBE5F51"/>
    <w:rsid w:val="1CCC4B92"/>
    <w:rsid w:val="1CCC71D7"/>
    <w:rsid w:val="1CD30247"/>
    <w:rsid w:val="1CD90F6C"/>
    <w:rsid w:val="1CDC4DD5"/>
    <w:rsid w:val="1CDE7B02"/>
    <w:rsid w:val="1CE123EB"/>
    <w:rsid w:val="1CE67A02"/>
    <w:rsid w:val="1CEA0DC8"/>
    <w:rsid w:val="1CF77E61"/>
    <w:rsid w:val="1CFD4D4B"/>
    <w:rsid w:val="1D022362"/>
    <w:rsid w:val="1D0633DC"/>
    <w:rsid w:val="1D0A6BBF"/>
    <w:rsid w:val="1D100F23"/>
    <w:rsid w:val="1D1207F7"/>
    <w:rsid w:val="1D1D719C"/>
    <w:rsid w:val="1D1F70DF"/>
    <w:rsid w:val="1D2E13A9"/>
    <w:rsid w:val="1D3C3AC6"/>
    <w:rsid w:val="1D446FF0"/>
    <w:rsid w:val="1D4604A0"/>
    <w:rsid w:val="1D594678"/>
    <w:rsid w:val="1D5C1A72"/>
    <w:rsid w:val="1D61177E"/>
    <w:rsid w:val="1D6848BB"/>
    <w:rsid w:val="1D6E79F7"/>
    <w:rsid w:val="1D7414B2"/>
    <w:rsid w:val="1D7C2114"/>
    <w:rsid w:val="1D7E7C3A"/>
    <w:rsid w:val="1D8E3BF5"/>
    <w:rsid w:val="1D916562"/>
    <w:rsid w:val="1D943739"/>
    <w:rsid w:val="1DB25D3B"/>
    <w:rsid w:val="1DB55626"/>
    <w:rsid w:val="1DBD7B04"/>
    <w:rsid w:val="1DBE0D70"/>
    <w:rsid w:val="1DC85359"/>
    <w:rsid w:val="1DCD471E"/>
    <w:rsid w:val="1DD12460"/>
    <w:rsid w:val="1DD265F7"/>
    <w:rsid w:val="1DE15900"/>
    <w:rsid w:val="1DE93CFC"/>
    <w:rsid w:val="1DEA3522"/>
    <w:rsid w:val="1DEB6876"/>
    <w:rsid w:val="1DF4614E"/>
    <w:rsid w:val="1DFB128B"/>
    <w:rsid w:val="1E026ABD"/>
    <w:rsid w:val="1E0A3BC4"/>
    <w:rsid w:val="1E0D0FBE"/>
    <w:rsid w:val="1E14234D"/>
    <w:rsid w:val="1E1F3254"/>
    <w:rsid w:val="1E262080"/>
    <w:rsid w:val="1E2C7696"/>
    <w:rsid w:val="1E2D01CB"/>
    <w:rsid w:val="1E312EFF"/>
    <w:rsid w:val="1E363573"/>
    <w:rsid w:val="1E390005"/>
    <w:rsid w:val="1E4075E6"/>
    <w:rsid w:val="1E425260"/>
    <w:rsid w:val="1E432DEF"/>
    <w:rsid w:val="1E446493"/>
    <w:rsid w:val="1E4873CD"/>
    <w:rsid w:val="1E4A46AF"/>
    <w:rsid w:val="1E517543"/>
    <w:rsid w:val="1E62755C"/>
    <w:rsid w:val="1E6A347E"/>
    <w:rsid w:val="1E6E6F8F"/>
    <w:rsid w:val="1E803E86"/>
    <w:rsid w:val="1E85324A"/>
    <w:rsid w:val="1E890F8D"/>
    <w:rsid w:val="1E9B2A6E"/>
    <w:rsid w:val="1EA23DFC"/>
    <w:rsid w:val="1EA948A8"/>
    <w:rsid w:val="1EAA571D"/>
    <w:rsid w:val="1EB458DE"/>
    <w:rsid w:val="1EB4768C"/>
    <w:rsid w:val="1EB80378"/>
    <w:rsid w:val="1EBB0A1A"/>
    <w:rsid w:val="1EC75611"/>
    <w:rsid w:val="1EDA49C1"/>
    <w:rsid w:val="1EDF0BAD"/>
    <w:rsid w:val="1EE93A77"/>
    <w:rsid w:val="1EEA318A"/>
    <w:rsid w:val="1EF331A2"/>
    <w:rsid w:val="1EF503D0"/>
    <w:rsid w:val="1F0423C1"/>
    <w:rsid w:val="1F093E7B"/>
    <w:rsid w:val="1F0B19A2"/>
    <w:rsid w:val="1F1545CE"/>
    <w:rsid w:val="1F155F51"/>
    <w:rsid w:val="1F1C3BAF"/>
    <w:rsid w:val="1F2C05AA"/>
    <w:rsid w:val="1F2E5690"/>
    <w:rsid w:val="1F36431D"/>
    <w:rsid w:val="1F372797"/>
    <w:rsid w:val="1F42113B"/>
    <w:rsid w:val="1F43738D"/>
    <w:rsid w:val="1F460C2C"/>
    <w:rsid w:val="1F4849A4"/>
    <w:rsid w:val="1F485FC9"/>
    <w:rsid w:val="1F4E5D32"/>
    <w:rsid w:val="1F511D85"/>
    <w:rsid w:val="1F550E6F"/>
    <w:rsid w:val="1F5E41C7"/>
    <w:rsid w:val="1F6132DC"/>
    <w:rsid w:val="1F662255"/>
    <w:rsid w:val="1F715206"/>
    <w:rsid w:val="1F72557D"/>
    <w:rsid w:val="1F770B28"/>
    <w:rsid w:val="1F7E2174"/>
    <w:rsid w:val="1F8370D2"/>
    <w:rsid w:val="1F882FF2"/>
    <w:rsid w:val="1F8B47E2"/>
    <w:rsid w:val="1F8D23B7"/>
    <w:rsid w:val="1F8E612F"/>
    <w:rsid w:val="1F9030FB"/>
    <w:rsid w:val="1F996FAD"/>
    <w:rsid w:val="1FA31BDA"/>
    <w:rsid w:val="1FA77683"/>
    <w:rsid w:val="1FAF67D1"/>
    <w:rsid w:val="1FB742B4"/>
    <w:rsid w:val="1FBD6461"/>
    <w:rsid w:val="1FC3402A"/>
    <w:rsid w:val="1FC41B50"/>
    <w:rsid w:val="1FC97167"/>
    <w:rsid w:val="1FD75D28"/>
    <w:rsid w:val="1FE073FF"/>
    <w:rsid w:val="1FE3352B"/>
    <w:rsid w:val="1FE50445"/>
    <w:rsid w:val="1FEC075C"/>
    <w:rsid w:val="200716C9"/>
    <w:rsid w:val="200B2F42"/>
    <w:rsid w:val="20104450"/>
    <w:rsid w:val="20104D96"/>
    <w:rsid w:val="20146634"/>
    <w:rsid w:val="201779E3"/>
    <w:rsid w:val="201E5705"/>
    <w:rsid w:val="20216FA3"/>
    <w:rsid w:val="202A40A9"/>
    <w:rsid w:val="203C5B8B"/>
    <w:rsid w:val="203D3616"/>
    <w:rsid w:val="204F6280"/>
    <w:rsid w:val="205D622D"/>
    <w:rsid w:val="207B1004"/>
    <w:rsid w:val="207D242B"/>
    <w:rsid w:val="208D63E6"/>
    <w:rsid w:val="20947775"/>
    <w:rsid w:val="209D5736"/>
    <w:rsid w:val="20A200E4"/>
    <w:rsid w:val="20A43E5C"/>
    <w:rsid w:val="20B3409F"/>
    <w:rsid w:val="20C06F38"/>
    <w:rsid w:val="20DB549E"/>
    <w:rsid w:val="20DF4E94"/>
    <w:rsid w:val="20E00C0C"/>
    <w:rsid w:val="20E23650"/>
    <w:rsid w:val="20E73D48"/>
    <w:rsid w:val="20E91E77"/>
    <w:rsid w:val="20F36B91"/>
    <w:rsid w:val="20F841A8"/>
    <w:rsid w:val="20F87D04"/>
    <w:rsid w:val="20FA3A7C"/>
    <w:rsid w:val="20FB77F4"/>
    <w:rsid w:val="20FF5536"/>
    <w:rsid w:val="21016D07"/>
    <w:rsid w:val="210865FD"/>
    <w:rsid w:val="210963B5"/>
    <w:rsid w:val="21156A1C"/>
    <w:rsid w:val="21177A19"/>
    <w:rsid w:val="211A411E"/>
    <w:rsid w:val="21294361"/>
    <w:rsid w:val="212E0352"/>
    <w:rsid w:val="212E0A02"/>
    <w:rsid w:val="21311468"/>
    <w:rsid w:val="21345B94"/>
    <w:rsid w:val="213D7E0C"/>
    <w:rsid w:val="21521B0A"/>
    <w:rsid w:val="21633F28"/>
    <w:rsid w:val="216E7C21"/>
    <w:rsid w:val="21780EA7"/>
    <w:rsid w:val="217D46AD"/>
    <w:rsid w:val="21871088"/>
    <w:rsid w:val="21A1039B"/>
    <w:rsid w:val="21A357D2"/>
    <w:rsid w:val="21A47E8B"/>
    <w:rsid w:val="21BC3427"/>
    <w:rsid w:val="21BC7EF3"/>
    <w:rsid w:val="21C347B6"/>
    <w:rsid w:val="21CA4341"/>
    <w:rsid w:val="21CA5B44"/>
    <w:rsid w:val="21CB0B38"/>
    <w:rsid w:val="21D10C1B"/>
    <w:rsid w:val="21D20555"/>
    <w:rsid w:val="21D82DC4"/>
    <w:rsid w:val="21D93F17"/>
    <w:rsid w:val="21DA62E0"/>
    <w:rsid w:val="21DA6C9A"/>
    <w:rsid w:val="21E309B4"/>
    <w:rsid w:val="21E62252"/>
    <w:rsid w:val="21EB7868"/>
    <w:rsid w:val="21ED07C1"/>
    <w:rsid w:val="22022A80"/>
    <w:rsid w:val="22031056"/>
    <w:rsid w:val="22097CEF"/>
    <w:rsid w:val="2210107D"/>
    <w:rsid w:val="22140B6D"/>
    <w:rsid w:val="221768AF"/>
    <w:rsid w:val="22196184"/>
    <w:rsid w:val="22372AAE"/>
    <w:rsid w:val="22386FDF"/>
    <w:rsid w:val="224445D9"/>
    <w:rsid w:val="224A458F"/>
    <w:rsid w:val="224F429B"/>
    <w:rsid w:val="225E44DE"/>
    <w:rsid w:val="226A69DF"/>
    <w:rsid w:val="22715FC0"/>
    <w:rsid w:val="22775051"/>
    <w:rsid w:val="227B0410"/>
    <w:rsid w:val="227F1CF3"/>
    <w:rsid w:val="2280357B"/>
    <w:rsid w:val="22873A35"/>
    <w:rsid w:val="22883309"/>
    <w:rsid w:val="228850B7"/>
    <w:rsid w:val="2297354C"/>
    <w:rsid w:val="22995516"/>
    <w:rsid w:val="229B128E"/>
    <w:rsid w:val="229B303C"/>
    <w:rsid w:val="22A243CB"/>
    <w:rsid w:val="22AD4B1E"/>
    <w:rsid w:val="22B440FE"/>
    <w:rsid w:val="22B83F08"/>
    <w:rsid w:val="22CE3412"/>
    <w:rsid w:val="22D30A28"/>
    <w:rsid w:val="22D36C7A"/>
    <w:rsid w:val="22DA1DB7"/>
    <w:rsid w:val="22DB168B"/>
    <w:rsid w:val="22DF73CD"/>
    <w:rsid w:val="22E16D14"/>
    <w:rsid w:val="22E32706"/>
    <w:rsid w:val="22F56BF1"/>
    <w:rsid w:val="22F66AEC"/>
    <w:rsid w:val="22F8223D"/>
    <w:rsid w:val="22FF35CB"/>
    <w:rsid w:val="23032DAC"/>
    <w:rsid w:val="23045086"/>
    <w:rsid w:val="23046E34"/>
    <w:rsid w:val="2305495A"/>
    <w:rsid w:val="2309269C"/>
    <w:rsid w:val="230E380E"/>
    <w:rsid w:val="231057D9"/>
    <w:rsid w:val="2316104C"/>
    <w:rsid w:val="23192E8B"/>
    <w:rsid w:val="231A6795"/>
    <w:rsid w:val="231E5EDF"/>
    <w:rsid w:val="232C38FC"/>
    <w:rsid w:val="2336619B"/>
    <w:rsid w:val="23425BAE"/>
    <w:rsid w:val="2342795C"/>
    <w:rsid w:val="23445482"/>
    <w:rsid w:val="234731C4"/>
    <w:rsid w:val="234C07DB"/>
    <w:rsid w:val="2355768F"/>
    <w:rsid w:val="2359588A"/>
    <w:rsid w:val="235A2EF8"/>
    <w:rsid w:val="235B27CC"/>
    <w:rsid w:val="23601CC6"/>
    <w:rsid w:val="23607DE2"/>
    <w:rsid w:val="23627FFE"/>
    <w:rsid w:val="236478D2"/>
    <w:rsid w:val="236A7975"/>
    <w:rsid w:val="23810484"/>
    <w:rsid w:val="23831EAA"/>
    <w:rsid w:val="238E2BA1"/>
    <w:rsid w:val="238F4A93"/>
    <w:rsid w:val="23955CDE"/>
    <w:rsid w:val="2397579E"/>
    <w:rsid w:val="239F090A"/>
    <w:rsid w:val="23A608CA"/>
    <w:rsid w:val="23B048C6"/>
    <w:rsid w:val="23BA1190"/>
    <w:rsid w:val="23C30A9D"/>
    <w:rsid w:val="23C6058D"/>
    <w:rsid w:val="23C640E9"/>
    <w:rsid w:val="23C71C0F"/>
    <w:rsid w:val="23C91E2B"/>
    <w:rsid w:val="23D34A58"/>
    <w:rsid w:val="23D9206E"/>
    <w:rsid w:val="23DA7B95"/>
    <w:rsid w:val="23EB7FF4"/>
    <w:rsid w:val="23ED5FB9"/>
    <w:rsid w:val="23F23130"/>
    <w:rsid w:val="23F549CE"/>
    <w:rsid w:val="23F5677C"/>
    <w:rsid w:val="23FA1FE5"/>
    <w:rsid w:val="23FC3A8F"/>
    <w:rsid w:val="23FE4F26"/>
    <w:rsid w:val="240014E6"/>
    <w:rsid w:val="24044C11"/>
    <w:rsid w:val="2406020D"/>
    <w:rsid w:val="240F7EDE"/>
    <w:rsid w:val="24101808"/>
    <w:rsid w:val="24172B97"/>
    <w:rsid w:val="24194B61"/>
    <w:rsid w:val="2423778D"/>
    <w:rsid w:val="242B6642"/>
    <w:rsid w:val="243048D2"/>
    <w:rsid w:val="24313600"/>
    <w:rsid w:val="243C43AB"/>
    <w:rsid w:val="244068CB"/>
    <w:rsid w:val="2455546D"/>
    <w:rsid w:val="24566D47"/>
    <w:rsid w:val="245C2C9F"/>
    <w:rsid w:val="246102B6"/>
    <w:rsid w:val="247022A7"/>
    <w:rsid w:val="247104F9"/>
    <w:rsid w:val="2474488E"/>
    <w:rsid w:val="24747FE9"/>
    <w:rsid w:val="247578BD"/>
    <w:rsid w:val="247B1377"/>
    <w:rsid w:val="24840100"/>
    <w:rsid w:val="24842422"/>
    <w:rsid w:val="24873190"/>
    <w:rsid w:val="248C55CE"/>
    <w:rsid w:val="248C73CA"/>
    <w:rsid w:val="248D4C07"/>
    <w:rsid w:val="248F4E23"/>
    <w:rsid w:val="2494342A"/>
    <w:rsid w:val="24954DA2"/>
    <w:rsid w:val="249C37CB"/>
    <w:rsid w:val="24A23F90"/>
    <w:rsid w:val="24B30003"/>
    <w:rsid w:val="24B35602"/>
    <w:rsid w:val="24B91EA0"/>
    <w:rsid w:val="24C22B02"/>
    <w:rsid w:val="24CF3471"/>
    <w:rsid w:val="24E231A5"/>
    <w:rsid w:val="24ED56A6"/>
    <w:rsid w:val="24F133E8"/>
    <w:rsid w:val="24F627AC"/>
    <w:rsid w:val="24FB6014"/>
    <w:rsid w:val="24FE5B05"/>
    <w:rsid w:val="24FF3D57"/>
    <w:rsid w:val="2500362B"/>
    <w:rsid w:val="25021151"/>
    <w:rsid w:val="250824DF"/>
    <w:rsid w:val="25090731"/>
    <w:rsid w:val="25097302"/>
    <w:rsid w:val="250A26FB"/>
    <w:rsid w:val="250A6257"/>
    <w:rsid w:val="250E5D48"/>
    <w:rsid w:val="25180974"/>
    <w:rsid w:val="251B0465"/>
    <w:rsid w:val="252159F9"/>
    <w:rsid w:val="25221FC4"/>
    <w:rsid w:val="25230B54"/>
    <w:rsid w:val="252C2926"/>
    <w:rsid w:val="25457290"/>
    <w:rsid w:val="254774AC"/>
    <w:rsid w:val="25493224"/>
    <w:rsid w:val="254D6E95"/>
    <w:rsid w:val="254E25E8"/>
    <w:rsid w:val="254E507A"/>
    <w:rsid w:val="25506360"/>
    <w:rsid w:val="255252CE"/>
    <w:rsid w:val="25525B4A"/>
    <w:rsid w:val="255A7EFB"/>
    <w:rsid w:val="255B3C04"/>
    <w:rsid w:val="256353F4"/>
    <w:rsid w:val="257858B7"/>
    <w:rsid w:val="25787665"/>
    <w:rsid w:val="257F09F3"/>
    <w:rsid w:val="25910727"/>
    <w:rsid w:val="25950E14"/>
    <w:rsid w:val="259721E1"/>
    <w:rsid w:val="25A8619C"/>
    <w:rsid w:val="25AB1549"/>
    <w:rsid w:val="25AE12D9"/>
    <w:rsid w:val="25B6018D"/>
    <w:rsid w:val="25C94365"/>
    <w:rsid w:val="25D23219"/>
    <w:rsid w:val="25D56865"/>
    <w:rsid w:val="25D845A8"/>
    <w:rsid w:val="25D86356"/>
    <w:rsid w:val="25D9546E"/>
    <w:rsid w:val="25E1520A"/>
    <w:rsid w:val="25E32F16"/>
    <w:rsid w:val="25E62821"/>
    <w:rsid w:val="25E96C9E"/>
    <w:rsid w:val="25F0544D"/>
    <w:rsid w:val="25F74A2E"/>
    <w:rsid w:val="2604714B"/>
    <w:rsid w:val="260B7449"/>
    <w:rsid w:val="261F08BF"/>
    <w:rsid w:val="262B0B7B"/>
    <w:rsid w:val="262D66A1"/>
    <w:rsid w:val="26303958"/>
    <w:rsid w:val="263118D3"/>
    <w:rsid w:val="26432F9D"/>
    <w:rsid w:val="264B7529"/>
    <w:rsid w:val="264F6618"/>
    <w:rsid w:val="266100F9"/>
    <w:rsid w:val="26644CF8"/>
    <w:rsid w:val="266A3452"/>
    <w:rsid w:val="266D2A5D"/>
    <w:rsid w:val="266D2F42"/>
    <w:rsid w:val="266D6A9E"/>
    <w:rsid w:val="26752E95"/>
    <w:rsid w:val="26753BA5"/>
    <w:rsid w:val="268169ED"/>
    <w:rsid w:val="269009DE"/>
    <w:rsid w:val="26993D37"/>
    <w:rsid w:val="269C7383"/>
    <w:rsid w:val="26A60202"/>
    <w:rsid w:val="26B74083"/>
    <w:rsid w:val="26B75BDF"/>
    <w:rsid w:val="26CA0394"/>
    <w:rsid w:val="26CA2142"/>
    <w:rsid w:val="26CD578F"/>
    <w:rsid w:val="26CF7759"/>
    <w:rsid w:val="26D42FC1"/>
    <w:rsid w:val="26D60AE7"/>
    <w:rsid w:val="26D94133"/>
    <w:rsid w:val="26DE174A"/>
    <w:rsid w:val="26E2748C"/>
    <w:rsid w:val="26E56F7C"/>
    <w:rsid w:val="26F10834"/>
    <w:rsid w:val="26F176CF"/>
    <w:rsid w:val="26F50EC7"/>
    <w:rsid w:val="27145C30"/>
    <w:rsid w:val="27196C26"/>
    <w:rsid w:val="27206206"/>
    <w:rsid w:val="272563B7"/>
    <w:rsid w:val="272659EC"/>
    <w:rsid w:val="27294A71"/>
    <w:rsid w:val="272A498F"/>
    <w:rsid w:val="272D447F"/>
    <w:rsid w:val="272E51EF"/>
    <w:rsid w:val="272F01F7"/>
    <w:rsid w:val="27313F6F"/>
    <w:rsid w:val="27337CE7"/>
    <w:rsid w:val="27363334"/>
    <w:rsid w:val="274C0DA9"/>
    <w:rsid w:val="275639D6"/>
    <w:rsid w:val="275B723E"/>
    <w:rsid w:val="2769195B"/>
    <w:rsid w:val="276C31F9"/>
    <w:rsid w:val="276E0D20"/>
    <w:rsid w:val="27715C8F"/>
    <w:rsid w:val="27754992"/>
    <w:rsid w:val="27843B07"/>
    <w:rsid w:val="2786250D"/>
    <w:rsid w:val="27865D44"/>
    <w:rsid w:val="278C45CD"/>
    <w:rsid w:val="2790513A"/>
    <w:rsid w:val="27931A7C"/>
    <w:rsid w:val="279A1B15"/>
    <w:rsid w:val="27A02EA3"/>
    <w:rsid w:val="27A40BE5"/>
    <w:rsid w:val="27A94085"/>
    <w:rsid w:val="27AA4BD2"/>
    <w:rsid w:val="27AF2660"/>
    <w:rsid w:val="27DF1C1D"/>
    <w:rsid w:val="27E86D24"/>
    <w:rsid w:val="27E92A9C"/>
    <w:rsid w:val="280451E0"/>
    <w:rsid w:val="28096C9A"/>
    <w:rsid w:val="280B656E"/>
    <w:rsid w:val="28222B9B"/>
    <w:rsid w:val="2826784C"/>
    <w:rsid w:val="282D2989"/>
    <w:rsid w:val="28427225"/>
    <w:rsid w:val="28461C9C"/>
    <w:rsid w:val="28472DB9"/>
    <w:rsid w:val="28506677"/>
    <w:rsid w:val="2853435A"/>
    <w:rsid w:val="285443B9"/>
    <w:rsid w:val="285D2B42"/>
    <w:rsid w:val="286645A1"/>
    <w:rsid w:val="286E175B"/>
    <w:rsid w:val="286E33A7"/>
    <w:rsid w:val="287F390C"/>
    <w:rsid w:val="2891635B"/>
    <w:rsid w:val="289724F8"/>
    <w:rsid w:val="289F315B"/>
    <w:rsid w:val="28A864B3"/>
    <w:rsid w:val="28AA3FD9"/>
    <w:rsid w:val="28B63E85"/>
    <w:rsid w:val="28BE5CD7"/>
    <w:rsid w:val="28BF2A31"/>
    <w:rsid w:val="28D076AE"/>
    <w:rsid w:val="28D42E04"/>
    <w:rsid w:val="28D56B7C"/>
    <w:rsid w:val="28DA4193"/>
    <w:rsid w:val="28E50522"/>
    <w:rsid w:val="28E868B0"/>
    <w:rsid w:val="28EA087A"/>
    <w:rsid w:val="28EE70DF"/>
    <w:rsid w:val="28EF5E6A"/>
    <w:rsid w:val="28F87856"/>
    <w:rsid w:val="29001E4B"/>
    <w:rsid w:val="29112ED9"/>
    <w:rsid w:val="291710CD"/>
    <w:rsid w:val="291B0A33"/>
    <w:rsid w:val="292D2732"/>
    <w:rsid w:val="29350390"/>
    <w:rsid w:val="293715E5"/>
    <w:rsid w:val="2939710B"/>
    <w:rsid w:val="2940493E"/>
    <w:rsid w:val="294755E4"/>
    <w:rsid w:val="294E705B"/>
    <w:rsid w:val="294F4B81"/>
    <w:rsid w:val="29596454"/>
    <w:rsid w:val="295E6B72"/>
    <w:rsid w:val="295F349E"/>
    <w:rsid w:val="296022B4"/>
    <w:rsid w:val="296C74E1"/>
    <w:rsid w:val="29714AF7"/>
    <w:rsid w:val="29727881"/>
    <w:rsid w:val="29767D09"/>
    <w:rsid w:val="297B4378"/>
    <w:rsid w:val="298505A2"/>
    <w:rsid w:val="2988390E"/>
    <w:rsid w:val="298C1931"/>
    <w:rsid w:val="29934A6D"/>
    <w:rsid w:val="2999255A"/>
    <w:rsid w:val="29A7453D"/>
    <w:rsid w:val="29A900F9"/>
    <w:rsid w:val="29A94291"/>
    <w:rsid w:val="29AB6D7D"/>
    <w:rsid w:val="29AD7EF3"/>
    <w:rsid w:val="29BA46F0"/>
    <w:rsid w:val="29BC3621"/>
    <w:rsid w:val="29BD5F8E"/>
    <w:rsid w:val="29C25353"/>
    <w:rsid w:val="29D15596"/>
    <w:rsid w:val="29D357B2"/>
    <w:rsid w:val="29D4087C"/>
    <w:rsid w:val="29D515FB"/>
    <w:rsid w:val="29D86924"/>
    <w:rsid w:val="29DD78B7"/>
    <w:rsid w:val="29E47DD1"/>
    <w:rsid w:val="29E950C0"/>
    <w:rsid w:val="29E965C4"/>
    <w:rsid w:val="29EB7A06"/>
    <w:rsid w:val="29EC6231"/>
    <w:rsid w:val="29F97B45"/>
    <w:rsid w:val="29FE3744"/>
    <w:rsid w:val="2A047719"/>
    <w:rsid w:val="2A0C4820"/>
    <w:rsid w:val="2A0F631D"/>
    <w:rsid w:val="2A15272F"/>
    <w:rsid w:val="2A157B78"/>
    <w:rsid w:val="2A1738F0"/>
    <w:rsid w:val="2A1A0CEB"/>
    <w:rsid w:val="2A2F05EA"/>
    <w:rsid w:val="2A3049B2"/>
    <w:rsid w:val="2A32072A"/>
    <w:rsid w:val="2A346694"/>
    <w:rsid w:val="2A3C54A4"/>
    <w:rsid w:val="2A420242"/>
    <w:rsid w:val="2A47059E"/>
    <w:rsid w:val="2A495A74"/>
    <w:rsid w:val="2A5306A1"/>
    <w:rsid w:val="2A5561C7"/>
    <w:rsid w:val="2A5A558B"/>
    <w:rsid w:val="2A5D507B"/>
    <w:rsid w:val="2A5F0DF4"/>
    <w:rsid w:val="2A693576"/>
    <w:rsid w:val="2A7644AA"/>
    <w:rsid w:val="2A7D127A"/>
    <w:rsid w:val="2A7D1EFE"/>
    <w:rsid w:val="2A834AE2"/>
    <w:rsid w:val="2A944F41"/>
    <w:rsid w:val="2A994305"/>
    <w:rsid w:val="2A997F02"/>
    <w:rsid w:val="2A9D36CA"/>
    <w:rsid w:val="2AA1765E"/>
    <w:rsid w:val="2AA35184"/>
    <w:rsid w:val="2AB00EBB"/>
    <w:rsid w:val="2ABB0720"/>
    <w:rsid w:val="2AC5334C"/>
    <w:rsid w:val="2ACB6489"/>
    <w:rsid w:val="2ACD0453"/>
    <w:rsid w:val="2AE5579D"/>
    <w:rsid w:val="2AE61085"/>
    <w:rsid w:val="2AE76B06"/>
    <w:rsid w:val="2AEA4B61"/>
    <w:rsid w:val="2AF23A16"/>
    <w:rsid w:val="2AF459E0"/>
    <w:rsid w:val="2B057BED"/>
    <w:rsid w:val="2B0776C7"/>
    <w:rsid w:val="2B0C0F7B"/>
    <w:rsid w:val="2B110B5E"/>
    <w:rsid w:val="2B165956"/>
    <w:rsid w:val="2B1C4F36"/>
    <w:rsid w:val="2B1E0CAF"/>
    <w:rsid w:val="2B2A7653"/>
    <w:rsid w:val="2B2C33CC"/>
    <w:rsid w:val="2B2E6D06"/>
    <w:rsid w:val="2B2F353C"/>
    <w:rsid w:val="2B34402E"/>
    <w:rsid w:val="2B345DDC"/>
    <w:rsid w:val="2B3C1135"/>
    <w:rsid w:val="2B425766"/>
    <w:rsid w:val="2B434271"/>
    <w:rsid w:val="2B4D50F0"/>
    <w:rsid w:val="2B667F60"/>
    <w:rsid w:val="2B6D46A2"/>
    <w:rsid w:val="2B7065D7"/>
    <w:rsid w:val="2B8152F7"/>
    <w:rsid w:val="2B833818"/>
    <w:rsid w:val="2B877D7D"/>
    <w:rsid w:val="2B8C5C18"/>
    <w:rsid w:val="2B911481"/>
    <w:rsid w:val="2BA016C4"/>
    <w:rsid w:val="2BA32F62"/>
    <w:rsid w:val="2BAE2033"/>
    <w:rsid w:val="2BAF25B9"/>
    <w:rsid w:val="2BBA6BD4"/>
    <w:rsid w:val="2BBF786D"/>
    <w:rsid w:val="2BCF1FA9"/>
    <w:rsid w:val="2BD15D21"/>
    <w:rsid w:val="2BE958BD"/>
    <w:rsid w:val="2C1874AC"/>
    <w:rsid w:val="2C1D6C42"/>
    <w:rsid w:val="2C2220D9"/>
    <w:rsid w:val="2C24115C"/>
    <w:rsid w:val="2C2C2F57"/>
    <w:rsid w:val="2C35005E"/>
    <w:rsid w:val="2C3D5164"/>
    <w:rsid w:val="2C4B162F"/>
    <w:rsid w:val="2C505F9C"/>
    <w:rsid w:val="2C5A7AC4"/>
    <w:rsid w:val="2C6170A5"/>
    <w:rsid w:val="2C69656A"/>
    <w:rsid w:val="2C6E531E"/>
    <w:rsid w:val="2C70332B"/>
    <w:rsid w:val="2C74243D"/>
    <w:rsid w:val="2C7C7A3B"/>
    <w:rsid w:val="2C7D4FE4"/>
    <w:rsid w:val="2C7F39CF"/>
    <w:rsid w:val="2C815051"/>
    <w:rsid w:val="2C866B0B"/>
    <w:rsid w:val="2C920A51"/>
    <w:rsid w:val="2C931228"/>
    <w:rsid w:val="2CA13945"/>
    <w:rsid w:val="2CA878F5"/>
    <w:rsid w:val="2CAA3C3C"/>
    <w:rsid w:val="2CBB4661"/>
    <w:rsid w:val="2CBD0053"/>
    <w:rsid w:val="2CBF6E23"/>
    <w:rsid w:val="2CC17B44"/>
    <w:rsid w:val="2CCA2E9C"/>
    <w:rsid w:val="2CD92092"/>
    <w:rsid w:val="2CDA6E57"/>
    <w:rsid w:val="2CE83322"/>
    <w:rsid w:val="2CE850D0"/>
    <w:rsid w:val="2CF241A1"/>
    <w:rsid w:val="2CF25F4F"/>
    <w:rsid w:val="2CF42E43"/>
    <w:rsid w:val="2CF65402"/>
    <w:rsid w:val="2CF9108B"/>
    <w:rsid w:val="2CFA4E04"/>
    <w:rsid w:val="2D067C4C"/>
    <w:rsid w:val="2D0B5263"/>
    <w:rsid w:val="2D256324"/>
    <w:rsid w:val="2D26209C"/>
    <w:rsid w:val="2D314CC9"/>
    <w:rsid w:val="2D320A41"/>
    <w:rsid w:val="2D3E2F42"/>
    <w:rsid w:val="2D46629B"/>
    <w:rsid w:val="2D5664DE"/>
    <w:rsid w:val="2D5C5ABE"/>
    <w:rsid w:val="2D7B5F44"/>
    <w:rsid w:val="2D811081"/>
    <w:rsid w:val="2D865769"/>
    <w:rsid w:val="2D9102EF"/>
    <w:rsid w:val="2D934CD2"/>
    <w:rsid w:val="2DA76D39"/>
    <w:rsid w:val="2DB0374C"/>
    <w:rsid w:val="2DB11966"/>
    <w:rsid w:val="2DC45B3D"/>
    <w:rsid w:val="2DCE2518"/>
    <w:rsid w:val="2DCF003E"/>
    <w:rsid w:val="2DD17649"/>
    <w:rsid w:val="2DD378BF"/>
    <w:rsid w:val="2DD613CD"/>
    <w:rsid w:val="2DDB2E87"/>
    <w:rsid w:val="2DDC3961"/>
    <w:rsid w:val="2DEC6E42"/>
    <w:rsid w:val="2DF87595"/>
    <w:rsid w:val="2DFA7D57"/>
    <w:rsid w:val="2DFD4BAB"/>
    <w:rsid w:val="2E0334BD"/>
    <w:rsid w:val="2E0E500A"/>
    <w:rsid w:val="2E141EF5"/>
    <w:rsid w:val="2E153CC3"/>
    <w:rsid w:val="2E1F0FC6"/>
    <w:rsid w:val="2E24038A"/>
    <w:rsid w:val="2E254E85"/>
    <w:rsid w:val="2E2E2FB7"/>
    <w:rsid w:val="2E400F3C"/>
    <w:rsid w:val="2E514EF7"/>
    <w:rsid w:val="2E5172B2"/>
    <w:rsid w:val="2E586286"/>
    <w:rsid w:val="2E69227F"/>
    <w:rsid w:val="2E7035CF"/>
    <w:rsid w:val="2E7B1F74"/>
    <w:rsid w:val="2E7D6EDD"/>
    <w:rsid w:val="2E884476"/>
    <w:rsid w:val="2E8B665B"/>
    <w:rsid w:val="2E9077CD"/>
    <w:rsid w:val="2E921798"/>
    <w:rsid w:val="2E9655E6"/>
    <w:rsid w:val="2EA17C2D"/>
    <w:rsid w:val="2EAB4607"/>
    <w:rsid w:val="2EAC257E"/>
    <w:rsid w:val="2EBB5196"/>
    <w:rsid w:val="2EC15BD9"/>
    <w:rsid w:val="2EC851B9"/>
    <w:rsid w:val="2EC9236B"/>
    <w:rsid w:val="2EC964E4"/>
    <w:rsid w:val="2ECE6548"/>
    <w:rsid w:val="2ED03642"/>
    <w:rsid w:val="2ED7364E"/>
    <w:rsid w:val="2EDA071F"/>
    <w:rsid w:val="2EDD678B"/>
    <w:rsid w:val="2EDD74A8"/>
    <w:rsid w:val="2EE143F1"/>
    <w:rsid w:val="2EE31FF3"/>
    <w:rsid w:val="2EE95130"/>
    <w:rsid w:val="2EED1543"/>
    <w:rsid w:val="2EF15D2F"/>
    <w:rsid w:val="2EF53D37"/>
    <w:rsid w:val="2EF57F78"/>
    <w:rsid w:val="2EF75A9F"/>
    <w:rsid w:val="2EF7784D"/>
    <w:rsid w:val="2F097580"/>
    <w:rsid w:val="2F0E4B96"/>
    <w:rsid w:val="2F0F104A"/>
    <w:rsid w:val="2F106B60"/>
    <w:rsid w:val="2F151B80"/>
    <w:rsid w:val="2F1877C3"/>
    <w:rsid w:val="2F195A15"/>
    <w:rsid w:val="2F1F0B51"/>
    <w:rsid w:val="2F236894"/>
    <w:rsid w:val="2F2C09F8"/>
    <w:rsid w:val="2F302D5E"/>
    <w:rsid w:val="2F45680A"/>
    <w:rsid w:val="2F4D56BE"/>
    <w:rsid w:val="2F505ADC"/>
    <w:rsid w:val="2F542EF1"/>
    <w:rsid w:val="2F546A4D"/>
    <w:rsid w:val="2F591D0B"/>
    <w:rsid w:val="2F5F53F2"/>
    <w:rsid w:val="2F631386"/>
    <w:rsid w:val="2F68074A"/>
    <w:rsid w:val="2F753E46"/>
    <w:rsid w:val="2F791392"/>
    <w:rsid w:val="2F8D01B1"/>
    <w:rsid w:val="2F9F6DB0"/>
    <w:rsid w:val="2FA80437"/>
    <w:rsid w:val="2FA849E7"/>
    <w:rsid w:val="2FAF1ED5"/>
    <w:rsid w:val="2FB744F3"/>
    <w:rsid w:val="2FB83480"/>
    <w:rsid w:val="2FBB6ACC"/>
    <w:rsid w:val="2FCC2A87"/>
    <w:rsid w:val="2FCF07C9"/>
    <w:rsid w:val="2FD47B8E"/>
    <w:rsid w:val="2FD83324"/>
    <w:rsid w:val="2FDB5352"/>
    <w:rsid w:val="2FE14059"/>
    <w:rsid w:val="2FE51D9B"/>
    <w:rsid w:val="2FE53B49"/>
    <w:rsid w:val="2FEA115F"/>
    <w:rsid w:val="2FF26266"/>
    <w:rsid w:val="2FFD6A0A"/>
    <w:rsid w:val="2FFE2E5D"/>
    <w:rsid w:val="30006BD5"/>
    <w:rsid w:val="300103D3"/>
    <w:rsid w:val="300246FB"/>
    <w:rsid w:val="300A7A53"/>
    <w:rsid w:val="30134B5A"/>
    <w:rsid w:val="301D7787"/>
    <w:rsid w:val="30224D9D"/>
    <w:rsid w:val="303074BA"/>
    <w:rsid w:val="30316D8E"/>
    <w:rsid w:val="3038011D"/>
    <w:rsid w:val="30444D13"/>
    <w:rsid w:val="304B054C"/>
    <w:rsid w:val="3050190A"/>
    <w:rsid w:val="306113B2"/>
    <w:rsid w:val="308120F1"/>
    <w:rsid w:val="30816709"/>
    <w:rsid w:val="30850E88"/>
    <w:rsid w:val="308A649E"/>
    <w:rsid w:val="309C4B4F"/>
    <w:rsid w:val="30A9101A"/>
    <w:rsid w:val="30CE6CD3"/>
    <w:rsid w:val="30E20088"/>
    <w:rsid w:val="30E241D3"/>
    <w:rsid w:val="30F47EBB"/>
    <w:rsid w:val="30FC114A"/>
    <w:rsid w:val="31003685"/>
    <w:rsid w:val="31061FC9"/>
    <w:rsid w:val="31077AEF"/>
    <w:rsid w:val="310821E5"/>
    <w:rsid w:val="31102E48"/>
    <w:rsid w:val="3115220C"/>
    <w:rsid w:val="311961A0"/>
    <w:rsid w:val="311E5564"/>
    <w:rsid w:val="3123746B"/>
    <w:rsid w:val="31254094"/>
    <w:rsid w:val="3128447F"/>
    <w:rsid w:val="312879B9"/>
    <w:rsid w:val="312C50B5"/>
    <w:rsid w:val="312D39F9"/>
    <w:rsid w:val="313A2A33"/>
    <w:rsid w:val="314471AC"/>
    <w:rsid w:val="314C36CA"/>
    <w:rsid w:val="31547F98"/>
    <w:rsid w:val="31611191"/>
    <w:rsid w:val="316D2048"/>
    <w:rsid w:val="316D3333"/>
    <w:rsid w:val="31786BA7"/>
    <w:rsid w:val="3180446B"/>
    <w:rsid w:val="318B2FF0"/>
    <w:rsid w:val="318B3AD3"/>
    <w:rsid w:val="318B7345"/>
    <w:rsid w:val="31905D36"/>
    <w:rsid w:val="319677F1"/>
    <w:rsid w:val="31975317"/>
    <w:rsid w:val="31992A4A"/>
    <w:rsid w:val="31A35A6A"/>
    <w:rsid w:val="31AD0696"/>
    <w:rsid w:val="31B561F8"/>
    <w:rsid w:val="31BF1CD3"/>
    <w:rsid w:val="31C1235B"/>
    <w:rsid w:val="31C854D0"/>
    <w:rsid w:val="31CD01BC"/>
    <w:rsid w:val="31E7048C"/>
    <w:rsid w:val="31EB11BF"/>
    <w:rsid w:val="31ED4F37"/>
    <w:rsid w:val="31EF2C2D"/>
    <w:rsid w:val="31F462C5"/>
    <w:rsid w:val="31F60E1F"/>
    <w:rsid w:val="31F8639A"/>
    <w:rsid w:val="32002EBC"/>
    <w:rsid w:val="3203475A"/>
    <w:rsid w:val="32087FC3"/>
    <w:rsid w:val="32096215"/>
    <w:rsid w:val="321655E5"/>
    <w:rsid w:val="3216623C"/>
    <w:rsid w:val="321921D0"/>
    <w:rsid w:val="322070BA"/>
    <w:rsid w:val="322323EC"/>
    <w:rsid w:val="32241A96"/>
    <w:rsid w:val="32243910"/>
    <w:rsid w:val="322841C1"/>
    <w:rsid w:val="322A5784"/>
    <w:rsid w:val="32342B66"/>
    <w:rsid w:val="32430FFB"/>
    <w:rsid w:val="325706C5"/>
    <w:rsid w:val="325B6344"/>
    <w:rsid w:val="326E3016"/>
    <w:rsid w:val="326F1DF0"/>
    <w:rsid w:val="32717916"/>
    <w:rsid w:val="327318E0"/>
    <w:rsid w:val="32755658"/>
    <w:rsid w:val="32762368"/>
    <w:rsid w:val="327939E1"/>
    <w:rsid w:val="32794A1C"/>
    <w:rsid w:val="32805DAB"/>
    <w:rsid w:val="3281224F"/>
    <w:rsid w:val="32870EE7"/>
    <w:rsid w:val="328F5DAF"/>
    <w:rsid w:val="329655CE"/>
    <w:rsid w:val="329830F5"/>
    <w:rsid w:val="329A6E6D"/>
    <w:rsid w:val="32A93554"/>
    <w:rsid w:val="32AA29C1"/>
    <w:rsid w:val="32AE0307"/>
    <w:rsid w:val="32B05ACE"/>
    <w:rsid w:val="32B141B6"/>
    <w:rsid w:val="32B36180"/>
    <w:rsid w:val="32B902C1"/>
    <w:rsid w:val="32BD2B5B"/>
    <w:rsid w:val="32C02CCB"/>
    <w:rsid w:val="32C33691"/>
    <w:rsid w:val="32D0288E"/>
    <w:rsid w:val="32D124B1"/>
    <w:rsid w:val="32D479AD"/>
    <w:rsid w:val="32DA06A8"/>
    <w:rsid w:val="32DA156F"/>
    <w:rsid w:val="32E12CEE"/>
    <w:rsid w:val="32EE71B8"/>
    <w:rsid w:val="32F26CA9"/>
    <w:rsid w:val="32F81DE5"/>
    <w:rsid w:val="32FA790B"/>
    <w:rsid w:val="33072028"/>
    <w:rsid w:val="33105381"/>
    <w:rsid w:val="331D184C"/>
    <w:rsid w:val="331F036E"/>
    <w:rsid w:val="3321133C"/>
    <w:rsid w:val="33282AD3"/>
    <w:rsid w:val="33294694"/>
    <w:rsid w:val="333170A5"/>
    <w:rsid w:val="33356269"/>
    <w:rsid w:val="33380434"/>
    <w:rsid w:val="333C7C44"/>
    <w:rsid w:val="333F54D6"/>
    <w:rsid w:val="33506B81"/>
    <w:rsid w:val="33572FB0"/>
    <w:rsid w:val="33582884"/>
    <w:rsid w:val="335B678B"/>
    <w:rsid w:val="335E433E"/>
    <w:rsid w:val="336456CD"/>
    <w:rsid w:val="336550C8"/>
    <w:rsid w:val="33684485"/>
    <w:rsid w:val="336B25B7"/>
    <w:rsid w:val="33745910"/>
    <w:rsid w:val="337B4EF0"/>
    <w:rsid w:val="337E22EA"/>
    <w:rsid w:val="3381002D"/>
    <w:rsid w:val="33884F17"/>
    <w:rsid w:val="33A03FFF"/>
    <w:rsid w:val="33AF7717"/>
    <w:rsid w:val="33B45D0C"/>
    <w:rsid w:val="33BC72B7"/>
    <w:rsid w:val="33C10484"/>
    <w:rsid w:val="33D75E9F"/>
    <w:rsid w:val="33D95773"/>
    <w:rsid w:val="33E04D53"/>
    <w:rsid w:val="33E04F92"/>
    <w:rsid w:val="33E759B9"/>
    <w:rsid w:val="33EA2CB1"/>
    <w:rsid w:val="33F22CD8"/>
    <w:rsid w:val="33F64577"/>
    <w:rsid w:val="33FE167D"/>
    <w:rsid w:val="340547BA"/>
    <w:rsid w:val="34120C85"/>
    <w:rsid w:val="341921A1"/>
    <w:rsid w:val="341B3FDD"/>
    <w:rsid w:val="341C4349"/>
    <w:rsid w:val="342515D6"/>
    <w:rsid w:val="34263F8B"/>
    <w:rsid w:val="342E1F62"/>
    <w:rsid w:val="34367069"/>
    <w:rsid w:val="343969A2"/>
    <w:rsid w:val="343D03F7"/>
    <w:rsid w:val="344305FF"/>
    <w:rsid w:val="344F3C87"/>
    <w:rsid w:val="34515C51"/>
    <w:rsid w:val="345D2848"/>
    <w:rsid w:val="34605E94"/>
    <w:rsid w:val="34675474"/>
    <w:rsid w:val="346C4839"/>
    <w:rsid w:val="34767465"/>
    <w:rsid w:val="347B0F20"/>
    <w:rsid w:val="347D25A2"/>
    <w:rsid w:val="34800479"/>
    <w:rsid w:val="34825E0A"/>
    <w:rsid w:val="348516E5"/>
    <w:rsid w:val="348F49B4"/>
    <w:rsid w:val="349873DC"/>
    <w:rsid w:val="349A75F8"/>
    <w:rsid w:val="349E076A"/>
    <w:rsid w:val="34A044E2"/>
    <w:rsid w:val="34A74FD1"/>
    <w:rsid w:val="34B65AB4"/>
    <w:rsid w:val="34BA1A48"/>
    <w:rsid w:val="34BA48A7"/>
    <w:rsid w:val="34BD5094"/>
    <w:rsid w:val="34C87EF9"/>
    <w:rsid w:val="34CC28BA"/>
    <w:rsid w:val="34D50630"/>
    <w:rsid w:val="34DB376C"/>
    <w:rsid w:val="34E16FD5"/>
    <w:rsid w:val="34E50F29"/>
    <w:rsid w:val="34E940DB"/>
    <w:rsid w:val="34E963C3"/>
    <w:rsid w:val="34F152D1"/>
    <w:rsid w:val="34F211E2"/>
    <w:rsid w:val="34F36D08"/>
    <w:rsid w:val="34F565DC"/>
    <w:rsid w:val="350A0F23"/>
    <w:rsid w:val="351334AE"/>
    <w:rsid w:val="3518676F"/>
    <w:rsid w:val="351A4295"/>
    <w:rsid w:val="352670DE"/>
    <w:rsid w:val="35331C12"/>
    <w:rsid w:val="35365839"/>
    <w:rsid w:val="35494B7A"/>
    <w:rsid w:val="354B26A0"/>
    <w:rsid w:val="3550415A"/>
    <w:rsid w:val="35584717"/>
    <w:rsid w:val="355A6D87"/>
    <w:rsid w:val="355C2AFF"/>
    <w:rsid w:val="35612524"/>
    <w:rsid w:val="356A6E7A"/>
    <w:rsid w:val="356D523C"/>
    <w:rsid w:val="357317D4"/>
    <w:rsid w:val="35773495"/>
    <w:rsid w:val="357A2F85"/>
    <w:rsid w:val="358825FB"/>
    <w:rsid w:val="35906305"/>
    <w:rsid w:val="35987BE1"/>
    <w:rsid w:val="359C2EFC"/>
    <w:rsid w:val="359E4EC6"/>
    <w:rsid w:val="35A836E8"/>
    <w:rsid w:val="35C91817"/>
    <w:rsid w:val="35D00DF7"/>
    <w:rsid w:val="35D2691D"/>
    <w:rsid w:val="35D77831"/>
    <w:rsid w:val="35E13004"/>
    <w:rsid w:val="35E24AC3"/>
    <w:rsid w:val="35F375EE"/>
    <w:rsid w:val="35F920FC"/>
    <w:rsid w:val="360311CD"/>
    <w:rsid w:val="36034D29"/>
    <w:rsid w:val="36062A6B"/>
    <w:rsid w:val="36074868"/>
    <w:rsid w:val="360A60B7"/>
    <w:rsid w:val="36121410"/>
    <w:rsid w:val="36145188"/>
    <w:rsid w:val="3619454C"/>
    <w:rsid w:val="361A4557"/>
    <w:rsid w:val="361C228F"/>
    <w:rsid w:val="36226D73"/>
    <w:rsid w:val="36264817"/>
    <w:rsid w:val="36315D3A"/>
    <w:rsid w:val="363772B5"/>
    <w:rsid w:val="364315C9"/>
    <w:rsid w:val="36454756"/>
    <w:rsid w:val="3647730B"/>
    <w:rsid w:val="36486BE0"/>
    <w:rsid w:val="364F4412"/>
    <w:rsid w:val="36525CB0"/>
    <w:rsid w:val="36565279"/>
    <w:rsid w:val="36636D76"/>
    <w:rsid w:val="36685055"/>
    <w:rsid w:val="366F4442"/>
    <w:rsid w:val="367A503A"/>
    <w:rsid w:val="36835E6A"/>
    <w:rsid w:val="36875A4D"/>
    <w:rsid w:val="36914A2B"/>
    <w:rsid w:val="369260AD"/>
    <w:rsid w:val="36941E25"/>
    <w:rsid w:val="369938DF"/>
    <w:rsid w:val="36A209E6"/>
    <w:rsid w:val="36A4475E"/>
    <w:rsid w:val="36B66A51"/>
    <w:rsid w:val="36B81FB7"/>
    <w:rsid w:val="36C56482"/>
    <w:rsid w:val="36CA6C0A"/>
    <w:rsid w:val="36D50A58"/>
    <w:rsid w:val="36D861B6"/>
    <w:rsid w:val="36E20DE2"/>
    <w:rsid w:val="36F079A3"/>
    <w:rsid w:val="36F3166E"/>
    <w:rsid w:val="36FB1EA4"/>
    <w:rsid w:val="37052D23"/>
    <w:rsid w:val="37076A9B"/>
    <w:rsid w:val="370B18C5"/>
    <w:rsid w:val="370F76FD"/>
    <w:rsid w:val="37104E51"/>
    <w:rsid w:val="371A057C"/>
    <w:rsid w:val="371B2546"/>
    <w:rsid w:val="37225683"/>
    <w:rsid w:val="37270EEB"/>
    <w:rsid w:val="37286254"/>
    <w:rsid w:val="373158C6"/>
    <w:rsid w:val="37357164"/>
    <w:rsid w:val="375A4E1C"/>
    <w:rsid w:val="375F68D7"/>
    <w:rsid w:val="375F7B52"/>
    <w:rsid w:val="37607F59"/>
    <w:rsid w:val="37621F23"/>
    <w:rsid w:val="37645C9B"/>
    <w:rsid w:val="37667C65"/>
    <w:rsid w:val="378E4AC6"/>
    <w:rsid w:val="37922808"/>
    <w:rsid w:val="379D2F5B"/>
    <w:rsid w:val="37A46BC5"/>
    <w:rsid w:val="37A8202C"/>
    <w:rsid w:val="37B06454"/>
    <w:rsid w:val="37C04391"/>
    <w:rsid w:val="37C406D5"/>
    <w:rsid w:val="37DC1CD5"/>
    <w:rsid w:val="37E961A0"/>
    <w:rsid w:val="37EA1B02"/>
    <w:rsid w:val="37EF3D65"/>
    <w:rsid w:val="37F60820"/>
    <w:rsid w:val="37F81662"/>
    <w:rsid w:val="37F963E3"/>
    <w:rsid w:val="37FE68D1"/>
    <w:rsid w:val="38000ECC"/>
    <w:rsid w:val="380A05F1"/>
    <w:rsid w:val="380C5011"/>
    <w:rsid w:val="38107BD1"/>
    <w:rsid w:val="381617E6"/>
    <w:rsid w:val="382F0057"/>
    <w:rsid w:val="38481119"/>
    <w:rsid w:val="3851621F"/>
    <w:rsid w:val="38612695"/>
    <w:rsid w:val="38624A88"/>
    <w:rsid w:val="386817BB"/>
    <w:rsid w:val="386F66A6"/>
    <w:rsid w:val="3872711A"/>
    <w:rsid w:val="38883C0B"/>
    <w:rsid w:val="388A7983"/>
    <w:rsid w:val="388B2A90"/>
    <w:rsid w:val="389E342F"/>
    <w:rsid w:val="38A24D0B"/>
    <w:rsid w:val="38A253C1"/>
    <w:rsid w:val="38AC5B4C"/>
    <w:rsid w:val="38B47F0D"/>
    <w:rsid w:val="38B92017"/>
    <w:rsid w:val="38BD38B5"/>
    <w:rsid w:val="38D26C34"/>
    <w:rsid w:val="38D8249D"/>
    <w:rsid w:val="38DD22F9"/>
    <w:rsid w:val="38E2156D"/>
    <w:rsid w:val="38E2331B"/>
    <w:rsid w:val="38E9210C"/>
    <w:rsid w:val="38EC5F48"/>
    <w:rsid w:val="38F4304F"/>
    <w:rsid w:val="38FB2132"/>
    <w:rsid w:val="3902751A"/>
    <w:rsid w:val="390A63CE"/>
    <w:rsid w:val="39102F16"/>
    <w:rsid w:val="39194863"/>
    <w:rsid w:val="391D4354"/>
    <w:rsid w:val="39243934"/>
    <w:rsid w:val="392B74A9"/>
    <w:rsid w:val="392C27E9"/>
    <w:rsid w:val="393002D4"/>
    <w:rsid w:val="39326ABB"/>
    <w:rsid w:val="39381813"/>
    <w:rsid w:val="394144E6"/>
    <w:rsid w:val="39495149"/>
    <w:rsid w:val="394E275F"/>
    <w:rsid w:val="395104A1"/>
    <w:rsid w:val="395A55A8"/>
    <w:rsid w:val="396C52DB"/>
    <w:rsid w:val="396E4BAF"/>
    <w:rsid w:val="396F4183"/>
    <w:rsid w:val="3970467F"/>
    <w:rsid w:val="39736669"/>
    <w:rsid w:val="39755F3E"/>
    <w:rsid w:val="398048E2"/>
    <w:rsid w:val="3982065B"/>
    <w:rsid w:val="39842625"/>
    <w:rsid w:val="39861EF9"/>
    <w:rsid w:val="398B750F"/>
    <w:rsid w:val="3995038E"/>
    <w:rsid w:val="399B34CA"/>
    <w:rsid w:val="39A20CFD"/>
    <w:rsid w:val="39A8781A"/>
    <w:rsid w:val="39AF5291"/>
    <w:rsid w:val="39B12CEE"/>
    <w:rsid w:val="39CE38A0"/>
    <w:rsid w:val="39D709A6"/>
    <w:rsid w:val="39DB57EC"/>
    <w:rsid w:val="39E430C3"/>
    <w:rsid w:val="39F1151D"/>
    <w:rsid w:val="39F5350A"/>
    <w:rsid w:val="39F552D0"/>
    <w:rsid w:val="39F57D45"/>
    <w:rsid w:val="39FF4EB5"/>
    <w:rsid w:val="3A06128C"/>
    <w:rsid w:val="3A0D43C8"/>
    <w:rsid w:val="3A0D7B6D"/>
    <w:rsid w:val="3A0E1EEE"/>
    <w:rsid w:val="3A100F82"/>
    <w:rsid w:val="3A192D6D"/>
    <w:rsid w:val="3A1F40FB"/>
    <w:rsid w:val="3A26548A"/>
    <w:rsid w:val="3A2D4A6A"/>
    <w:rsid w:val="3A3B7187"/>
    <w:rsid w:val="3A454E26"/>
    <w:rsid w:val="3A5913BB"/>
    <w:rsid w:val="3A5D3468"/>
    <w:rsid w:val="3A6A3ABC"/>
    <w:rsid w:val="3A702146"/>
    <w:rsid w:val="3A766411"/>
    <w:rsid w:val="3A7B3A28"/>
    <w:rsid w:val="3A7D43E3"/>
    <w:rsid w:val="3A7E52C6"/>
    <w:rsid w:val="3A852A64"/>
    <w:rsid w:val="3A8C3766"/>
    <w:rsid w:val="3A935E76"/>
    <w:rsid w:val="3A962F76"/>
    <w:rsid w:val="3A971EE4"/>
    <w:rsid w:val="3A9C574C"/>
    <w:rsid w:val="3A9C62B1"/>
    <w:rsid w:val="3A9E7716"/>
    <w:rsid w:val="3AA27206"/>
    <w:rsid w:val="3AA65F6E"/>
    <w:rsid w:val="3AAA1C17"/>
    <w:rsid w:val="3AAC3BE1"/>
    <w:rsid w:val="3AAF722D"/>
    <w:rsid w:val="3AB87E59"/>
    <w:rsid w:val="3AC058DE"/>
    <w:rsid w:val="3AC151B3"/>
    <w:rsid w:val="3ACC6031"/>
    <w:rsid w:val="3AD138AD"/>
    <w:rsid w:val="3AD82C28"/>
    <w:rsid w:val="3ADE7B13"/>
    <w:rsid w:val="3AEA003E"/>
    <w:rsid w:val="3AED7D56"/>
    <w:rsid w:val="3AF13CEA"/>
    <w:rsid w:val="3AF45588"/>
    <w:rsid w:val="3B027CA5"/>
    <w:rsid w:val="3B0C4680"/>
    <w:rsid w:val="3B0D796D"/>
    <w:rsid w:val="3B0E664A"/>
    <w:rsid w:val="3B103FAD"/>
    <w:rsid w:val="3B135A0E"/>
    <w:rsid w:val="3B141786"/>
    <w:rsid w:val="3B143534"/>
    <w:rsid w:val="3B250709"/>
    <w:rsid w:val="3B2E0A9A"/>
    <w:rsid w:val="3B381919"/>
    <w:rsid w:val="3B467D00"/>
    <w:rsid w:val="3B4A51A8"/>
    <w:rsid w:val="3B4C0F20"/>
    <w:rsid w:val="3B516536"/>
    <w:rsid w:val="3B5A363D"/>
    <w:rsid w:val="3B5F6EA5"/>
    <w:rsid w:val="3B626996"/>
    <w:rsid w:val="3B653D90"/>
    <w:rsid w:val="3B660234"/>
    <w:rsid w:val="3B67527D"/>
    <w:rsid w:val="3B675D5A"/>
    <w:rsid w:val="3B7D557D"/>
    <w:rsid w:val="3B822B94"/>
    <w:rsid w:val="3B824942"/>
    <w:rsid w:val="3B862684"/>
    <w:rsid w:val="3B893F22"/>
    <w:rsid w:val="3B932C3D"/>
    <w:rsid w:val="3B9847EB"/>
    <w:rsid w:val="3B9A1C8B"/>
    <w:rsid w:val="3B9D5C20"/>
    <w:rsid w:val="3BA90768"/>
    <w:rsid w:val="3BBB206F"/>
    <w:rsid w:val="3BBB7E54"/>
    <w:rsid w:val="3BBE6F96"/>
    <w:rsid w:val="3BC30935"/>
    <w:rsid w:val="3BCE5CD2"/>
    <w:rsid w:val="3BD11425"/>
    <w:rsid w:val="3BD57167"/>
    <w:rsid w:val="3BE15B0C"/>
    <w:rsid w:val="3BE5505D"/>
    <w:rsid w:val="3BE7171E"/>
    <w:rsid w:val="3BF27D19"/>
    <w:rsid w:val="3C002E0E"/>
    <w:rsid w:val="3C004402"/>
    <w:rsid w:val="3C065573"/>
    <w:rsid w:val="3C073099"/>
    <w:rsid w:val="3C0812EB"/>
    <w:rsid w:val="3C0B1E38"/>
    <w:rsid w:val="3C0E2679"/>
    <w:rsid w:val="3C125CC6"/>
    <w:rsid w:val="3C1934F8"/>
    <w:rsid w:val="3C1A7A54"/>
    <w:rsid w:val="3C1D466B"/>
    <w:rsid w:val="3C2123AD"/>
    <w:rsid w:val="3C237ED3"/>
    <w:rsid w:val="3C28373B"/>
    <w:rsid w:val="3C2854E9"/>
    <w:rsid w:val="3C3E4D0D"/>
    <w:rsid w:val="3C4340D1"/>
    <w:rsid w:val="3C465D40"/>
    <w:rsid w:val="3C575DCE"/>
    <w:rsid w:val="3C5C1637"/>
    <w:rsid w:val="3C65673D"/>
    <w:rsid w:val="3C663C5F"/>
    <w:rsid w:val="3C6B3628"/>
    <w:rsid w:val="3C6B4604"/>
    <w:rsid w:val="3C6E1771"/>
    <w:rsid w:val="3C706E90"/>
    <w:rsid w:val="3C722C08"/>
    <w:rsid w:val="3C7B4229"/>
    <w:rsid w:val="3C7E15AD"/>
    <w:rsid w:val="3C857BDC"/>
    <w:rsid w:val="3C860462"/>
    <w:rsid w:val="3C862210"/>
    <w:rsid w:val="3C926E07"/>
    <w:rsid w:val="3C991F43"/>
    <w:rsid w:val="3C9A108D"/>
    <w:rsid w:val="3CA371C7"/>
    <w:rsid w:val="3CA37533"/>
    <w:rsid w:val="3CAD59EE"/>
    <w:rsid w:val="3CAE215A"/>
    <w:rsid w:val="3CB7686D"/>
    <w:rsid w:val="3CBA4AA5"/>
    <w:rsid w:val="3CBE19AA"/>
    <w:rsid w:val="3CC03974"/>
    <w:rsid w:val="3CE348E4"/>
    <w:rsid w:val="3CEB7962"/>
    <w:rsid w:val="3CF6450E"/>
    <w:rsid w:val="3D031AB2"/>
    <w:rsid w:val="3D037D04"/>
    <w:rsid w:val="3D1A3F03"/>
    <w:rsid w:val="3D1D0DC6"/>
    <w:rsid w:val="3D22462E"/>
    <w:rsid w:val="3D233F03"/>
    <w:rsid w:val="3D29758D"/>
    <w:rsid w:val="3D3A1978"/>
    <w:rsid w:val="3D3D3216"/>
    <w:rsid w:val="3D483969"/>
    <w:rsid w:val="3D5B18EE"/>
    <w:rsid w:val="3D5E78C3"/>
    <w:rsid w:val="3D674C57"/>
    <w:rsid w:val="3D6D517E"/>
    <w:rsid w:val="3D8F3346"/>
    <w:rsid w:val="3D8F3F73"/>
    <w:rsid w:val="3D962926"/>
    <w:rsid w:val="3D970380"/>
    <w:rsid w:val="3DA81D23"/>
    <w:rsid w:val="3DA908AC"/>
    <w:rsid w:val="3DAB6821"/>
    <w:rsid w:val="3DAE1B4D"/>
    <w:rsid w:val="3DB72FC9"/>
    <w:rsid w:val="3DC2371B"/>
    <w:rsid w:val="3DC570B7"/>
    <w:rsid w:val="3DC94AAA"/>
    <w:rsid w:val="3DD671C7"/>
    <w:rsid w:val="3DDF7E2A"/>
    <w:rsid w:val="3DE25B6C"/>
    <w:rsid w:val="3DE9514C"/>
    <w:rsid w:val="3DF53AF1"/>
    <w:rsid w:val="3DFA2EB5"/>
    <w:rsid w:val="3DFA4C63"/>
    <w:rsid w:val="3DFE52A5"/>
    <w:rsid w:val="3E015FF2"/>
    <w:rsid w:val="3E020ED0"/>
    <w:rsid w:val="3E056725"/>
    <w:rsid w:val="3E09294E"/>
    <w:rsid w:val="3E1109CA"/>
    <w:rsid w:val="3E1321C9"/>
    <w:rsid w:val="3E183F5A"/>
    <w:rsid w:val="3E243815"/>
    <w:rsid w:val="3E295549"/>
    <w:rsid w:val="3E2E604F"/>
    <w:rsid w:val="3E350391"/>
    <w:rsid w:val="3E3D7A44"/>
    <w:rsid w:val="3E4811F1"/>
    <w:rsid w:val="3E483C21"/>
    <w:rsid w:val="3E4968EB"/>
    <w:rsid w:val="3E4D7489"/>
    <w:rsid w:val="3E50443B"/>
    <w:rsid w:val="3E5B4A96"/>
    <w:rsid w:val="3E5D7673"/>
    <w:rsid w:val="3E66054B"/>
    <w:rsid w:val="3E6F0A67"/>
    <w:rsid w:val="3E734A16"/>
    <w:rsid w:val="3E7E3AE6"/>
    <w:rsid w:val="3E7E7A40"/>
    <w:rsid w:val="3E7F160D"/>
    <w:rsid w:val="3E81618E"/>
    <w:rsid w:val="3E834C59"/>
    <w:rsid w:val="3E8804C1"/>
    <w:rsid w:val="3E8A0FA4"/>
    <w:rsid w:val="3E90381A"/>
    <w:rsid w:val="3E9926CE"/>
    <w:rsid w:val="3E9C009F"/>
    <w:rsid w:val="3EA052B7"/>
    <w:rsid w:val="3EA370A9"/>
    <w:rsid w:val="3EB43064"/>
    <w:rsid w:val="3EB44211"/>
    <w:rsid w:val="3EB70DA6"/>
    <w:rsid w:val="3EBE6DCD"/>
    <w:rsid w:val="3EC46E04"/>
    <w:rsid w:val="3EC544F1"/>
    <w:rsid w:val="3ECE57CD"/>
    <w:rsid w:val="3ECE7C0D"/>
    <w:rsid w:val="3ED944FA"/>
    <w:rsid w:val="3EE6168C"/>
    <w:rsid w:val="3EE651E8"/>
    <w:rsid w:val="3EF51240"/>
    <w:rsid w:val="3EFE69D5"/>
    <w:rsid w:val="3F0062A9"/>
    <w:rsid w:val="3F073ADC"/>
    <w:rsid w:val="3F075CC4"/>
    <w:rsid w:val="3F0A649A"/>
    <w:rsid w:val="3F176456"/>
    <w:rsid w:val="3F177A97"/>
    <w:rsid w:val="3F1C04F3"/>
    <w:rsid w:val="3F2006FA"/>
    <w:rsid w:val="3F220916"/>
    <w:rsid w:val="3F264719"/>
    <w:rsid w:val="3F275F2C"/>
    <w:rsid w:val="3F276AC6"/>
    <w:rsid w:val="3F281CA4"/>
    <w:rsid w:val="3F2A77CA"/>
    <w:rsid w:val="3F2B6399"/>
    <w:rsid w:val="3F2F6B8F"/>
    <w:rsid w:val="3F32667F"/>
    <w:rsid w:val="3F375A43"/>
    <w:rsid w:val="3F395C5F"/>
    <w:rsid w:val="3F492E6F"/>
    <w:rsid w:val="3F5900B0"/>
    <w:rsid w:val="3F5E1222"/>
    <w:rsid w:val="3F626F64"/>
    <w:rsid w:val="3F710F55"/>
    <w:rsid w:val="3F7258DA"/>
    <w:rsid w:val="3F7942AE"/>
    <w:rsid w:val="3F850EA5"/>
    <w:rsid w:val="3F8C3D33"/>
    <w:rsid w:val="3F975F98"/>
    <w:rsid w:val="3FA171C1"/>
    <w:rsid w:val="3FA56E51"/>
    <w:rsid w:val="3FA70E1B"/>
    <w:rsid w:val="3FC76DC7"/>
    <w:rsid w:val="3FCB2D5B"/>
    <w:rsid w:val="3FDD0B17"/>
    <w:rsid w:val="3FED6C5E"/>
    <w:rsid w:val="3FF81676"/>
    <w:rsid w:val="3FFD0A3B"/>
    <w:rsid w:val="3FFD6C8D"/>
    <w:rsid w:val="3FFF1CCD"/>
    <w:rsid w:val="400D76D8"/>
    <w:rsid w:val="40112859"/>
    <w:rsid w:val="4012098A"/>
    <w:rsid w:val="401E01D9"/>
    <w:rsid w:val="402266F3"/>
    <w:rsid w:val="4024246B"/>
    <w:rsid w:val="40363F4D"/>
    <w:rsid w:val="403925B8"/>
    <w:rsid w:val="403F1053"/>
    <w:rsid w:val="404937C3"/>
    <w:rsid w:val="40526FD9"/>
    <w:rsid w:val="405D597D"/>
    <w:rsid w:val="406E7A04"/>
    <w:rsid w:val="40703903"/>
    <w:rsid w:val="40730CFD"/>
    <w:rsid w:val="40736F4F"/>
    <w:rsid w:val="407A02DD"/>
    <w:rsid w:val="4091785C"/>
    <w:rsid w:val="409475F1"/>
    <w:rsid w:val="409D1225"/>
    <w:rsid w:val="40A35A86"/>
    <w:rsid w:val="40AF01C1"/>
    <w:rsid w:val="40B05AAD"/>
    <w:rsid w:val="40CD48B1"/>
    <w:rsid w:val="40D16D8B"/>
    <w:rsid w:val="40D479EE"/>
    <w:rsid w:val="40D95004"/>
    <w:rsid w:val="40DB5220"/>
    <w:rsid w:val="40E44F98"/>
    <w:rsid w:val="40EC0EA3"/>
    <w:rsid w:val="40F57562"/>
    <w:rsid w:val="40FB31F5"/>
    <w:rsid w:val="41067DC3"/>
    <w:rsid w:val="410A1661"/>
    <w:rsid w:val="41120516"/>
    <w:rsid w:val="41140732"/>
    <w:rsid w:val="41173D7E"/>
    <w:rsid w:val="41285F8B"/>
    <w:rsid w:val="412D35A2"/>
    <w:rsid w:val="41320C5C"/>
    <w:rsid w:val="41326E0A"/>
    <w:rsid w:val="41344930"/>
    <w:rsid w:val="413A3770"/>
    <w:rsid w:val="413B68D4"/>
    <w:rsid w:val="413C37E5"/>
    <w:rsid w:val="413D1A37"/>
    <w:rsid w:val="413E41A3"/>
    <w:rsid w:val="41466412"/>
    <w:rsid w:val="415154E2"/>
    <w:rsid w:val="41517A02"/>
    <w:rsid w:val="41594397"/>
    <w:rsid w:val="41676AB4"/>
    <w:rsid w:val="4168454F"/>
    <w:rsid w:val="416C1102"/>
    <w:rsid w:val="416C231C"/>
    <w:rsid w:val="416E7E42"/>
    <w:rsid w:val="41791FEC"/>
    <w:rsid w:val="417B7A55"/>
    <w:rsid w:val="417C1E33"/>
    <w:rsid w:val="418A50C0"/>
    <w:rsid w:val="419453CF"/>
    <w:rsid w:val="419B49AF"/>
    <w:rsid w:val="41A30C47"/>
    <w:rsid w:val="41B2453B"/>
    <w:rsid w:val="41B415CD"/>
    <w:rsid w:val="41B45A71"/>
    <w:rsid w:val="41B937DE"/>
    <w:rsid w:val="41C061C4"/>
    <w:rsid w:val="41C062D8"/>
    <w:rsid w:val="41CB02C1"/>
    <w:rsid w:val="41DC011D"/>
    <w:rsid w:val="41E719A3"/>
    <w:rsid w:val="41F12821"/>
    <w:rsid w:val="42067F1B"/>
    <w:rsid w:val="420F7212"/>
    <w:rsid w:val="42135A7B"/>
    <w:rsid w:val="421502BE"/>
    <w:rsid w:val="422F3D3C"/>
    <w:rsid w:val="42440BA3"/>
    <w:rsid w:val="424566C9"/>
    <w:rsid w:val="424741EF"/>
    <w:rsid w:val="424B2375"/>
    <w:rsid w:val="424C7A58"/>
    <w:rsid w:val="424D3136"/>
    <w:rsid w:val="424F77F4"/>
    <w:rsid w:val="425D1C65"/>
    <w:rsid w:val="42642FF3"/>
    <w:rsid w:val="426B4382"/>
    <w:rsid w:val="426C6036"/>
    <w:rsid w:val="42776622"/>
    <w:rsid w:val="428E5903"/>
    <w:rsid w:val="429127FB"/>
    <w:rsid w:val="42991F95"/>
    <w:rsid w:val="429B3C85"/>
    <w:rsid w:val="42A55D82"/>
    <w:rsid w:val="42A96C58"/>
    <w:rsid w:val="42B15B0D"/>
    <w:rsid w:val="42C10446"/>
    <w:rsid w:val="42C35F6C"/>
    <w:rsid w:val="42D02437"/>
    <w:rsid w:val="42DC527F"/>
    <w:rsid w:val="42DE2DA6"/>
    <w:rsid w:val="42E3660E"/>
    <w:rsid w:val="42EA174A"/>
    <w:rsid w:val="42FC147E"/>
    <w:rsid w:val="42FE51F6"/>
    <w:rsid w:val="43095949"/>
    <w:rsid w:val="430B346F"/>
    <w:rsid w:val="430F2159"/>
    <w:rsid w:val="43100A85"/>
    <w:rsid w:val="43150FF8"/>
    <w:rsid w:val="432664FB"/>
    <w:rsid w:val="43266633"/>
    <w:rsid w:val="432835F9"/>
    <w:rsid w:val="432A5FEB"/>
    <w:rsid w:val="43302ED5"/>
    <w:rsid w:val="43371E54"/>
    <w:rsid w:val="433E1A96"/>
    <w:rsid w:val="434A21E9"/>
    <w:rsid w:val="434D6E53"/>
    <w:rsid w:val="434F2450"/>
    <w:rsid w:val="435A033A"/>
    <w:rsid w:val="4366315A"/>
    <w:rsid w:val="436F550E"/>
    <w:rsid w:val="43707776"/>
    <w:rsid w:val="43730F1B"/>
    <w:rsid w:val="43754D8C"/>
    <w:rsid w:val="43805C0B"/>
    <w:rsid w:val="43806636"/>
    <w:rsid w:val="438A6A89"/>
    <w:rsid w:val="438D657A"/>
    <w:rsid w:val="439D2871"/>
    <w:rsid w:val="439D67BD"/>
    <w:rsid w:val="43A63197"/>
    <w:rsid w:val="43A833B4"/>
    <w:rsid w:val="43AC4C52"/>
    <w:rsid w:val="43B21C1C"/>
    <w:rsid w:val="43B35E9F"/>
    <w:rsid w:val="43B6162D"/>
    <w:rsid w:val="43B908FD"/>
    <w:rsid w:val="43C006FD"/>
    <w:rsid w:val="43C058D0"/>
    <w:rsid w:val="43C7383A"/>
    <w:rsid w:val="43CE1D9C"/>
    <w:rsid w:val="43CF0940"/>
    <w:rsid w:val="43DB72E5"/>
    <w:rsid w:val="43E02704"/>
    <w:rsid w:val="43E62A51"/>
    <w:rsid w:val="43E837B0"/>
    <w:rsid w:val="43EE526A"/>
    <w:rsid w:val="440305EA"/>
    <w:rsid w:val="44030A1A"/>
    <w:rsid w:val="44191BBB"/>
    <w:rsid w:val="441D5B50"/>
    <w:rsid w:val="44250560"/>
    <w:rsid w:val="442A3DC9"/>
    <w:rsid w:val="443561AE"/>
    <w:rsid w:val="443F5AC6"/>
    <w:rsid w:val="444020F3"/>
    <w:rsid w:val="444255B6"/>
    <w:rsid w:val="444924A1"/>
    <w:rsid w:val="4449710E"/>
    <w:rsid w:val="444A6219"/>
    <w:rsid w:val="445350CD"/>
    <w:rsid w:val="44564BBE"/>
    <w:rsid w:val="4456696C"/>
    <w:rsid w:val="44615A3C"/>
    <w:rsid w:val="446948F1"/>
    <w:rsid w:val="447137A5"/>
    <w:rsid w:val="44780FD8"/>
    <w:rsid w:val="4478334A"/>
    <w:rsid w:val="447F4114"/>
    <w:rsid w:val="448434D9"/>
    <w:rsid w:val="44870FFE"/>
    <w:rsid w:val="4487121B"/>
    <w:rsid w:val="449556E6"/>
    <w:rsid w:val="449A0F4E"/>
    <w:rsid w:val="449B0822"/>
    <w:rsid w:val="449C4978"/>
    <w:rsid w:val="44B10046"/>
    <w:rsid w:val="44B85878"/>
    <w:rsid w:val="44C366CD"/>
    <w:rsid w:val="44C90306"/>
    <w:rsid w:val="44D53D34"/>
    <w:rsid w:val="44DC3315"/>
    <w:rsid w:val="44E1092B"/>
    <w:rsid w:val="44E346A3"/>
    <w:rsid w:val="44EE129A"/>
    <w:rsid w:val="44F93EC7"/>
    <w:rsid w:val="45110B6F"/>
    <w:rsid w:val="45126D36"/>
    <w:rsid w:val="45181E73"/>
    <w:rsid w:val="451D704F"/>
    <w:rsid w:val="45294080"/>
    <w:rsid w:val="452D1DC2"/>
    <w:rsid w:val="455410FD"/>
    <w:rsid w:val="4557299B"/>
    <w:rsid w:val="455E1F7C"/>
    <w:rsid w:val="456E7B7F"/>
    <w:rsid w:val="4574354D"/>
    <w:rsid w:val="4577128F"/>
    <w:rsid w:val="457E43CC"/>
    <w:rsid w:val="45837C34"/>
    <w:rsid w:val="458A0FC3"/>
    <w:rsid w:val="458F6464"/>
    <w:rsid w:val="45A55DFD"/>
    <w:rsid w:val="45A65905"/>
    <w:rsid w:val="45A73923"/>
    <w:rsid w:val="45AA51C1"/>
    <w:rsid w:val="45AB5629"/>
    <w:rsid w:val="45AF27D7"/>
    <w:rsid w:val="45B765BF"/>
    <w:rsid w:val="45B85B30"/>
    <w:rsid w:val="45BE2A1A"/>
    <w:rsid w:val="45CD7101"/>
    <w:rsid w:val="45D40490"/>
    <w:rsid w:val="45D93CF8"/>
    <w:rsid w:val="45DF26BA"/>
    <w:rsid w:val="45E2495B"/>
    <w:rsid w:val="45E62938"/>
    <w:rsid w:val="45E701C3"/>
    <w:rsid w:val="45E71F71"/>
    <w:rsid w:val="45E85CE9"/>
    <w:rsid w:val="45EE77A4"/>
    <w:rsid w:val="45FB77CB"/>
    <w:rsid w:val="46040D75"/>
    <w:rsid w:val="461D777A"/>
    <w:rsid w:val="461F36AB"/>
    <w:rsid w:val="46204886"/>
    <w:rsid w:val="46205483"/>
    <w:rsid w:val="462140AB"/>
    <w:rsid w:val="4624159C"/>
    <w:rsid w:val="462E7BA0"/>
    <w:rsid w:val="46314C93"/>
    <w:rsid w:val="463F7FFF"/>
    <w:rsid w:val="46405B25"/>
    <w:rsid w:val="46560EA5"/>
    <w:rsid w:val="465D2233"/>
    <w:rsid w:val="4660622F"/>
    <w:rsid w:val="46715CDF"/>
    <w:rsid w:val="4678706D"/>
    <w:rsid w:val="4686357E"/>
    <w:rsid w:val="468C4D43"/>
    <w:rsid w:val="468F446C"/>
    <w:rsid w:val="469C1EF7"/>
    <w:rsid w:val="469F284C"/>
    <w:rsid w:val="46A169D1"/>
    <w:rsid w:val="46AB382E"/>
    <w:rsid w:val="46AE0CE1"/>
    <w:rsid w:val="46B02CAB"/>
    <w:rsid w:val="46B11CD5"/>
    <w:rsid w:val="46B213EB"/>
    <w:rsid w:val="46B219B1"/>
    <w:rsid w:val="46B56CE2"/>
    <w:rsid w:val="46BA7686"/>
    <w:rsid w:val="46BC1650"/>
    <w:rsid w:val="46C40504"/>
    <w:rsid w:val="46C93D6D"/>
    <w:rsid w:val="46CD3E5D"/>
    <w:rsid w:val="46CE3131"/>
    <w:rsid w:val="46D36999"/>
    <w:rsid w:val="46E110B6"/>
    <w:rsid w:val="46E45B07"/>
    <w:rsid w:val="46E46CF4"/>
    <w:rsid w:val="46E5200E"/>
    <w:rsid w:val="46F30DEA"/>
    <w:rsid w:val="46F96400"/>
    <w:rsid w:val="46FD7572"/>
    <w:rsid w:val="47007645"/>
    <w:rsid w:val="470152B5"/>
    <w:rsid w:val="470D3C59"/>
    <w:rsid w:val="47135006"/>
    <w:rsid w:val="47170634"/>
    <w:rsid w:val="471E7C15"/>
    <w:rsid w:val="472114B3"/>
    <w:rsid w:val="4729480B"/>
    <w:rsid w:val="472E3BD0"/>
    <w:rsid w:val="47332D0D"/>
    <w:rsid w:val="473965AC"/>
    <w:rsid w:val="473A4323"/>
    <w:rsid w:val="47413903"/>
    <w:rsid w:val="47484C91"/>
    <w:rsid w:val="47486A40"/>
    <w:rsid w:val="474D609A"/>
    <w:rsid w:val="475310A4"/>
    <w:rsid w:val="47571378"/>
    <w:rsid w:val="47617B01"/>
    <w:rsid w:val="47655843"/>
    <w:rsid w:val="477F61D9"/>
    <w:rsid w:val="4783216D"/>
    <w:rsid w:val="479B1265"/>
    <w:rsid w:val="47A04ACD"/>
    <w:rsid w:val="47A53E92"/>
    <w:rsid w:val="47A619B8"/>
    <w:rsid w:val="47B1557B"/>
    <w:rsid w:val="47B440D5"/>
    <w:rsid w:val="47C84024"/>
    <w:rsid w:val="47C87B80"/>
    <w:rsid w:val="47CF53B3"/>
    <w:rsid w:val="47D77DC3"/>
    <w:rsid w:val="47D957D9"/>
    <w:rsid w:val="47DB78B4"/>
    <w:rsid w:val="47DD2AE2"/>
    <w:rsid w:val="47E86474"/>
    <w:rsid w:val="47F15329"/>
    <w:rsid w:val="47F941DE"/>
    <w:rsid w:val="481D7ECC"/>
    <w:rsid w:val="48205C0E"/>
    <w:rsid w:val="48275E38"/>
    <w:rsid w:val="482D3E87"/>
    <w:rsid w:val="48593CB8"/>
    <w:rsid w:val="485B09F4"/>
    <w:rsid w:val="48691363"/>
    <w:rsid w:val="48695BB6"/>
    <w:rsid w:val="48704B63"/>
    <w:rsid w:val="487B1097"/>
    <w:rsid w:val="488066AD"/>
    <w:rsid w:val="488132AE"/>
    <w:rsid w:val="4887756F"/>
    <w:rsid w:val="489511B7"/>
    <w:rsid w:val="489D100D"/>
    <w:rsid w:val="48A31080"/>
    <w:rsid w:val="48A95C04"/>
    <w:rsid w:val="48B12D0A"/>
    <w:rsid w:val="48B325DE"/>
    <w:rsid w:val="48B3438D"/>
    <w:rsid w:val="48C87DC6"/>
    <w:rsid w:val="48CB3DCC"/>
    <w:rsid w:val="48CC52C9"/>
    <w:rsid w:val="48D507A7"/>
    <w:rsid w:val="48E179B5"/>
    <w:rsid w:val="48EC3D42"/>
    <w:rsid w:val="48ED5C27"/>
    <w:rsid w:val="48EE1869"/>
    <w:rsid w:val="48FD1AAC"/>
    <w:rsid w:val="48FF5824"/>
    <w:rsid w:val="49025314"/>
    <w:rsid w:val="491312CF"/>
    <w:rsid w:val="49153B3D"/>
    <w:rsid w:val="491C63D6"/>
    <w:rsid w:val="49211C3E"/>
    <w:rsid w:val="49261002"/>
    <w:rsid w:val="49262DB0"/>
    <w:rsid w:val="493B29F8"/>
    <w:rsid w:val="493B7D34"/>
    <w:rsid w:val="49431BB4"/>
    <w:rsid w:val="49492F43"/>
    <w:rsid w:val="49493E2D"/>
    <w:rsid w:val="49543DC1"/>
    <w:rsid w:val="49575660"/>
    <w:rsid w:val="49627B61"/>
    <w:rsid w:val="49635DB3"/>
    <w:rsid w:val="496930A0"/>
    <w:rsid w:val="4970227E"/>
    <w:rsid w:val="49776998"/>
    <w:rsid w:val="49804BB7"/>
    <w:rsid w:val="498521CD"/>
    <w:rsid w:val="498941CE"/>
    <w:rsid w:val="49900B72"/>
    <w:rsid w:val="49902920"/>
    <w:rsid w:val="49983D15"/>
    <w:rsid w:val="49986FEF"/>
    <w:rsid w:val="49A602B1"/>
    <w:rsid w:val="49A60395"/>
    <w:rsid w:val="49A62143"/>
    <w:rsid w:val="49AD1A74"/>
    <w:rsid w:val="49AD7151"/>
    <w:rsid w:val="49AF724A"/>
    <w:rsid w:val="49B26D3A"/>
    <w:rsid w:val="49B669D0"/>
    <w:rsid w:val="49B900C8"/>
    <w:rsid w:val="49C16F7D"/>
    <w:rsid w:val="49C27BC8"/>
    <w:rsid w:val="49C528B7"/>
    <w:rsid w:val="49D62A28"/>
    <w:rsid w:val="49EE2079"/>
    <w:rsid w:val="49F44C5D"/>
    <w:rsid w:val="49F7474D"/>
    <w:rsid w:val="49FE7E9D"/>
    <w:rsid w:val="4A007AA5"/>
    <w:rsid w:val="4A0A26D2"/>
    <w:rsid w:val="4A0D3F70"/>
    <w:rsid w:val="4A164F1E"/>
    <w:rsid w:val="4A1777A5"/>
    <w:rsid w:val="4A1E7312"/>
    <w:rsid w:val="4A411F8A"/>
    <w:rsid w:val="4A484FA8"/>
    <w:rsid w:val="4A4D20C8"/>
    <w:rsid w:val="4A4F27DB"/>
    <w:rsid w:val="4A4F6337"/>
    <w:rsid w:val="4A510301"/>
    <w:rsid w:val="4A5120AF"/>
    <w:rsid w:val="4A563B69"/>
    <w:rsid w:val="4A58343D"/>
    <w:rsid w:val="4A590F64"/>
    <w:rsid w:val="4A595408"/>
    <w:rsid w:val="4A677B24"/>
    <w:rsid w:val="4A6A13C3"/>
    <w:rsid w:val="4A6A3171"/>
    <w:rsid w:val="4A8C178D"/>
    <w:rsid w:val="4A957EA7"/>
    <w:rsid w:val="4A987CDE"/>
    <w:rsid w:val="4AA743C5"/>
    <w:rsid w:val="4AA77F21"/>
    <w:rsid w:val="4AAC469A"/>
    <w:rsid w:val="4AAE0207"/>
    <w:rsid w:val="4AB50890"/>
    <w:rsid w:val="4ACE54AE"/>
    <w:rsid w:val="4AD30D16"/>
    <w:rsid w:val="4AD36F68"/>
    <w:rsid w:val="4AD4683C"/>
    <w:rsid w:val="4ADA6548"/>
    <w:rsid w:val="4ADB5E1D"/>
    <w:rsid w:val="4AE66C9B"/>
    <w:rsid w:val="4AE83105"/>
    <w:rsid w:val="4AE922E8"/>
    <w:rsid w:val="4AEC002A"/>
    <w:rsid w:val="4AEC627C"/>
    <w:rsid w:val="4AEE3DA2"/>
    <w:rsid w:val="4B005883"/>
    <w:rsid w:val="4B0210D9"/>
    <w:rsid w:val="4B0A0398"/>
    <w:rsid w:val="4B0D55E9"/>
    <w:rsid w:val="4B1120E0"/>
    <w:rsid w:val="4B112A5C"/>
    <w:rsid w:val="4B1650A7"/>
    <w:rsid w:val="4B1D01E3"/>
    <w:rsid w:val="4B245A16"/>
    <w:rsid w:val="4B26639E"/>
    <w:rsid w:val="4B3223A6"/>
    <w:rsid w:val="4B3C2D5F"/>
    <w:rsid w:val="4B4439C2"/>
    <w:rsid w:val="4B4B6FF5"/>
    <w:rsid w:val="4B4D4416"/>
    <w:rsid w:val="4B6202EC"/>
    <w:rsid w:val="4B6B53F2"/>
    <w:rsid w:val="4B716A27"/>
    <w:rsid w:val="4B72052F"/>
    <w:rsid w:val="4B747624"/>
    <w:rsid w:val="4B83098E"/>
    <w:rsid w:val="4B8B15F1"/>
    <w:rsid w:val="4B9009B5"/>
    <w:rsid w:val="4BA40904"/>
    <w:rsid w:val="4BA426B2"/>
    <w:rsid w:val="4BA97D25"/>
    <w:rsid w:val="4BAB3A41"/>
    <w:rsid w:val="4BB74194"/>
    <w:rsid w:val="4BC15012"/>
    <w:rsid w:val="4BC36FDC"/>
    <w:rsid w:val="4BC62629"/>
    <w:rsid w:val="4BC82908"/>
    <w:rsid w:val="4BCF3BD3"/>
    <w:rsid w:val="4BD317B2"/>
    <w:rsid w:val="4BF947AC"/>
    <w:rsid w:val="4BFE6267"/>
    <w:rsid w:val="4C011C05"/>
    <w:rsid w:val="4C013661"/>
    <w:rsid w:val="4C0C6E6A"/>
    <w:rsid w:val="4C0F5D7E"/>
    <w:rsid w:val="4C126492"/>
    <w:rsid w:val="4C1415E6"/>
    <w:rsid w:val="4C147838"/>
    <w:rsid w:val="4C181799"/>
    <w:rsid w:val="4C1E0043"/>
    <w:rsid w:val="4C1F5F28"/>
    <w:rsid w:val="4C213D03"/>
    <w:rsid w:val="4C263D61"/>
    <w:rsid w:val="4C26756B"/>
    <w:rsid w:val="4C286E44"/>
    <w:rsid w:val="4C2D08FA"/>
    <w:rsid w:val="4C2E0385"/>
    <w:rsid w:val="4C2F185F"/>
    <w:rsid w:val="4C3E6663"/>
    <w:rsid w:val="4C4023DB"/>
    <w:rsid w:val="4C430199"/>
    <w:rsid w:val="4C455DA5"/>
    <w:rsid w:val="4C585052"/>
    <w:rsid w:val="4C602A7D"/>
    <w:rsid w:val="4C65708E"/>
    <w:rsid w:val="4C6F4A6E"/>
    <w:rsid w:val="4C73584B"/>
    <w:rsid w:val="4C7402D7"/>
    <w:rsid w:val="4C742419"/>
    <w:rsid w:val="4C7434D7"/>
    <w:rsid w:val="4C7622A1"/>
    <w:rsid w:val="4C7D477D"/>
    <w:rsid w:val="4C8229F4"/>
    <w:rsid w:val="4C91638B"/>
    <w:rsid w:val="4C961625"/>
    <w:rsid w:val="4C983FC5"/>
    <w:rsid w:val="4C9A68E4"/>
    <w:rsid w:val="4C9E7102"/>
    <w:rsid w:val="4CA566E2"/>
    <w:rsid w:val="4CAA1F4A"/>
    <w:rsid w:val="4CBB224D"/>
    <w:rsid w:val="4CC56D84"/>
    <w:rsid w:val="4CD34FFD"/>
    <w:rsid w:val="4CD46FC7"/>
    <w:rsid w:val="4CE94821"/>
    <w:rsid w:val="4CEC2563"/>
    <w:rsid w:val="4CF3569F"/>
    <w:rsid w:val="4CF936CC"/>
    <w:rsid w:val="4CFB4554"/>
    <w:rsid w:val="4CFB6302"/>
    <w:rsid w:val="4CFD5D25"/>
    <w:rsid w:val="4D0A29E9"/>
    <w:rsid w:val="4D0F6F83"/>
    <w:rsid w:val="4D41465D"/>
    <w:rsid w:val="4D4759EB"/>
    <w:rsid w:val="4D5123C6"/>
    <w:rsid w:val="4D53613E"/>
    <w:rsid w:val="4D64034B"/>
    <w:rsid w:val="4D6807A3"/>
    <w:rsid w:val="4D6B1638"/>
    <w:rsid w:val="4D6D4EF7"/>
    <w:rsid w:val="4D6E2F78"/>
    <w:rsid w:val="4D6E5660"/>
    <w:rsid w:val="4D73058E"/>
    <w:rsid w:val="4D747E13"/>
    <w:rsid w:val="4D8067BB"/>
    <w:rsid w:val="4D896004"/>
    <w:rsid w:val="4D930C30"/>
    <w:rsid w:val="4D9421C3"/>
    <w:rsid w:val="4DA10E76"/>
    <w:rsid w:val="4DA87C91"/>
    <w:rsid w:val="4DB017E2"/>
    <w:rsid w:val="4DB86EE9"/>
    <w:rsid w:val="4DB90697"/>
    <w:rsid w:val="4DD454D1"/>
    <w:rsid w:val="4DDC25D7"/>
    <w:rsid w:val="4DE4323A"/>
    <w:rsid w:val="4E086F29"/>
    <w:rsid w:val="4E092CA1"/>
    <w:rsid w:val="4E0F02B7"/>
    <w:rsid w:val="4E11618F"/>
    <w:rsid w:val="4E121B55"/>
    <w:rsid w:val="4E191136"/>
    <w:rsid w:val="4E1C0C26"/>
    <w:rsid w:val="4E1D47A9"/>
    <w:rsid w:val="4E3917D8"/>
    <w:rsid w:val="4E3B5550"/>
    <w:rsid w:val="4E434405"/>
    <w:rsid w:val="4E4837C9"/>
    <w:rsid w:val="4E4F34B7"/>
    <w:rsid w:val="4E524648"/>
    <w:rsid w:val="4E555EE6"/>
    <w:rsid w:val="4E593C28"/>
    <w:rsid w:val="4E5C7274"/>
    <w:rsid w:val="4E5E4D9B"/>
    <w:rsid w:val="4E606D65"/>
    <w:rsid w:val="4E6B74B7"/>
    <w:rsid w:val="4E701E39"/>
    <w:rsid w:val="4E742810"/>
    <w:rsid w:val="4E8011B5"/>
    <w:rsid w:val="4EA86364"/>
    <w:rsid w:val="4EB96475"/>
    <w:rsid w:val="4EBA2D91"/>
    <w:rsid w:val="4EBA7E0B"/>
    <w:rsid w:val="4EBB3F9B"/>
    <w:rsid w:val="4EC24E6D"/>
    <w:rsid w:val="4EC512BE"/>
    <w:rsid w:val="4EC8490A"/>
    <w:rsid w:val="4ECF0930"/>
    <w:rsid w:val="4ED41501"/>
    <w:rsid w:val="4ED51B1C"/>
    <w:rsid w:val="4ED65279"/>
    <w:rsid w:val="4EDD03B5"/>
    <w:rsid w:val="4EE71C25"/>
    <w:rsid w:val="4EEC23A6"/>
    <w:rsid w:val="4EEF3A26"/>
    <w:rsid w:val="4EF120B3"/>
    <w:rsid w:val="4EF15C0F"/>
    <w:rsid w:val="4EF33EF0"/>
    <w:rsid w:val="4EFB6A8D"/>
    <w:rsid w:val="4EFF3268"/>
    <w:rsid w:val="4F0A6CD0"/>
    <w:rsid w:val="4F1163D7"/>
    <w:rsid w:val="4F1D4C56"/>
    <w:rsid w:val="4F2225E9"/>
    <w:rsid w:val="4F286CEC"/>
    <w:rsid w:val="4F2935FA"/>
    <w:rsid w:val="4F343D4D"/>
    <w:rsid w:val="4F3501F1"/>
    <w:rsid w:val="4F3D2C02"/>
    <w:rsid w:val="4F3E6201"/>
    <w:rsid w:val="4F3E697A"/>
    <w:rsid w:val="4F520BAF"/>
    <w:rsid w:val="4F552641"/>
    <w:rsid w:val="4F5543EF"/>
    <w:rsid w:val="4F560168"/>
    <w:rsid w:val="4F5604D8"/>
    <w:rsid w:val="4F5D32A4"/>
    <w:rsid w:val="4F5E26CB"/>
    <w:rsid w:val="4F666931"/>
    <w:rsid w:val="4F6B3C13"/>
    <w:rsid w:val="4F6B59C1"/>
    <w:rsid w:val="4F6F4D85"/>
    <w:rsid w:val="4F710AFD"/>
    <w:rsid w:val="4F766114"/>
    <w:rsid w:val="4F79281D"/>
    <w:rsid w:val="4F79544D"/>
    <w:rsid w:val="4F7D1B1A"/>
    <w:rsid w:val="4F8143C9"/>
    <w:rsid w:val="4F824AB9"/>
    <w:rsid w:val="4F860A4D"/>
    <w:rsid w:val="4F8C5937"/>
    <w:rsid w:val="4F8E75F4"/>
    <w:rsid w:val="4F8F7D9A"/>
    <w:rsid w:val="4F9071D6"/>
    <w:rsid w:val="4F9860D3"/>
    <w:rsid w:val="4F9F4AC8"/>
    <w:rsid w:val="4FAB19F7"/>
    <w:rsid w:val="4FB21842"/>
    <w:rsid w:val="4FB70C06"/>
    <w:rsid w:val="4FBA22D4"/>
    <w:rsid w:val="4FCB17F0"/>
    <w:rsid w:val="4FD51FF0"/>
    <w:rsid w:val="4FD657AD"/>
    <w:rsid w:val="4FDA2B47"/>
    <w:rsid w:val="4FDD43E5"/>
    <w:rsid w:val="4FDF63AF"/>
    <w:rsid w:val="4FE76DCB"/>
    <w:rsid w:val="4FEA6D37"/>
    <w:rsid w:val="4FEE256D"/>
    <w:rsid w:val="4FF77255"/>
    <w:rsid w:val="4FFF25AD"/>
    <w:rsid w:val="50025BF9"/>
    <w:rsid w:val="50086D8C"/>
    <w:rsid w:val="50096F88"/>
    <w:rsid w:val="500B2D00"/>
    <w:rsid w:val="50131BB5"/>
    <w:rsid w:val="501716A5"/>
    <w:rsid w:val="501778F7"/>
    <w:rsid w:val="501871CB"/>
    <w:rsid w:val="5019541D"/>
    <w:rsid w:val="501A6C83"/>
    <w:rsid w:val="50210776"/>
    <w:rsid w:val="5023004A"/>
    <w:rsid w:val="502344EE"/>
    <w:rsid w:val="50317576"/>
    <w:rsid w:val="5032028D"/>
    <w:rsid w:val="50334005"/>
    <w:rsid w:val="50353782"/>
    <w:rsid w:val="503B1837"/>
    <w:rsid w:val="50422394"/>
    <w:rsid w:val="504306EC"/>
    <w:rsid w:val="504B57F2"/>
    <w:rsid w:val="504F0080"/>
    <w:rsid w:val="50501920"/>
    <w:rsid w:val="50526B81"/>
    <w:rsid w:val="50650662"/>
    <w:rsid w:val="50687CFD"/>
    <w:rsid w:val="506E3026"/>
    <w:rsid w:val="506F7733"/>
    <w:rsid w:val="50720FD1"/>
    <w:rsid w:val="50795EBC"/>
    <w:rsid w:val="50840AEA"/>
    <w:rsid w:val="50843944"/>
    <w:rsid w:val="50900FB2"/>
    <w:rsid w:val="50926F7D"/>
    <w:rsid w:val="509E5922"/>
    <w:rsid w:val="50AC2B38"/>
    <w:rsid w:val="50AC5CBB"/>
    <w:rsid w:val="50AF7B2F"/>
    <w:rsid w:val="50B11AF9"/>
    <w:rsid w:val="50C1503F"/>
    <w:rsid w:val="50C64E79"/>
    <w:rsid w:val="50C80BF1"/>
    <w:rsid w:val="50CF01D2"/>
    <w:rsid w:val="50DD469C"/>
    <w:rsid w:val="50E023DF"/>
    <w:rsid w:val="50E13A61"/>
    <w:rsid w:val="50E21CB3"/>
    <w:rsid w:val="50E579F5"/>
    <w:rsid w:val="50E772C9"/>
    <w:rsid w:val="50EF2CE6"/>
    <w:rsid w:val="50F33EC0"/>
    <w:rsid w:val="50F814D6"/>
    <w:rsid w:val="510C6D30"/>
    <w:rsid w:val="51143E36"/>
    <w:rsid w:val="511B51C5"/>
    <w:rsid w:val="511D7CE2"/>
    <w:rsid w:val="51201EC9"/>
    <w:rsid w:val="51256043"/>
    <w:rsid w:val="512C2F2E"/>
    <w:rsid w:val="512F2A1E"/>
    <w:rsid w:val="51355910"/>
    <w:rsid w:val="51385D77"/>
    <w:rsid w:val="513C2BDE"/>
    <w:rsid w:val="51426BF5"/>
    <w:rsid w:val="5147420C"/>
    <w:rsid w:val="515058A2"/>
    <w:rsid w:val="515406D7"/>
    <w:rsid w:val="51586419"/>
    <w:rsid w:val="51623281"/>
    <w:rsid w:val="51626A1E"/>
    <w:rsid w:val="516C77CE"/>
    <w:rsid w:val="517171CD"/>
    <w:rsid w:val="51764AF1"/>
    <w:rsid w:val="51773E85"/>
    <w:rsid w:val="517A638F"/>
    <w:rsid w:val="5180629F"/>
    <w:rsid w:val="518B7878"/>
    <w:rsid w:val="5198665F"/>
    <w:rsid w:val="51986815"/>
    <w:rsid w:val="519D3E2C"/>
    <w:rsid w:val="519F0FD9"/>
    <w:rsid w:val="51A67184"/>
    <w:rsid w:val="51A95109"/>
    <w:rsid w:val="51B00003"/>
    <w:rsid w:val="51B11685"/>
    <w:rsid w:val="51B91F39"/>
    <w:rsid w:val="51C65472"/>
    <w:rsid w:val="51DB6702"/>
    <w:rsid w:val="51DC4954"/>
    <w:rsid w:val="51DF61F2"/>
    <w:rsid w:val="51E414C7"/>
    <w:rsid w:val="51E43809"/>
    <w:rsid w:val="51ED6B61"/>
    <w:rsid w:val="51F16466"/>
    <w:rsid w:val="51F24A63"/>
    <w:rsid w:val="51F37EF0"/>
    <w:rsid w:val="51FC0D1B"/>
    <w:rsid w:val="521560E2"/>
    <w:rsid w:val="522F77FB"/>
    <w:rsid w:val="5232558C"/>
    <w:rsid w:val="523E0976"/>
    <w:rsid w:val="523F3135"/>
    <w:rsid w:val="52416EAD"/>
    <w:rsid w:val="524349D3"/>
    <w:rsid w:val="524650F1"/>
    <w:rsid w:val="52552958"/>
    <w:rsid w:val="52581974"/>
    <w:rsid w:val="525A2C8C"/>
    <w:rsid w:val="525A3ACB"/>
    <w:rsid w:val="52606411"/>
    <w:rsid w:val="526861E8"/>
    <w:rsid w:val="527517B2"/>
    <w:rsid w:val="52903E3F"/>
    <w:rsid w:val="52943A98"/>
    <w:rsid w:val="529945F3"/>
    <w:rsid w:val="529E42FF"/>
    <w:rsid w:val="52AB4326"/>
    <w:rsid w:val="52AD009F"/>
    <w:rsid w:val="52B80643"/>
    <w:rsid w:val="52BB6C5F"/>
    <w:rsid w:val="52BE405A"/>
    <w:rsid w:val="52C378C2"/>
    <w:rsid w:val="52D27B05"/>
    <w:rsid w:val="52D47D21"/>
    <w:rsid w:val="52D970E6"/>
    <w:rsid w:val="52F15916"/>
    <w:rsid w:val="52FC2DD4"/>
    <w:rsid w:val="52FE4D9E"/>
    <w:rsid w:val="52FF1EA9"/>
    <w:rsid w:val="53000B16"/>
    <w:rsid w:val="53014F31"/>
    <w:rsid w:val="530952D0"/>
    <w:rsid w:val="530B789E"/>
    <w:rsid w:val="530F158E"/>
    <w:rsid w:val="5316198D"/>
    <w:rsid w:val="53165C44"/>
    <w:rsid w:val="53185E60"/>
    <w:rsid w:val="532115A8"/>
    <w:rsid w:val="532A16EF"/>
    <w:rsid w:val="532D4F9D"/>
    <w:rsid w:val="533129FB"/>
    <w:rsid w:val="53572473"/>
    <w:rsid w:val="53656BCB"/>
    <w:rsid w:val="536E4C47"/>
    <w:rsid w:val="53740BBC"/>
    <w:rsid w:val="537A4A16"/>
    <w:rsid w:val="5382777D"/>
    <w:rsid w:val="5386726D"/>
    <w:rsid w:val="538E7ED0"/>
    <w:rsid w:val="5394300C"/>
    <w:rsid w:val="539B083F"/>
    <w:rsid w:val="539F3E8B"/>
    <w:rsid w:val="53A70F92"/>
    <w:rsid w:val="53AE2320"/>
    <w:rsid w:val="53AE40CE"/>
    <w:rsid w:val="53B042EA"/>
    <w:rsid w:val="53B536AF"/>
    <w:rsid w:val="53BA01AB"/>
    <w:rsid w:val="53C47D96"/>
    <w:rsid w:val="53DC4967"/>
    <w:rsid w:val="53DF697E"/>
    <w:rsid w:val="53EE096F"/>
    <w:rsid w:val="53F00B8B"/>
    <w:rsid w:val="53F8129A"/>
    <w:rsid w:val="53FC12DE"/>
    <w:rsid w:val="54014B46"/>
    <w:rsid w:val="540C5299"/>
    <w:rsid w:val="541C54DC"/>
    <w:rsid w:val="541F6D7A"/>
    <w:rsid w:val="54257FEE"/>
    <w:rsid w:val="542B531E"/>
    <w:rsid w:val="543F741C"/>
    <w:rsid w:val="54414F42"/>
    <w:rsid w:val="544D38E7"/>
    <w:rsid w:val="54557F4E"/>
    <w:rsid w:val="54596730"/>
    <w:rsid w:val="545D78A2"/>
    <w:rsid w:val="546155E5"/>
    <w:rsid w:val="546B6463"/>
    <w:rsid w:val="546D0228"/>
    <w:rsid w:val="546D5D37"/>
    <w:rsid w:val="54774E08"/>
    <w:rsid w:val="547B3570"/>
    <w:rsid w:val="547C41CC"/>
    <w:rsid w:val="547E031E"/>
    <w:rsid w:val="54881C53"/>
    <w:rsid w:val="54961B1B"/>
    <w:rsid w:val="549F7EBB"/>
    <w:rsid w:val="54A656ED"/>
    <w:rsid w:val="54AA72A7"/>
    <w:rsid w:val="54AB4AB2"/>
    <w:rsid w:val="54AD25D8"/>
    <w:rsid w:val="54B003AC"/>
    <w:rsid w:val="54B020C8"/>
    <w:rsid w:val="54B95421"/>
    <w:rsid w:val="54BB2F47"/>
    <w:rsid w:val="54D67D81"/>
    <w:rsid w:val="54D82240"/>
    <w:rsid w:val="54D933CD"/>
    <w:rsid w:val="54E57FC4"/>
    <w:rsid w:val="54E67A16"/>
    <w:rsid w:val="54EB4EAE"/>
    <w:rsid w:val="54EF4290"/>
    <w:rsid w:val="54F333CC"/>
    <w:rsid w:val="54F40207"/>
    <w:rsid w:val="55055F70"/>
    <w:rsid w:val="55061CE8"/>
    <w:rsid w:val="552503C0"/>
    <w:rsid w:val="552F7491"/>
    <w:rsid w:val="55480552"/>
    <w:rsid w:val="55491271"/>
    <w:rsid w:val="55594744"/>
    <w:rsid w:val="556709D9"/>
    <w:rsid w:val="556E7FB9"/>
    <w:rsid w:val="55807CEC"/>
    <w:rsid w:val="55872E29"/>
    <w:rsid w:val="55874B82"/>
    <w:rsid w:val="558863EB"/>
    <w:rsid w:val="558A6D4D"/>
    <w:rsid w:val="55A559A5"/>
    <w:rsid w:val="55BD684B"/>
    <w:rsid w:val="55BE2D74"/>
    <w:rsid w:val="55C80000"/>
    <w:rsid w:val="55CC49ED"/>
    <w:rsid w:val="55CD0132"/>
    <w:rsid w:val="55D25DC0"/>
    <w:rsid w:val="55DA5AE4"/>
    <w:rsid w:val="55DB7A9A"/>
    <w:rsid w:val="55E62245"/>
    <w:rsid w:val="55F06C20"/>
    <w:rsid w:val="55F54236"/>
    <w:rsid w:val="56097CE2"/>
    <w:rsid w:val="560E52F8"/>
    <w:rsid w:val="561548D9"/>
    <w:rsid w:val="56187D62"/>
    <w:rsid w:val="562661CB"/>
    <w:rsid w:val="562763BA"/>
    <w:rsid w:val="562C39D0"/>
    <w:rsid w:val="56352BBF"/>
    <w:rsid w:val="56360EAA"/>
    <w:rsid w:val="56382375"/>
    <w:rsid w:val="563B3C13"/>
    <w:rsid w:val="566C201F"/>
    <w:rsid w:val="566E5D97"/>
    <w:rsid w:val="568455BA"/>
    <w:rsid w:val="56AB6FEB"/>
    <w:rsid w:val="56AF0889"/>
    <w:rsid w:val="56B05FF1"/>
    <w:rsid w:val="56B12842"/>
    <w:rsid w:val="56B22127"/>
    <w:rsid w:val="56B539C6"/>
    <w:rsid w:val="56B82115"/>
    <w:rsid w:val="56BA5480"/>
    <w:rsid w:val="56BC4D54"/>
    <w:rsid w:val="56C105BC"/>
    <w:rsid w:val="56C22086"/>
    <w:rsid w:val="56D57BC4"/>
    <w:rsid w:val="56D60142"/>
    <w:rsid w:val="56D93B58"/>
    <w:rsid w:val="56DE1C7D"/>
    <w:rsid w:val="56EA7B13"/>
    <w:rsid w:val="56EB388B"/>
    <w:rsid w:val="56ED4172"/>
    <w:rsid w:val="56F664B8"/>
    <w:rsid w:val="56FE536D"/>
    <w:rsid w:val="56FF2E93"/>
    <w:rsid w:val="57014E5D"/>
    <w:rsid w:val="57016C0B"/>
    <w:rsid w:val="57081D47"/>
    <w:rsid w:val="570A5ABF"/>
    <w:rsid w:val="570D3802"/>
    <w:rsid w:val="570D735E"/>
    <w:rsid w:val="5712706A"/>
    <w:rsid w:val="57174E90"/>
    <w:rsid w:val="5717642E"/>
    <w:rsid w:val="571C57F3"/>
    <w:rsid w:val="572C26F1"/>
    <w:rsid w:val="57435475"/>
    <w:rsid w:val="57437223"/>
    <w:rsid w:val="574F7976"/>
    <w:rsid w:val="57517B92"/>
    <w:rsid w:val="57574A7D"/>
    <w:rsid w:val="577B69BD"/>
    <w:rsid w:val="577E46FF"/>
    <w:rsid w:val="57831D16"/>
    <w:rsid w:val="57853398"/>
    <w:rsid w:val="57875362"/>
    <w:rsid w:val="579932E7"/>
    <w:rsid w:val="57A11467"/>
    <w:rsid w:val="57A83C72"/>
    <w:rsid w:val="57AC301B"/>
    <w:rsid w:val="57B34948"/>
    <w:rsid w:val="57B91294"/>
    <w:rsid w:val="57BE55F9"/>
    <w:rsid w:val="57C7015C"/>
    <w:rsid w:val="57C71C02"/>
    <w:rsid w:val="57CC546B"/>
    <w:rsid w:val="57CC7219"/>
    <w:rsid w:val="57CF2865"/>
    <w:rsid w:val="57DC667B"/>
    <w:rsid w:val="57F624E8"/>
    <w:rsid w:val="57F81DBC"/>
    <w:rsid w:val="57FF75EE"/>
    <w:rsid w:val="580E7831"/>
    <w:rsid w:val="581F1A3E"/>
    <w:rsid w:val="58240E03"/>
    <w:rsid w:val="582901C7"/>
    <w:rsid w:val="58293F10"/>
    <w:rsid w:val="582C10E4"/>
    <w:rsid w:val="5835393E"/>
    <w:rsid w:val="5838717D"/>
    <w:rsid w:val="58390195"/>
    <w:rsid w:val="5847689F"/>
    <w:rsid w:val="585B234B"/>
    <w:rsid w:val="58613E05"/>
    <w:rsid w:val="58644EC9"/>
    <w:rsid w:val="58703ABC"/>
    <w:rsid w:val="58727DC0"/>
    <w:rsid w:val="5875165E"/>
    <w:rsid w:val="5886386C"/>
    <w:rsid w:val="58873140"/>
    <w:rsid w:val="58883F2F"/>
    <w:rsid w:val="58975A79"/>
    <w:rsid w:val="589921D9"/>
    <w:rsid w:val="58AB32D2"/>
    <w:rsid w:val="58AE691E"/>
    <w:rsid w:val="58AF60A7"/>
    <w:rsid w:val="58B403D0"/>
    <w:rsid w:val="58C6010C"/>
    <w:rsid w:val="58C85C32"/>
    <w:rsid w:val="58C93758"/>
    <w:rsid w:val="58D0677A"/>
    <w:rsid w:val="58D16B27"/>
    <w:rsid w:val="58D75E75"/>
    <w:rsid w:val="58D97E3F"/>
    <w:rsid w:val="58DC348C"/>
    <w:rsid w:val="58DE3C61"/>
    <w:rsid w:val="58E653B0"/>
    <w:rsid w:val="58E81E30"/>
    <w:rsid w:val="58E95BA9"/>
    <w:rsid w:val="58EA204C"/>
    <w:rsid w:val="58FE4684"/>
    <w:rsid w:val="59103135"/>
    <w:rsid w:val="591E5852"/>
    <w:rsid w:val="59205A6E"/>
    <w:rsid w:val="592310BA"/>
    <w:rsid w:val="5931369D"/>
    <w:rsid w:val="593A6404"/>
    <w:rsid w:val="593F1600"/>
    <w:rsid w:val="59486D73"/>
    <w:rsid w:val="595207A9"/>
    <w:rsid w:val="5955323E"/>
    <w:rsid w:val="595A453E"/>
    <w:rsid w:val="595C281E"/>
    <w:rsid w:val="595E0345"/>
    <w:rsid w:val="59643FFD"/>
    <w:rsid w:val="59675F8A"/>
    <w:rsid w:val="596A0A97"/>
    <w:rsid w:val="597153D3"/>
    <w:rsid w:val="59725B9E"/>
    <w:rsid w:val="5975743C"/>
    <w:rsid w:val="59771406"/>
    <w:rsid w:val="597E2795"/>
    <w:rsid w:val="59831B59"/>
    <w:rsid w:val="59851D75"/>
    <w:rsid w:val="598C3104"/>
    <w:rsid w:val="59945B14"/>
    <w:rsid w:val="59967ADE"/>
    <w:rsid w:val="59A651BB"/>
    <w:rsid w:val="59A90FE7"/>
    <w:rsid w:val="59AA358A"/>
    <w:rsid w:val="59AD307A"/>
    <w:rsid w:val="59B166C6"/>
    <w:rsid w:val="59B44408"/>
    <w:rsid w:val="59BB7545"/>
    <w:rsid w:val="59BE36AB"/>
    <w:rsid w:val="59CC3500"/>
    <w:rsid w:val="59D91D45"/>
    <w:rsid w:val="59DA71C6"/>
    <w:rsid w:val="59E00D5A"/>
    <w:rsid w:val="59EF5441"/>
    <w:rsid w:val="59F111B9"/>
    <w:rsid w:val="59FE7432"/>
    <w:rsid w:val="59FF1782"/>
    <w:rsid w:val="5A032C9A"/>
    <w:rsid w:val="5A0529AB"/>
    <w:rsid w:val="5A0A3C4C"/>
    <w:rsid w:val="5A0E3B19"/>
    <w:rsid w:val="5A137381"/>
    <w:rsid w:val="5A307F33"/>
    <w:rsid w:val="5A3B0686"/>
    <w:rsid w:val="5A427C66"/>
    <w:rsid w:val="5A5356C4"/>
    <w:rsid w:val="5A56101C"/>
    <w:rsid w:val="5A5B1143"/>
    <w:rsid w:val="5A5F5231"/>
    <w:rsid w:val="5A6D73EE"/>
    <w:rsid w:val="5A6E0A5B"/>
    <w:rsid w:val="5A755946"/>
    <w:rsid w:val="5A775A39"/>
    <w:rsid w:val="5A79768C"/>
    <w:rsid w:val="5A7B6CD4"/>
    <w:rsid w:val="5A7E49A3"/>
    <w:rsid w:val="5A821E11"/>
    <w:rsid w:val="5A902780"/>
    <w:rsid w:val="5A9761F4"/>
    <w:rsid w:val="5A9868E8"/>
    <w:rsid w:val="5A9A53AC"/>
    <w:rsid w:val="5AA02F74"/>
    <w:rsid w:val="5AA47895"/>
    <w:rsid w:val="5AAD190B"/>
    <w:rsid w:val="5AB0697E"/>
    <w:rsid w:val="5ABC17C7"/>
    <w:rsid w:val="5ABD553F"/>
    <w:rsid w:val="5AC10B8B"/>
    <w:rsid w:val="5AC93EE4"/>
    <w:rsid w:val="5ACB37B8"/>
    <w:rsid w:val="5ACC7DEC"/>
    <w:rsid w:val="5ACE32A8"/>
    <w:rsid w:val="5AD3266C"/>
    <w:rsid w:val="5AD85ED5"/>
    <w:rsid w:val="5ADA1C4D"/>
    <w:rsid w:val="5ADD173D"/>
    <w:rsid w:val="5B04316E"/>
    <w:rsid w:val="5B060C94"/>
    <w:rsid w:val="5B0A0784"/>
    <w:rsid w:val="5B0B4120"/>
    <w:rsid w:val="5B182775"/>
    <w:rsid w:val="5B1A473F"/>
    <w:rsid w:val="5B1F3B03"/>
    <w:rsid w:val="5B231846"/>
    <w:rsid w:val="5B244E37"/>
    <w:rsid w:val="5B2829B8"/>
    <w:rsid w:val="5B294982"/>
    <w:rsid w:val="5B2A2BD4"/>
    <w:rsid w:val="5B323837"/>
    <w:rsid w:val="5B33135D"/>
    <w:rsid w:val="5B336FCD"/>
    <w:rsid w:val="5B3C6463"/>
    <w:rsid w:val="5B3E50D0"/>
    <w:rsid w:val="5B44356A"/>
    <w:rsid w:val="5B4517BC"/>
    <w:rsid w:val="5B465534"/>
    <w:rsid w:val="5B57504B"/>
    <w:rsid w:val="5B5D51E5"/>
    <w:rsid w:val="5B682969"/>
    <w:rsid w:val="5B692E31"/>
    <w:rsid w:val="5B751975"/>
    <w:rsid w:val="5B791466"/>
    <w:rsid w:val="5B8322E4"/>
    <w:rsid w:val="5B8A3673"/>
    <w:rsid w:val="5B975D90"/>
    <w:rsid w:val="5B991B08"/>
    <w:rsid w:val="5BC40E77"/>
    <w:rsid w:val="5BC6626E"/>
    <w:rsid w:val="5BC70423"/>
    <w:rsid w:val="5BD65D9F"/>
    <w:rsid w:val="5BE014E5"/>
    <w:rsid w:val="5BE15DD7"/>
    <w:rsid w:val="5BE8081F"/>
    <w:rsid w:val="5BE80961"/>
    <w:rsid w:val="5BED08DD"/>
    <w:rsid w:val="5BF1724E"/>
    <w:rsid w:val="5BF26BAF"/>
    <w:rsid w:val="5BF40AEC"/>
    <w:rsid w:val="5BF97A64"/>
    <w:rsid w:val="5C043425"/>
    <w:rsid w:val="5C074CC3"/>
    <w:rsid w:val="5C2018E1"/>
    <w:rsid w:val="5C251F15"/>
    <w:rsid w:val="5C2F7D76"/>
    <w:rsid w:val="5C313AEE"/>
    <w:rsid w:val="5C367357"/>
    <w:rsid w:val="5C3776A6"/>
    <w:rsid w:val="5C3E7D5D"/>
    <w:rsid w:val="5C403D31"/>
    <w:rsid w:val="5C4750C0"/>
    <w:rsid w:val="5C4C0928"/>
    <w:rsid w:val="5C591625"/>
    <w:rsid w:val="5C5960FF"/>
    <w:rsid w:val="5C5E56D9"/>
    <w:rsid w:val="5C5F49BB"/>
    <w:rsid w:val="5C701A68"/>
    <w:rsid w:val="5C797243"/>
    <w:rsid w:val="5C7C7353"/>
    <w:rsid w:val="5C871960"/>
    <w:rsid w:val="5C8C6F77"/>
    <w:rsid w:val="5C8E0F41"/>
    <w:rsid w:val="5CA22C3E"/>
    <w:rsid w:val="5CA26790"/>
    <w:rsid w:val="5CA5564B"/>
    <w:rsid w:val="5CAA564F"/>
    <w:rsid w:val="5CB07B52"/>
    <w:rsid w:val="5CB5471F"/>
    <w:rsid w:val="5CBC7F8E"/>
    <w:rsid w:val="5CC154D0"/>
    <w:rsid w:val="5CC74453"/>
    <w:rsid w:val="5CC76201"/>
    <w:rsid w:val="5CCA06F9"/>
    <w:rsid w:val="5CD13F5C"/>
    <w:rsid w:val="5CE13766"/>
    <w:rsid w:val="5CE24DE9"/>
    <w:rsid w:val="5CEC4B35"/>
    <w:rsid w:val="5CEE378D"/>
    <w:rsid w:val="5CF52D6E"/>
    <w:rsid w:val="5CFC234E"/>
    <w:rsid w:val="5D011713"/>
    <w:rsid w:val="5D086F45"/>
    <w:rsid w:val="5D137698"/>
    <w:rsid w:val="5D1D4073"/>
    <w:rsid w:val="5D2C323C"/>
    <w:rsid w:val="5D2E6280"/>
    <w:rsid w:val="5D3354BA"/>
    <w:rsid w:val="5D4A192A"/>
    <w:rsid w:val="5D4A4B91"/>
    <w:rsid w:val="5D5061F6"/>
    <w:rsid w:val="5D5B085B"/>
    <w:rsid w:val="5D635F29"/>
    <w:rsid w:val="5D6D0B56"/>
    <w:rsid w:val="5D6F5399"/>
    <w:rsid w:val="5D753EAF"/>
    <w:rsid w:val="5D773EDA"/>
    <w:rsid w:val="5D777C27"/>
    <w:rsid w:val="5D804D2D"/>
    <w:rsid w:val="5D867E6A"/>
    <w:rsid w:val="5D882ABD"/>
    <w:rsid w:val="5D883BE2"/>
    <w:rsid w:val="5D9562FF"/>
    <w:rsid w:val="5D9D1C68"/>
    <w:rsid w:val="5D9E51B4"/>
    <w:rsid w:val="5D9F2CDA"/>
    <w:rsid w:val="5DA01C22"/>
    <w:rsid w:val="5DAD3649"/>
    <w:rsid w:val="5DB90876"/>
    <w:rsid w:val="5DB9329D"/>
    <w:rsid w:val="5DBB3FB7"/>
    <w:rsid w:val="5DBC614A"/>
    <w:rsid w:val="5DCF1BBF"/>
    <w:rsid w:val="5DCF7A63"/>
    <w:rsid w:val="5DD40BD5"/>
    <w:rsid w:val="5DDC5CDC"/>
    <w:rsid w:val="5DDF310D"/>
    <w:rsid w:val="5DE559E5"/>
    <w:rsid w:val="5DE96B19"/>
    <w:rsid w:val="5DEF5A0F"/>
    <w:rsid w:val="5DF063D2"/>
    <w:rsid w:val="5DFC2AD9"/>
    <w:rsid w:val="5DFE20F6"/>
    <w:rsid w:val="5E033269"/>
    <w:rsid w:val="5E03770C"/>
    <w:rsid w:val="5E06123C"/>
    <w:rsid w:val="5E0A0A9B"/>
    <w:rsid w:val="5E0C65C1"/>
    <w:rsid w:val="5E10474E"/>
    <w:rsid w:val="5E1C257C"/>
    <w:rsid w:val="5E2D4789"/>
    <w:rsid w:val="5E2F405E"/>
    <w:rsid w:val="5E3653EC"/>
    <w:rsid w:val="5E4E4E2C"/>
    <w:rsid w:val="5E4E6BDA"/>
    <w:rsid w:val="5E587764"/>
    <w:rsid w:val="5E5A37D0"/>
    <w:rsid w:val="5E6D4B86"/>
    <w:rsid w:val="5E710B1A"/>
    <w:rsid w:val="5E714676"/>
    <w:rsid w:val="5E800D5D"/>
    <w:rsid w:val="5E9071F2"/>
    <w:rsid w:val="5E9F11E3"/>
    <w:rsid w:val="5EA81963"/>
    <w:rsid w:val="5EA93E10"/>
    <w:rsid w:val="5EB86749"/>
    <w:rsid w:val="5EBD281C"/>
    <w:rsid w:val="5EBD5B0D"/>
    <w:rsid w:val="5EC23124"/>
    <w:rsid w:val="5EC82C7F"/>
    <w:rsid w:val="5EC96260"/>
    <w:rsid w:val="5ECA3D86"/>
    <w:rsid w:val="5EDA221B"/>
    <w:rsid w:val="5EDD7F5D"/>
    <w:rsid w:val="5EE035AA"/>
    <w:rsid w:val="5EE8294B"/>
    <w:rsid w:val="5EEE4008"/>
    <w:rsid w:val="5EF13A09"/>
    <w:rsid w:val="5EF57055"/>
    <w:rsid w:val="5EF808F3"/>
    <w:rsid w:val="5EFB03E4"/>
    <w:rsid w:val="5EFF6126"/>
    <w:rsid w:val="5F04373C"/>
    <w:rsid w:val="5F140A8B"/>
    <w:rsid w:val="5F216742"/>
    <w:rsid w:val="5F2E2567"/>
    <w:rsid w:val="5F2F459B"/>
    <w:rsid w:val="5F312917"/>
    <w:rsid w:val="5F357D99"/>
    <w:rsid w:val="5F4B3119"/>
    <w:rsid w:val="5F577D10"/>
    <w:rsid w:val="5F5A7800"/>
    <w:rsid w:val="5F5C70D4"/>
    <w:rsid w:val="5F5F4B0A"/>
    <w:rsid w:val="5F6917F1"/>
    <w:rsid w:val="5F6D12E1"/>
    <w:rsid w:val="5F71212B"/>
    <w:rsid w:val="5F7206A6"/>
    <w:rsid w:val="5F7A1C50"/>
    <w:rsid w:val="5F7C7776"/>
    <w:rsid w:val="5F7F2538"/>
    <w:rsid w:val="5F810500"/>
    <w:rsid w:val="5F8108E9"/>
    <w:rsid w:val="5F8D54E0"/>
    <w:rsid w:val="5F8E0944"/>
    <w:rsid w:val="5F8F6B36"/>
    <w:rsid w:val="5F9024A8"/>
    <w:rsid w:val="5F920D48"/>
    <w:rsid w:val="5F954394"/>
    <w:rsid w:val="5FA1676C"/>
    <w:rsid w:val="5FA840C8"/>
    <w:rsid w:val="5FB235AC"/>
    <w:rsid w:val="5FB40CBE"/>
    <w:rsid w:val="5FB5737D"/>
    <w:rsid w:val="5FB9312A"/>
    <w:rsid w:val="5FBC5DC5"/>
    <w:rsid w:val="5FBE7D8F"/>
    <w:rsid w:val="5FCB425A"/>
    <w:rsid w:val="5FD80C9E"/>
    <w:rsid w:val="5FD94ABC"/>
    <w:rsid w:val="5FE61094"/>
    <w:rsid w:val="5FF13CC0"/>
    <w:rsid w:val="5FF2089A"/>
    <w:rsid w:val="5FF21E3A"/>
    <w:rsid w:val="5FF27272"/>
    <w:rsid w:val="600503C7"/>
    <w:rsid w:val="602816AC"/>
    <w:rsid w:val="603942CD"/>
    <w:rsid w:val="60422A1C"/>
    <w:rsid w:val="604F6C39"/>
    <w:rsid w:val="60593614"/>
    <w:rsid w:val="60716BAF"/>
    <w:rsid w:val="60732927"/>
    <w:rsid w:val="60744B26"/>
    <w:rsid w:val="60747F1B"/>
    <w:rsid w:val="608F34D9"/>
    <w:rsid w:val="60973465"/>
    <w:rsid w:val="609C36ED"/>
    <w:rsid w:val="609E371C"/>
    <w:rsid w:val="60A52CFD"/>
    <w:rsid w:val="60A56859"/>
    <w:rsid w:val="60B65D1D"/>
    <w:rsid w:val="60B847DE"/>
    <w:rsid w:val="60C50CA9"/>
    <w:rsid w:val="60CC2038"/>
    <w:rsid w:val="60CE35A7"/>
    <w:rsid w:val="60CE5DB0"/>
    <w:rsid w:val="60D809DC"/>
    <w:rsid w:val="60DB4C5E"/>
    <w:rsid w:val="60E12DAE"/>
    <w:rsid w:val="60E43825"/>
    <w:rsid w:val="60EB4BB4"/>
    <w:rsid w:val="60FB0B6F"/>
    <w:rsid w:val="60FC2713"/>
    <w:rsid w:val="61084526"/>
    <w:rsid w:val="61112140"/>
    <w:rsid w:val="61131A15"/>
    <w:rsid w:val="61147259"/>
    <w:rsid w:val="61167757"/>
    <w:rsid w:val="611A5316"/>
    <w:rsid w:val="612260FC"/>
    <w:rsid w:val="61305AA9"/>
    <w:rsid w:val="61363955"/>
    <w:rsid w:val="613956DC"/>
    <w:rsid w:val="613F0A5C"/>
    <w:rsid w:val="614147D4"/>
    <w:rsid w:val="61462D93"/>
    <w:rsid w:val="61494D64"/>
    <w:rsid w:val="614B42D8"/>
    <w:rsid w:val="615D7134"/>
    <w:rsid w:val="615F10FE"/>
    <w:rsid w:val="616C7772"/>
    <w:rsid w:val="61785D1C"/>
    <w:rsid w:val="617F354E"/>
    <w:rsid w:val="618B1EF3"/>
    <w:rsid w:val="619E1214"/>
    <w:rsid w:val="61AB60F1"/>
    <w:rsid w:val="61AC6EB4"/>
    <w:rsid w:val="61AF1F6F"/>
    <w:rsid w:val="61B07AC3"/>
    <w:rsid w:val="61B825BC"/>
    <w:rsid w:val="61C24BBB"/>
    <w:rsid w:val="61CB0541"/>
    <w:rsid w:val="61CD6067"/>
    <w:rsid w:val="61D32128"/>
    <w:rsid w:val="61DC5078"/>
    <w:rsid w:val="61DE0274"/>
    <w:rsid w:val="61E67129"/>
    <w:rsid w:val="61E8214B"/>
    <w:rsid w:val="61EA7445"/>
    <w:rsid w:val="61EB0BE3"/>
    <w:rsid w:val="61ED3737"/>
    <w:rsid w:val="61ED495B"/>
    <w:rsid w:val="61F23D20"/>
    <w:rsid w:val="61F64F67"/>
    <w:rsid w:val="61FA4982"/>
    <w:rsid w:val="62051CA5"/>
    <w:rsid w:val="620D2908"/>
    <w:rsid w:val="620F0A32"/>
    <w:rsid w:val="6210259F"/>
    <w:rsid w:val="62175534"/>
    <w:rsid w:val="621831C9"/>
    <w:rsid w:val="621C6FEF"/>
    <w:rsid w:val="62256C9C"/>
    <w:rsid w:val="6247406C"/>
    <w:rsid w:val="62490FA4"/>
    <w:rsid w:val="62495E5B"/>
    <w:rsid w:val="624B4462"/>
    <w:rsid w:val="624F0BFB"/>
    <w:rsid w:val="625247BE"/>
    <w:rsid w:val="625356FA"/>
    <w:rsid w:val="62571663"/>
    <w:rsid w:val="62634C1E"/>
    <w:rsid w:val="626764BC"/>
    <w:rsid w:val="627604AD"/>
    <w:rsid w:val="62787E6D"/>
    <w:rsid w:val="62797F9D"/>
    <w:rsid w:val="629B43B7"/>
    <w:rsid w:val="629D3C8C"/>
    <w:rsid w:val="629E410D"/>
    <w:rsid w:val="62A74B0A"/>
    <w:rsid w:val="62AC0373"/>
    <w:rsid w:val="62B15989"/>
    <w:rsid w:val="62B51A14"/>
    <w:rsid w:val="62B72874"/>
    <w:rsid w:val="62B80F58"/>
    <w:rsid w:val="62CE653B"/>
    <w:rsid w:val="62CF7BBD"/>
    <w:rsid w:val="62E573E1"/>
    <w:rsid w:val="62EA6888"/>
    <w:rsid w:val="62F51D1A"/>
    <w:rsid w:val="630B32EB"/>
    <w:rsid w:val="630E2DDB"/>
    <w:rsid w:val="63155F18"/>
    <w:rsid w:val="63316ACA"/>
    <w:rsid w:val="634B661E"/>
    <w:rsid w:val="63556314"/>
    <w:rsid w:val="635A12B4"/>
    <w:rsid w:val="6361115D"/>
    <w:rsid w:val="63676048"/>
    <w:rsid w:val="63690012"/>
    <w:rsid w:val="637149F7"/>
    <w:rsid w:val="6374265A"/>
    <w:rsid w:val="637B48FF"/>
    <w:rsid w:val="637F41CC"/>
    <w:rsid w:val="637F7835"/>
    <w:rsid w:val="63855718"/>
    <w:rsid w:val="63887BA4"/>
    <w:rsid w:val="638B7F88"/>
    <w:rsid w:val="638C3D00"/>
    <w:rsid w:val="63A1155A"/>
    <w:rsid w:val="63A23524"/>
    <w:rsid w:val="63B55005"/>
    <w:rsid w:val="63B84AF5"/>
    <w:rsid w:val="63BE65AF"/>
    <w:rsid w:val="63C828CF"/>
    <w:rsid w:val="63CC0A85"/>
    <w:rsid w:val="63CD75B0"/>
    <w:rsid w:val="63D00091"/>
    <w:rsid w:val="63D86F45"/>
    <w:rsid w:val="63E1404C"/>
    <w:rsid w:val="63F57AF7"/>
    <w:rsid w:val="63FF67E2"/>
    <w:rsid w:val="6408782B"/>
    <w:rsid w:val="640D6BEF"/>
    <w:rsid w:val="64195594"/>
    <w:rsid w:val="64406FC4"/>
    <w:rsid w:val="64413718"/>
    <w:rsid w:val="644A7E43"/>
    <w:rsid w:val="645962D8"/>
    <w:rsid w:val="645E2921"/>
    <w:rsid w:val="645E569D"/>
    <w:rsid w:val="646709F5"/>
    <w:rsid w:val="646F1658"/>
    <w:rsid w:val="647A7046"/>
    <w:rsid w:val="64801AB7"/>
    <w:rsid w:val="64805613"/>
    <w:rsid w:val="64835103"/>
    <w:rsid w:val="648669A1"/>
    <w:rsid w:val="648844C8"/>
    <w:rsid w:val="648A6492"/>
    <w:rsid w:val="64925346"/>
    <w:rsid w:val="6493262A"/>
    <w:rsid w:val="64966BE4"/>
    <w:rsid w:val="64AD62C1"/>
    <w:rsid w:val="64AE4122"/>
    <w:rsid w:val="64AF414A"/>
    <w:rsid w:val="64B259E8"/>
    <w:rsid w:val="64B4350F"/>
    <w:rsid w:val="64B654D9"/>
    <w:rsid w:val="64C42D3C"/>
    <w:rsid w:val="64CF659A"/>
    <w:rsid w:val="64D21BE7"/>
    <w:rsid w:val="64D63485"/>
    <w:rsid w:val="64D64FBF"/>
    <w:rsid w:val="64D82C74"/>
    <w:rsid w:val="64D8544F"/>
    <w:rsid w:val="64DF35AC"/>
    <w:rsid w:val="64E72408"/>
    <w:rsid w:val="64E9376F"/>
    <w:rsid w:val="64EB7E43"/>
    <w:rsid w:val="64FD2F54"/>
    <w:rsid w:val="64FD4EB5"/>
    <w:rsid w:val="65053D6A"/>
    <w:rsid w:val="65077AE2"/>
    <w:rsid w:val="65192A0E"/>
    <w:rsid w:val="65197815"/>
    <w:rsid w:val="651A5A67"/>
    <w:rsid w:val="651C6CD8"/>
    <w:rsid w:val="651D7306"/>
    <w:rsid w:val="651E1F69"/>
    <w:rsid w:val="6525440C"/>
    <w:rsid w:val="65295CAB"/>
    <w:rsid w:val="653463FD"/>
    <w:rsid w:val="653603C7"/>
    <w:rsid w:val="653B3C30"/>
    <w:rsid w:val="65406E7C"/>
    <w:rsid w:val="65534AD5"/>
    <w:rsid w:val="65562818"/>
    <w:rsid w:val="655D5954"/>
    <w:rsid w:val="656C5144"/>
    <w:rsid w:val="657D53CD"/>
    <w:rsid w:val="65864EAB"/>
    <w:rsid w:val="65883BF7"/>
    <w:rsid w:val="65A610A9"/>
    <w:rsid w:val="65AB2B63"/>
    <w:rsid w:val="65B43127"/>
    <w:rsid w:val="65BD4645"/>
    <w:rsid w:val="65C50B86"/>
    <w:rsid w:val="65C77271"/>
    <w:rsid w:val="65D06126"/>
    <w:rsid w:val="65D8322D"/>
    <w:rsid w:val="65DA6FA5"/>
    <w:rsid w:val="65E32D3B"/>
    <w:rsid w:val="65E87914"/>
    <w:rsid w:val="65EB2F60"/>
    <w:rsid w:val="65F067C8"/>
    <w:rsid w:val="660758C0"/>
    <w:rsid w:val="66106E6A"/>
    <w:rsid w:val="661C0064"/>
    <w:rsid w:val="66291CDA"/>
    <w:rsid w:val="662B7800"/>
    <w:rsid w:val="664B1C51"/>
    <w:rsid w:val="664D3C1B"/>
    <w:rsid w:val="665135D2"/>
    <w:rsid w:val="66522FDF"/>
    <w:rsid w:val="6659611C"/>
    <w:rsid w:val="66675DB0"/>
    <w:rsid w:val="666F1DE3"/>
    <w:rsid w:val="666F3B91"/>
    <w:rsid w:val="66754F1F"/>
    <w:rsid w:val="667B2536"/>
    <w:rsid w:val="66805D9E"/>
    <w:rsid w:val="668533B4"/>
    <w:rsid w:val="66952ECC"/>
    <w:rsid w:val="6695530A"/>
    <w:rsid w:val="669930A9"/>
    <w:rsid w:val="669B4986"/>
    <w:rsid w:val="66AD63BC"/>
    <w:rsid w:val="66B21CD0"/>
    <w:rsid w:val="66B84102"/>
    <w:rsid w:val="66BC66AA"/>
    <w:rsid w:val="66BE4AA2"/>
    <w:rsid w:val="66C0619B"/>
    <w:rsid w:val="66CB2379"/>
    <w:rsid w:val="66DD0934"/>
    <w:rsid w:val="66E005EB"/>
    <w:rsid w:val="670544F5"/>
    <w:rsid w:val="670818F0"/>
    <w:rsid w:val="67091DC0"/>
    <w:rsid w:val="67185D60"/>
    <w:rsid w:val="67217455"/>
    <w:rsid w:val="67346B89"/>
    <w:rsid w:val="67376850"/>
    <w:rsid w:val="673B7F17"/>
    <w:rsid w:val="673C1934"/>
    <w:rsid w:val="673F69F4"/>
    <w:rsid w:val="674111B0"/>
    <w:rsid w:val="674A1F08"/>
    <w:rsid w:val="674F1458"/>
    <w:rsid w:val="67580AC9"/>
    <w:rsid w:val="676034DA"/>
    <w:rsid w:val="6764746E"/>
    <w:rsid w:val="677217CF"/>
    <w:rsid w:val="67760F4F"/>
    <w:rsid w:val="677671A1"/>
    <w:rsid w:val="678216A2"/>
    <w:rsid w:val="67A37BB7"/>
    <w:rsid w:val="67A511E0"/>
    <w:rsid w:val="67AD2C7E"/>
    <w:rsid w:val="67B53825"/>
    <w:rsid w:val="67BD7742"/>
    <w:rsid w:val="67D22629"/>
    <w:rsid w:val="67E06114"/>
    <w:rsid w:val="67E8385E"/>
    <w:rsid w:val="67E84159"/>
    <w:rsid w:val="67EE6D37"/>
    <w:rsid w:val="67F24A7A"/>
    <w:rsid w:val="67F85E08"/>
    <w:rsid w:val="68014CBD"/>
    <w:rsid w:val="680622D3"/>
    <w:rsid w:val="6817003C"/>
    <w:rsid w:val="682054F9"/>
    <w:rsid w:val="68232E85"/>
    <w:rsid w:val="68264723"/>
    <w:rsid w:val="68297D70"/>
    <w:rsid w:val="68354966"/>
    <w:rsid w:val="68394457"/>
    <w:rsid w:val="683C3F47"/>
    <w:rsid w:val="683C4EF7"/>
    <w:rsid w:val="683E7CBF"/>
    <w:rsid w:val="684136FE"/>
    <w:rsid w:val="6845631E"/>
    <w:rsid w:val="68490412"/>
    <w:rsid w:val="684921C0"/>
    <w:rsid w:val="68526547"/>
    <w:rsid w:val="685E70DC"/>
    <w:rsid w:val="685F018D"/>
    <w:rsid w:val="686267CE"/>
    <w:rsid w:val="686314D3"/>
    <w:rsid w:val="68665D41"/>
    <w:rsid w:val="68676447"/>
    <w:rsid w:val="68721717"/>
    <w:rsid w:val="68774F7F"/>
    <w:rsid w:val="68792AA5"/>
    <w:rsid w:val="687E3344"/>
    <w:rsid w:val="687F5BE1"/>
    <w:rsid w:val="68817BAC"/>
    <w:rsid w:val="689326E4"/>
    <w:rsid w:val="6897117D"/>
    <w:rsid w:val="689B6EBF"/>
    <w:rsid w:val="68AD274F"/>
    <w:rsid w:val="68B03FED"/>
    <w:rsid w:val="68BE2BAE"/>
    <w:rsid w:val="68BE495C"/>
    <w:rsid w:val="68C006D4"/>
    <w:rsid w:val="68D0643D"/>
    <w:rsid w:val="68D45F2D"/>
    <w:rsid w:val="68DB3760"/>
    <w:rsid w:val="68DB3ACF"/>
    <w:rsid w:val="68EB3277"/>
    <w:rsid w:val="68EE2324"/>
    <w:rsid w:val="68F77E6E"/>
    <w:rsid w:val="690C3919"/>
    <w:rsid w:val="690F0DB1"/>
    <w:rsid w:val="690F3409"/>
    <w:rsid w:val="69132EFA"/>
    <w:rsid w:val="69160CB0"/>
    <w:rsid w:val="692078F3"/>
    <w:rsid w:val="69216C99"/>
    <w:rsid w:val="692F7608"/>
    <w:rsid w:val="69321F89"/>
    <w:rsid w:val="6938470E"/>
    <w:rsid w:val="693F6A4B"/>
    <w:rsid w:val="69407A67"/>
    <w:rsid w:val="69486DFA"/>
    <w:rsid w:val="69561038"/>
    <w:rsid w:val="695B664F"/>
    <w:rsid w:val="69605A13"/>
    <w:rsid w:val="69733998"/>
    <w:rsid w:val="697414BE"/>
    <w:rsid w:val="69796AD5"/>
    <w:rsid w:val="697B284D"/>
    <w:rsid w:val="697F4755"/>
    <w:rsid w:val="698536CB"/>
    <w:rsid w:val="6994133F"/>
    <w:rsid w:val="69A8001A"/>
    <w:rsid w:val="69AA4EE0"/>
    <w:rsid w:val="69B0699A"/>
    <w:rsid w:val="69B23EF1"/>
    <w:rsid w:val="69B67CCE"/>
    <w:rsid w:val="69B67D29"/>
    <w:rsid w:val="69B714CD"/>
    <w:rsid w:val="69B813AB"/>
    <w:rsid w:val="69C51D1A"/>
    <w:rsid w:val="69C77840"/>
    <w:rsid w:val="69CD18E0"/>
    <w:rsid w:val="69D8306A"/>
    <w:rsid w:val="69DD5C4F"/>
    <w:rsid w:val="69DF2DDC"/>
    <w:rsid w:val="69E403F2"/>
    <w:rsid w:val="69EB1780"/>
    <w:rsid w:val="69ED735F"/>
    <w:rsid w:val="69F34AD9"/>
    <w:rsid w:val="69F66377"/>
    <w:rsid w:val="6A0445F0"/>
    <w:rsid w:val="6A1231B1"/>
    <w:rsid w:val="6A185492"/>
    <w:rsid w:val="6A266C5C"/>
    <w:rsid w:val="6A464C09"/>
    <w:rsid w:val="6A48521E"/>
    <w:rsid w:val="6A554E4C"/>
    <w:rsid w:val="6A5A7D27"/>
    <w:rsid w:val="6A5C442C"/>
    <w:rsid w:val="6A5E63F6"/>
    <w:rsid w:val="6A7F3DFB"/>
    <w:rsid w:val="6A7F45BF"/>
    <w:rsid w:val="6A8614A9"/>
    <w:rsid w:val="6A8A1A2E"/>
    <w:rsid w:val="6A99074F"/>
    <w:rsid w:val="6A9E7D95"/>
    <w:rsid w:val="6AA54FFF"/>
    <w:rsid w:val="6AA87672"/>
    <w:rsid w:val="6AAC4074"/>
    <w:rsid w:val="6AAF0A00"/>
    <w:rsid w:val="6AB728CA"/>
    <w:rsid w:val="6AC45F20"/>
    <w:rsid w:val="6AC83870"/>
    <w:rsid w:val="6ACB15B2"/>
    <w:rsid w:val="6ACD70D8"/>
    <w:rsid w:val="6ACE4BFE"/>
    <w:rsid w:val="6AD6251C"/>
    <w:rsid w:val="6AE07293"/>
    <w:rsid w:val="6AEA7C8A"/>
    <w:rsid w:val="6AEF52A0"/>
    <w:rsid w:val="6AF01018"/>
    <w:rsid w:val="6AF20074"/>
    <w:rsid w:val="6AF606B0"/>
    <w:rsid w:val="6AFD7E4E"/>
    <w:rsid w:val="6B0A032C"/>
    <w:rsid w:val="6B1D2941"/>
    <w:rsid w:val="6B20545A"/>
    <w:rsid w:val="6B2111D2"/>
    <w:rsid w:val="6B247251"/>
    <w:rsid w:val="6B301415"/>
    <w:rsid w:val="6B431148"/>
    <w:rsid w:val="6B4F741B"/>
    <w:rsid w:val="6B513865"/>
    <w:rsid w:val="6B543355"/>
    <w:rsid w:val="6B5D6400"/>
    <w:rsid w:val="6B5E2426"/>
    <w:rsid w:val="6B67752D"/>
    <w:rsid w:val="6B76151E"/>
    <w:rsid w:val="6B772050"/>
    <w:rsid w:val="6B7D1561"/>
    <w:rsid w:val="6B862C3A"/>
    <w:rsid w:val="6B8C2AEF"/>
    <w:rsid w:val="6B8E4AB9"/>
    <w:rsid w:val="6B930322"/>
    <w:rsid w:val="6BA240C1"/>
    <w:rsid w:val="6BB71CD9"/>
    <w:rsid w:val="6BB9072A"/>
    <w:rsid w:val="6BBB33D4"/>
    <w:rsid w:val="6BBF1117"/>
    <w:rsid w:val="6BC229B5"/>
    <w:rsid w:val="6BC77FCB"/>
    <w:rsid w:val="6BD36970"/>
    <w:rsid w:val="6BD526E8"/>
    <w:rsid w:val="6BDD159D"/>
    <w:rsid w:val="6BE2359D"/>
    <w:rsid w:val="6BE75F78"/>
    <w:rsid w:val="6BE91CF0"/>
    <w:rsid w:val="6BE96194"/>
    <w:rsid w:val="6BF30089"/>
    <w:rsid w:val="6BFA214F"/>
    <w:rsid w:val="6BFD1C3F"/>
    <w:rsid w:val="6C04024F"/>
    <w:rsid w:val="6C094140"/>
    <w:rsid w:val="6C101972"/>
    <w:rsid w:val="6C225202"/>
    <w:rsid w:val="6C270A6A"/>
    <w:rsid w:val="6C350CF1"/>
    <w:rsid w:val="6C3A079D"/>
    <w:rsid w:val="6C423AF6"/>
    <w:rsid w:val="6C57134F"/>
    <w:rsid w:val="6C5C39F3"/>
    <w:rsid w:val="6C5F6456"/>
    <w:rsid w:val="6C661592"/>
    <w:rsid w:val="6C6D0B73"/>
    <w:rsid w:val="6C702411"/>
    <w:rsid w:val="6C727F37"/>
    <w:rsid w:val="6C7A3290"/>
    <w:rsid w:val="6C7F08A6"/>
    <w:rsid w:val="6C895281"/>
    <w:rsid w:val="6C8958D0"/>
    <w:rsid w:val="6C8B0FF9"/>
    <w:rsid w:val="6C90660F"/>
    <w:rsid w:val="6C9854C4"/>
    <w:rsid w:val="6C9A123C"/>
    <w:rsid w:val="6CA62EAB"/>
    <w:rsid w:val="6CAA652D"/>
    <w:rsid w:val="6CAB51F7"/>
    <w:rsid w:val="6CB467A2"/>
    <w:rsid w:val="6CB56076"/>
    <w:rsid w:val="6CC72070"/>
    <w:rsid w:val="6CCE7137"/>
    <w:rsid w:val="6CD01EDC"/>
    <w:rsid w:val="6CD429A0"/>
    <w:rsid w:val="6CD75FEC"/>
    <w:rsid w:val="6CEC68FA"/>
    <w:rsid w:val="6CED5810"/>
    <w:rsid w:val="6CFA7F2C"/>
    <w:rsid w:val="6CFD59CC"/>
    <w:rsid w:val="6D013069"/>
    <w:rsid w:val="6D107750"/>
    <w:rsid w:val="6D140FA1"/>
    <w:rsid w:val="6D153790"/>
    <w:rsid w:val="6D1E1E6D"/>
    <w:rsid w:val="6D2B458A"/>
    <w:rsid w:val="6D317DF2"/>
    <w:rsid w:val="6D480C98"/>
    <w:rsid w:val="6D4A4A10"/>
    <w:rsid w:val="6D4C314B"/>
    <w:rsid w:val="6D4C4C2C"/>
    <w:rsid w:val="6D521B17"/>
    <w:rsid w:val="6D553112"/>
    <w:rsid w:val="6D594C53"/>
    <w:rsid w:val="6D624790"/>
    <w:rsid w:val="6D645DE7"/>
    <w:rsid w:val="6D6C2536"/>
    <w:rsid w:val="6D704099"/>
    <w:rsid w:val="6D716C11"/>
    <w:rsid w:val="6D761CA9"/>
    <w:rsid w:val="6D7E290C"/>
    <w:rsid w:val="6D8819DC"/>
    <w:rsid w:val="6D961CAF"/>
    <w:rsid w:val="6D965EA7"/>
    <w:rsid w:val="6D970E1E"/>
    <w:rsid w:val="6D97577B"/>
    <w:rsid w:val="6D992BE2"/>
    <w:rsid w:val="6D9E2FAE"/>
    <w:rsid w:val="6DA06D26"/>
    <w:rsid w:val="6DB12CE1"/>
    <w:rsid w:val="6DB21D25"/>
    <w:rsid w:val="6DB36A59"/>
    <w:rsid w:val="6DB8406F"/>
    <w:rsid w:val="6DBD1686"/>
    <w:rsid w:val="6DDD7632"/>
    <w:rsid w:val="6DF332FA"/>
    <w:rsid w:val="6DF37070"/>
    <w:rsid w:val="6E005A16"/>
    <w:rsid w:val="6E080427"/>
    <w:rsid w:val="6E192634"/>
    <w:rsid w:val="6E224144"/>
    <w:rsid w:val="6E261D16"/>
    <w:rsid w:val="6E2A4841"/>
    <w:rsid w:val="6E340DE8"/>
    <w:rsid w:val="6E5A0717"/>
    <w:rsid w:val="6E5D0773"/>
    <w:rsid w:val="6E5D572C"/>
    <w:rsid w:val="6E661D1D"/>
    <w:rsid w:val="6E69536A"/>
    <w:rsid w:val="6E6B10E2"/>
    <w:rsid w:val="6E702E28"/>
    <w:rsid w:val="6E71421E"/>
    <w:rsid w:val="6E867CCA"/>
    <w:rsid w:val="6E9323E7"/>
    <w:rsid w:val="6E95615F"/>
    <w:rsid w:val="6EA75E92"/>
    <w:rsid w:val="6EAC5256"/>
    <w:rsid w:val="6EBA3E17"/>
    <w:rsid w:val="6ED70525"/>
    <w:rsid w:val="6EDF387E"/>
    <w:rsid w:val="6EE844E0"/>
    <w:rsid w:val="6EFB6198"/>
    <w:rsid w:val="6EFF5CCE"/>
    <w:rsid w:val="6F045092"/>
    <w:rsid w:val="6F056725"/>
    <w:rsid w:val="6F060E0B"/>
    <w:rsid w:val="6F062595"/>
    <w:rsid w:val="6F0626E6"/>
    <w:rsid w:val="6F11066A"/>
    <w:rsid w:val="6F125A01"/>
    <w:rsid w:val="6F1572A0"/>
    <w:rsid w:val="6F2017CE"/>
    <w:rsid w:val="6F255735"/>
    <w:rsid w:val="6F262186"/>
    <w:rsid w:val="6F286FD3"/>
    <w:rsid w:val="6F29088E"/>
    <w:rsid w:val="6F2E5B95"/>
    <w:rsid w:val="6F35349E"/>
    <w:rsid w:val="6F377216"/>
    <w:rsid w:val="6F4A519B"/>
    <w:rsid w:val="6F4B2CC1"/>
    <w:rsid w:val="6F4C1E78"/>
    <w:rsid w:val="6F511295"/>
    <w:rsid w:val="6F591DC4"/>
    <w:rsid w:val="6F615975"/>
    <w:rsid w:val="6F63625D"/>
    <w:rsid w:val="6F653D83"/>
    <w:rsid w:val="6F6D0E8A"/>
    <w:rsid w:val="6F712728"/>
    <w:rsid w:val="6F7E4E45"/>
    <w:rsid w:val="6F7E6BF3"/>
    <w:rsid w:val="6F8A763A"/>
    <w:rsid w:val="6FA61EDA"/>
    <w:rsid w:val="6FB17851"/>
    <w:rsid w:val="6FB22D40"/>
    <w:rsid w:val="6FB35CCE"/>
    <w:rsid w:val="6FB940CF"/>
    <w:rsid w:val="6FBC6B6A"/>
    <w:rsid w:val="6FC84312"/>
    <w:rsid w:val="6FCA008A"/>
    <w:rsid w:val="6FCA56FF"/>
    <w:rsid w:val="6FCF26C8"/>
    <w:rsid w:val="6FDB5DF3"/>
    <w:rsid w:val="6FE117B7"/>
    <w:rsid w:val="6FE17B63"/>
    <w:rsid w:val="6FEC0A99"/>
    <w:rsid w:val="6FF6177C"/>
    <w:rsid w:val="6FFE7D34"/>
    <w:rsid w:val="70117DBC"/>
    <w:rsid w:val="70125E9D"/>
    <w:rsid w:val="70316E4B"/>
    <w:rsid w:val="70324DB5"/>
    <w:rsid w:val="70357BF9"/>
    <w:rsid w:val="70444E49"/>
    <w:rsid w:val="70500004"/>
    <w:rsid w:val="705362D1"/>
    <w:rsid w:val="70553DF8"/>
    <w:rsid w:val="70580FD2"/>
    <w:rsid w:val="705B0CE2"/>
    <w:rsid w:val="7064228D"/>
    <w:rsid w:val="70673B2B"/>
    <w:rsid w:val="706A7177"/>
    <w:rsid w:val="707029DF"/>
    <w:rsid w:val="707B3B76"/>
    <w:rsid w:val="707D50FC"/>
    <w:rsid w:val="70810BBD"/>
    <w:rsid w:val="708244C1"/>
    <w:rsid w:val="708A15C7"/>
    <w:rsid w:val="70926DFA"/>
    <w:rsid w:val="70A64653"/>
    <w:rsid w:val="70AA4DD8"/>
    <w:rsid w:val="70AF133A"/>
    <w:rsid w:val="70B57499"/>
    <w:rsid w:val="70C2252D"/>
    <w:rsid w:val="70C426AE"/>
    <w:rsid w:val="70D24CB2"/>
    <w:rsid w:val="70D82318"/>
    <w:rsid w:val="70F34CED"/>
    <w:rsid w:val="70F52EE5"/>
    <w:rsid w:val="70FC0717"/>
    <w:rsid w:val="70FF1FB5"/>
    <w:rsid w:val="71045574"/>
    <w:rsid w:val="71093FAF"/>
    <w:rsid w:val="71170DE7"/>
    <w:rsid w:val="711A294B"/>
    <w:rsid w:val="711B1D67"/>
    <w:rsid w:val="71291388"/>
    <w:rsid w:val="712F289B"/>
    <w:rsid w:val="712F4EF8"/>
    <w:rsid w:val="712F66B1"/>
    <w:rsid w:val="71325EE7"/>
    <w:rsid w:val="7136234C"/>
    <w:rsid w:val="713779A1"/>
    <w:rsid w:val="71386AE4"/>
    <w:rsid w:val="715440AF"/>
    <w:rsid w:val="7162598C"/>
    <w:rsid w:val="717007BD"/>
    <w:rsid w:val="717464FF"/>
    <w:rsid w:val="717A3B7A"/>
    <w:rsid w:val="717B788E"/>
    <w:rsid w:val="71837D11"/>
    <w:rsid w:val="7185070D"/>
    <w:rsid w:val="71881FAB"/>
    <w:rsid w:val="718B7326"/>
    <w:rsid w:val="718F6E95"/>
    <w:rsid w:val="71995F66"/>
    <w:rsid w:val="719A55EB"/>
    <w:rsid w:val="719C15B2"/>
    <w:rsid w:val="719C7804"/>
    <w:rsid w:val="71A1306D"/>
    <w:rsid w:val="71AF6B64"/>
    <w:rsid w:val="71AF7537"/>
    <w:rsid w:val="71B608C6"/>
    <w:rsid w:val="71C11019"/>
    <w:rsid w:val="71C5294D"/>
    <w:rsid w:val="71C805F9"/>
    <w:rsid w:val="71CB1E97"/>
    <w:rsid w:val="71CF16F7"/>
    <w:rsid w:val="71D074AE"/>
    <w:rsid w:val="71DB032D"/>
    <w:rsid w:val="71DF7843"/>
    <w:rsid w:val="71E80C9B"/>
    <w:rsid w:val="71EA67C2"/>
    <w:rsid w:val="71F87130"/>
    <w:rsid w:val="72083FD5"/>
    <w:rsid w:val="72135D18"/>
    <w:rsid w:val="72225F5B"/>
    <w:rsid w:val="72233A82"/>
    <w:rsid w:val="722515A8"/>
    <w:rsid w:val="72304AE9"/>
    <w:rsid w:val="724063E2"/>
    <w:rsid w:val="724240AF"/>
    <w:rsid w:val="724C2FD8"/>
    <w:rsid w:val="7251239D"/>
    <w:rsid w:val="726C5429"/>
    <w:rsid w:val="727B395B"/>
    <w:rsid w:val="72830134"/>
    <w:rsid w:val="72842772"/>
    <w:rsid w:val="72893519"/>
    <w:rsid w:val="72966949"/>
    <w:rsid w:val="72971E6C"/>
    <w:rsid w:val="7298446F"/>
    <w:rsid w:val="7298621E"/>
    <w:rsid w:val="729D3834"/>
    <w:rsid w:val="72AC77B8"/>
    <w:rsid w:val="72AF11DE"/>
    <w:rsid w:val="72AF5315"/>
    <w:rsid w:val="72BF19FC"/>
    <w:rsid w:val="72C50343"/>
    <w:rsid w:val="72C60FDD"/>
    <w:rsid w:val="72C62E8F"/>
    <w:rsid w:val="72CC7058"/>
    <w:rsid w:val="72CD5ED6"/>
    <w:rsid w:val="72D07765"/>
    <w:rsid w:val="72DB7800"/>
    <w:rsid w:val="72DD00D4"/>
    <w:rsid w:val="72E27499"/>
    <w:rsid w:val="72EC6569"/>
    <w:rsid w:val="72F21DD2"/>
    <w:rsid w:val="72F83160"/>
    <w:rsid w:val="7309711B"/>
    <w:rsid w:val="730B0266"/>
    <w:rsid w:val="73132FE3"/>
    <w:rsid w:val="731A30D6"/>
    <w:rsid w:val="731C6E4F"/>
    <w:rsid w:val="73214465"/>
    <w:rsid w:val="73277873"/>
    <w:rsid w:val="732B52E4"/>
    <w:rsid w:val="732D4BB8"/>
    <w:rsid w:val="732E26DE"/>
    <w:rsid w:val="7332728E"/>
    <w:rsid w:val="734168B5"/>
    <w:rsid w:val="734B7734"/>
    <w:rsid w:val="734E792B"/>
    <w:rsid w:val="735272D8"/>
    <w:rsid w:val="7355410F"/>
    <w:rsid w:val="735760D9"/>
    <w:rsid w:val="736507F6"/>
    <w:rsid w:val="73733BEB"/>
    <w:rsid w:val="7379430D"/>
    <w:rsid w:val="737E0695"/>
    <w:rsid w:val="73892A42"/>
    <w:rsid w:val="738B7B30"/>
    <w:rsid w:val="73970283"/>
    <w:rsid w:val="739704D6"/>
    <w:rsid w:val="73976F1E"/>
    <w:rsid w:val="73A86934"/>
    <w:rsid w:val="73AB01D2"/>
    <w:rsid w:val="73BE1CB4"/>
    <w:rsid w:val="73C72F6F"/>
    <w:rsid w:val="73C81CF5"/>
    <w:rsid w:val="73CA68AB"/>
    <w:rsid w:val="73CF036D"/>
    <w:rsid w:val="73DA4614"/>
    <w:rsid w:val="73DB0AB8"/>
    <w:rsid w:val="73E67E08"/>
    <w:rsid w:val="73ED4347"/>
    <w:rsid w:val="73F7186B"/>
    <w:rsid w:val="74026176"/>
    <w:rsid w:val="740A4B8B"/>
    <w:rsid w:val="74185891"/>
    <w:rsid w:val="741A4194"/>
    <w:rsid w:val="74202B35"/>
    <w:rsid w:val="74213E3F"/>
    <w:rsid w:val="74257F85"/>
    <w:rsid w:val="74336F75"/>
    <w:rsid w:val="743B50B2"/>
    <w:rsid w:val="74452E4D"/>
    <w:rsid w:val="7458144D"/>
    <w:rsid w:val="74600FBD"/>
    <w:rsid w:val="74626AE3"/>
    <w:rsid w:val="74654825"/>
    <w:rsid w:val="746A1E3C"/>
    <w:rsid w:val="746C1710"/>
    <w:rsid w:val="74716D26"/>
    <w:rsid w:val="747800B5"/>
    <w:rsid w:val="747F7695"/>
    <w:rsid w:val="74844CAB"/>
    <w:rsid w:val="748922C2"/>
    <w:rsid w:val="748E7A24"/>
    <w:rsid w:val="749B3DA3"/>
    <w:rsid w:val="74A15EE3"/>
    <w:rsid w:val="74A25132"/>
    <w:rsid w:val="74A92964"/>
    <w:rsid w:val="74B007C8"/>
    <w:rsid w:val="74B310ED"/>
    <w:rsid w:val="74BF3F35"/>
    <w:rsid w:val="74C27582"/>
    <w:rsid w:val="74CA6436"/>
    <w:rsid w:val="74CD7EB1"/>
    <w:rsid w:val="74CF1C9F"/>
    <w:rsid w:val="74D6302D"/>
    <w:rsid w:val="74DF6D8A"/>
    <w:rsid w:val="74E94872"/>
    <w:rsid w:val="74F0120D"/>
    <w:rsid w:val="74F160B9"/>
    <w:rsid w:val="74F51705"/>
    <w:rsid w:val="74FF4332"/>
    <w:rsid w:val="750174DE"/>
    <w:rsid w:val="75053C12"/>
    <w:rsid w:val="75165E2B"/>
    <w:rsid w:val="751667A4"/>
    <w:rsid w:val="751E7EA9"/>
    <w:rsid w:val="75240788"/>
    <w:rsid w:val="75265D63"/>
    <w:rsid w:val="752913AF"/>
    <w:rsid w:val="75371D1E"/>
    <w:rsid w:val="753B3CE4"/>
    <w:rsid w:val="753C5586"/>
    <w:rsid w:val="754B3A1B"/>
    <w:rsid w:val="754E52B9"/>
    <w:rsid w:val="755D067C"/>
    <w:rsid w:val="756248C1"/>
    <w:rsid w:val="75705230"/>
    <w:rsid w:val="757545F4"/>
    <w:rsid w:val="75842A89"/>
    <w:rsid w:val="759251A6"/>
    <w:rsid w:val="75970A0E"/>
    <w:rsid w:val="759A26D7"/>
    <w:rsid w:val="75AA6994"/>
    <w:rsid w:val="75B01AD0"/>
    <w:rsid w:val="75B5264E"/>
    <w:rsid w:val="75B90985"/>
    <w:rsid w:val="75CE1F56"/>
    <w:rsid w:val="75E63FB9"/>
    <w:rsid w:val="75EC09C9"/>
    <w:rsid w:val="75F0011F"/>
    <w:rsid w:val="75F96FD3"/>
    <w:rsid w:val="76040816"/>
    <w:rsid w:val="760660B3"/>
    <w:rsid w:val="76120095"/>
    <w:rsid w:val="761D53B8"/>
    <w:rsid w:val="7621477C"/>
    <w:rsid w:val="76220B2D"/>
    <w:rsid w:val="76285B0A"/>
    <w:rsid w:val="762B73A9"/>
    <w:rsid w:val="76310E01"/>
    <w:rsid w:val="76377AFB"/>
    <w:rsid w:val="763C15B6"/>
    <w:rsid w:val="763F6AF7"/>
    <w:rsid w:val="76407E59"/>
    <w:rsid w:val="764C17F9"/>
    <w:rsid w:val="76514E25"/>
    <w:rsid w:val="765468FF"/>
    <w:rsid w:val="76640BA3"/>
    <w:rsid w:val="76684159"/>
    <w:rsid w:val="76766876"/>
    <w:rsid w:val="768F5B89"/>
    <w:rsid w:val="76915043"/>
    <w:rsid w:val="769211D6"/>
    <w:rsid w:val="7693567A"/>
    <w:rsid w:val="76962A74"/>
    <w:rsid w:val="769C643A"/>
    <w:rsid w:val="76A038F3"/>
    <w:rsid w:val="76A333E3"/>
    <w:rsid w:val="76AB5518"/>
    <w:rsid w:val="76AF3B36"/>
    <w:rsid w:val="76BF103C"/>
    <w:rsid w:val="76C515AB"/>
    <w:rsid w:val="76C75323"/>
    <w:rsid w:val="76CD24DB"/>
    <w:rsid w:val="76CE535E"/>
    <w:rsid w:val="76DA5057"/>
    <w:rsid w:val="76DB0DCF"/>
    <w:rsid w:val="76DD072F"/>
    <w:rsid w:val="76E23F0B"/>
    <w:rsid w:val="76EC2FDC"/>
    <w:rsid w:val="77004391"/>
    <w:rsid w:val="77032368"/>
    <w:rsid w:val="770A5814"/>
    <w:rsid w:val="770D4555"/>
    <w:rsid w:val="7715608F"/>
    <w:rsid w:val="771C1FDE"/>
    <w:rsid w:val="771D190F"/>
    <w:rsid w:val="77204A34"/>
    <w:rsid w:val="772462D2"/>
    <w:rsid w:val="77271D0E"/>
    <w:rsid w:val="77297D8C"/>
    <w:rsid w:val="7730111A"/>
    <w:rsid w:val="773709DC"/>
    <w:rsid w:val="77402F1E"/>
    <w:rsid w:val="77422EBA"/>
    <w:rsid w:val="7742417D"/>
    <w:rsid w:val="774626EC"/>
    <w:rsid w:val="77585F7B"/>
    <w:rsid w:val="775C1F10"/>
    <w:rsid w:val="775D3592"/>
    <w:rsid w:val="775F555C"/>
    <w:rsid w:val="77672662"/>
    <w:rsid w:val="776911FE"/>
    <w:rsid w:val="77692650"/>
    <w:rsid w:val="776E579F"/>
    <w:rsid w:val="777A05E8"/>
    <w:rsid w:val="777C7EBC"/>
    <w:rsid w:val="778B00FF"/>
    <w:rsid w:val="778E33FA"/>
    <w:rsid w:val="779B4D17"/>
    <w:rsid w:val="779F3850"/>
    <w:rsid w:val="77B51620"/>
    <w:rsid w:val="77C96E79"/>
    <w:rsid w:val="77CA50CB"/>
    <w:rsid w:val="77D45F4A"/>
    <w:rsid w:val="77DC01F8"/>
    <w:rsid w:val="77DC6BAC"/>
    <w:rsid w:val="77E23101"/>
    <w:rsid w:val="77E31CE9"/>
    <w:rsid w:val="77E43CB3"/>
    <w:rsid w:val="77FC60FC"/>
    <w:rsid w:val="780305DD"/>
    <w:rsid w:val="780455AE"/>
    <w:rsid w:val="78100B75"/>
    <w:rsid w:val="781C51FB"/>
    <w:rsid w:val="781C6803"/>
    <w:rsid w:val="78264642"/>
    <w:rsid w:val="78267E28"/>
    <w:rsid w:val="78282708"/>
    <w:rsid w:val="782D11B6"/>
    <w:rsid w:val="782D7408"/>
    <w:rsid w:val="7840538D"/>
    <w:rsid w:val="7840713B"/>
    <w:rsid w:val="7845018F"/>
    <w:rsid w:val="784B3700"/>
    <w:rsid w:val="784C3D32"/>
    <w:rsid w:val="786453D8"/>
    <w:rsid w:val="78711EA5"/>
    <w:rsid w:val="787768D5"/>
    <w:rsid w:val="78855BE3"/>
    <w:rsid w:val="78915BE9"/>
    <w:rsid w:val="78931961"/>
    <w:rsid w:val="7898151B"/>
    <w:rsid w:val="78992CEF"/>
    <w:rsid w:val="78A31478"/>
    <w:rsid w:val="78AC273E"/>
    <w:rsid w:val="78AF42C1"/>
    <w:rsid w:val="78BB2C66"/>
    <w:rsid w:val="78BE4504"/>
    <w:rsid w:val="78CF18F3"/>
    <w:rsid w:val="78D14237"/>
    <w:rsid w:val="78D427BB"/>
    <w:rsid w:val="78E74C65"/>
    <w:rsid w:val="78E765DB"/>
    <w:rsid w:val="78EB1369"/>
    <w:rsid w:val="78EC1071"/>
    <w:rsid w:val="78EE303B"/>
    <w:rsid w:val="78EE5DE4"/>
    <w:rsid w:val="78F07CFF"/>
    <w:rsid w:val="78F10436"/>
    <w:rsid w:val="78F87A16"/>
    <w:rsid w:val="790623B2"/>
    <w:rsid w:val="79076AF4"/>
    <w:rsid w:val="790A599B"/>
    <w:rsid w:val="790E7239"/>
    <w:rsid w:val="79153E8F"/>
    <w:rsid w:val="7919798C"/>
    <w:rsid w:val="791F1447"/>
    <w:rsid w:val="792F41EE"/>
    <w:rsid w:val="79312F28"/>
    <w:rsid w:val="793547C6"/>
    <w:rsid w:val="793842B6"/>
    <w:rsid w:val="79420C91"/>
    <w:rsid w:val="7950018C"/>
    <w:rsid w:val="795A422D"/>
    <w:rsid w:val="796343F3"/>
    <w:rsid w:val="796432FD"/>
    <w:rsid w:val="796C3F60"/>
    <w:rsid w:val="796E1A86"/>
    <w:rsid w:val="797572B9"/>
    <w:rsid w:val="79774418"/>
    <w:rsid w:val="7981580B"/>
    <w:rsid w:val="798219D5"/>
    <w:rsid w:val="798338A8"/>
    <w:rsid w:val="79893713"/>
    <w:rsid w:val="798E2128"/>
    <w:rsid w:val="79975481"/>
    <w:rsid w:val="799C46FE"/>
    <w:rsid w:val="79A27982"/>
    <w:rsid w:val="79A75DED"/>
    <w:rsid w:val="79B25E17"/>
    <w:rsid w:val="79BC6C95"/>
    <w:rsid w:val="79BF6786"/>
    <w:rsid w:val="79C45B4A"/>
    <w:rsid w:val="79CB3CB1"/>
    <w:rsid w:val="79DD09BA"/>
    <w:rsid w:val="79DE4E5E"/>
    <w:rsid w:val="79E76D73"/>
    <w:rsid w:val="79FD2E0A"/>
    <w:rsid w:val="79FD49B1"/>
    <w:rsid w:val="7A010B4C"/>
    <w:rsid w:val="7A0E65CB"/>
    <w:rsid w:val="7A1E16FE"/>
    <w:rsid w:val="7A206B88"/>
    <w:rsid w:val="7A214D4A"/>
    <w:rsid w:val="7A232871"/>
    <w:rsid w:val="7A266805"/>
    <w:rsid w:val="7A291E51"/>
    <w:rsid w:val="7A310A9A"/>
    <w:rsid w:val="7A337702"/>
    <w:rsid w:val="7A344A7E"/>
    <w:rsid w:val="7A3A5E0C"/>
    <w:rsid w:val="7A410F49"/>
    <w:rsid w:val="7A5E5F9F"/>
    <w:rsid w:val="7A61783D"/>
    <w:rsid w:val="7A632BD2"/>
    <w:rsid w:val="7A637111"/>
    <w:rsid w:val="7A664E53"/>
    <w:rsid w:val="7A6A41B1"/>
    <w:rsid w:val="7A6B246A"/>
    <w:rsid w:val="7A7271B3"/>
    <w:rsid w:val="7A8105BA"/>
    <w:rsid w:val="7A88301C"/>
    <w:rsid w:val="7A8F6158"/>
    <w:rsid w:val="7A9820D4"/>
    <w:rsid w:val="7A9F2AF1"/>
    <w:rsid w:val="7AA5772A"/>
    <w:rsid w:val="7AAA2F92"/>
    <w:rsid w:val="7AAC0AB8"/>
    <w:rsid w:val="7AB124F9"/>
    <w:rsid w:val="7AB616DF"/>
    <w:rsid w:val="7AB931D5"/>
    <w:rsid w:val="7ABF2A91"/>
    <w:rsid w:val="7AC01F9E"/>
    <w:rsid w:val="7ACF47A6"/>
    <w:rsid w:val="7AD31EBB"/>
    <w:rsid w:val="7AD4000F"/>
    <w:rsid w:val="7AD93877"/>
    <w:rsid w:val="7ADE2C3C"/>
    <w:rsid w:val="7AE00762"/>
    <w:rsid w:val="7AE077B3"/>
    <w:rsid w:val="7AE244DA"/>
    <w:rsid w:val="7AED2E7F"/>
    <w:rsid w:val="7AEF309B"/>
    <w:rsid w:val="7AF1296F"/>
    <w:rsid w:val="7AFD1845"/>
    <w:rsid w:val="7AFE6E3A"/>
    <w:rsid w:val="7B057619"/>
    <w:rsid w:val="7B080F8B"/>
    <w:rsid w:val="7B095F0A"/>
    <w:rsid w:val="7B0C1C63"/>
    <w:rsid w:val="7B0F54EB"/>
    <w:rsid w:val="7B141EB5"/>
    <w:rsid w:val="7B1867BE"/>
    <w:rsid w:val="7B193C74"/>
    <w:rsid w:val="7B1E128A"/>
    <w:rsid w:val="7B28738D"/>
    <w:rsid w:val="7B2F16E9"/>
    <w:rsid w:val="7B3E36DA"/>
    <w:rsid w:val="7B3F7B7E"/>
    <w:rsid w:val="7B445194"/>
    <w:rsid w:val="7B542EFE"/>
    <w:rsid w:val="7B5B603A"/>
    <w:rsid w:val="7B5E1D41"/>
    <w:rsid w:val="7B672C31"/>
    <w:rsid w:val="7B6E0463"/>
    <w:rsid w:val="7B6E3382"/>
    <w:rsid w:val="7B736704"/>
    <w:rsid w:val="7B747C5C"/>
    <w:rsid w:val="7B7507E2"/>
    <w:rsid w:val="7B7A2F80"/>
    <w:rsid w:val="7B7B66DC"/>
    <w:rsid w:val="7B7E62BE"/>
    <w:rsid w:val="7B811F45"/>
    <w:rsid w:val="7B8C08E9"/>
    <w:rsid w:val="7B8D6A5D"/>
    <w:rsid w:val="7B955782"/>
    <w:rsid w:val="7BAE45F5"/>
    <w:rsid w:val="7BB35E76"/>
    <w:rsid w:val="7BB37C24"/>
    <w:rsid w:val="7BBA7CF2"/>
    <w:rsid w:val="7BBD0AA3"/>
    <w:rsid w:val="7BC10593"/>
    <w:rsid w:val="7BC736D0"/>
    <w:rsid w:val="7BC77B74"/>
    <w:rsid w:val="7BCC6F38"/>
    <w:rsid w:val="7BCF0EA8"/>
    <w:rsid w:val="7BD32392"/>
    <w:rsid w:val="7BD55DED"/>
    <w:rsid w:val="7BDC361F"/>
    <w:rsid w:val="7BE10C35"/>
    <w:rsid w:val="7BE355C9"/>
    <w:rsid w:val="7BE81FC4"/>
    <w:rsid w:val="7BFF10BB"/>
    <w:rsid w:val="7C07182B"/>
    <w:rsid w:val="7C1F350C"/>
    <w:rsid w:val="7C280612"/>
    <w:rsid w:val="7C29438A"/>
    <w:rsid w:val="7C2A25DC"/>
    <w:rsid w:val="7C2E374F"/>
    <w:rsid w:val="7C372603"/>
    <w:rsid w:val="7C3B7EB4"/>
    <w:rsid w:val="7C413125"/>
    <w:rsid w:val="7C4F3DF1"/>
    <w:rsid w:val="7C501917"/>
    <w:rsid w:val="7C5043B4"/>
    <w:rsid w:val="7C631FD2"/>
    <w:rsid w:val="7C6929D9"/>
    <w:rsid w:val="7C695F8E"/>
    <w:rsid w:val="7C6B75C4"/>
    <w:rsid w:val="7C790E6E"/>
    <w:rsid w:val="7C7C44BA"/>
    <w:rsid w:val="7C803B0E"/>
    <w:rsid w:val="7C9F63FA"/>
    <w:rsid w:val="7CB023B6"/>
    <w:rsid w:val="7CB71996"/>
    <w:rsid w:val="7CB9570E"/>
    <w:rsid w:val="7CBA32DC"/>
    <w:rsid w:val="7CC209A0"/>
    <w:rsid w:val="7CF77FE5"/>
    <w:rsid w:val="7CF91FAF"/>
    <w:rsid w:val="7D0050EB"/>
    <w:rsid w:val="7D080444"/>
    <w:rsid w:val="7D1A3643"/>
    <w:rsid w:val="7D1D3EEF"/>
    <w:rsid w:val="7D331DEE"/>
    <w:rsid w:val="7D3F20B7"/>
    <w:rsid w:val="7D4130D2"/>
    <w:rsid w:val="7D425704"/>
    <w:rsid w:val="7D4C0330"/>
    <w:rsid w:val="7D60202E"/>
    <w:rsid w:val="7D6513F2"/>
    <w:rsid w:val="7D670130"/>
    <w:rsid w:val="7D6F6ABF"/>
    <w:rsid w:val="7D7143AA"/>
    <w:rsid w:val="7D7358BD"/>
    <w:rsid w:val="7D747887"/>
    <w:rsid w:val="7D87580C"/>
    <w:rsid w:val="7D893333"/>
    <w:rsid w:val="7D8D31B8"/>
    <w:rsid w:val="7D975247"/>
    <w:rsid w:val="7DA939D5"/>
    <w:rsid w:val="7DB54128"/>
    <w:rsid w:val="7DC10D1E"/>
    <w:rsid w:val="7DC425BD"/>
    <w:rsid w:val="7DC64A9B"/>
    <w:rsid w:val="7DD2663D"/>
    <w:rsid w:val="7DDD71DA"/>
    <w:rsid w:val="7DDF11A4"/>
    <w:rsid w:val="7DE06543"/>
    <w:rsid w:val="7DE22A43"/>
    <w:rsid w:val="7DE44A0D"/>
    <w:rsid w:val="7DE7137D"/>
    <w:rsid w:val="7DEC566F"/>
    <w:rsid w:val="7DEE3DB1"/>
    <w:rsid w:val="7DF01848"/>
    <w:rsid w:val="7DF05160"/>
    <w:rsid w:val="7DF960D0"/>
    <w:rsid w:val="7E066643"/>
    <w:rsid w:val="7E0B3D48"/>
    <w:rsid w:val="7E0D45AB"/>
    <w:rsid w:val="7E21356B"/>
    <w:rsid w:val="7E2B43EA"/>
    <w:rsid w:val="7E2F26CA"/>
    <w:rsid w:val="7E33329E"/>
    <w:rsid w:val="7E3E236F"/>
    <w:rsid w:val="7E4079AE"/>
    <w:rsid w:val="7E4330DC"/>
    <w:rsid w:val="7E490D14"/>
    <w:rsid w:val="7E505BFE"/>
    <w:rsid w:val="7E551467"/>
    <w:rsid w:val="7E552417"/>
    <w:rsid w:val="7E565F38"/>
    <w:rsid w:val="7E573431"/>
    <w:rsid w:val="7E5E47BF"/>
    <w:rsid w:val="7E607F4D"/>
    <w:rsid w:val="7E611BB9"/>
    <w:rsid w:val="7E617E0B"/>
    <w:rsid w:val="7E6873EC"/>
    <w:rsid w:val="7E6B0C8A"/>
    <w:rsid w:val="7E775881"/>
    <w:rsid w:val="7E786F03"/>
    <w:rsid w:val="7E7E276B"/>
    <w:rsid w:val="7E8104AE"/>
    <w:rsid w:val="7E867872"/>
    <w:rsid w:val="7E924469"/>
    <w:rsid w:val="7E966512"/>
    <w:rsid w:val="7E9C1DA5"/>
    <w:rsid w:val="7EAA17B2"/>
    <w:rsid w:val="7EB048EF"/>
    <w:rsid w:val="7EB42631"/>
    <w:rsid w:val="7EB4618D"/>
    <w:rsid w:val="7EB516FA"/>
    <w:rsid w:val="7EB73ECF"/>
    <w:rsid w:val="7EB7538D"/>
    <w:rsid w:val="7EB75C7D"/>
    <w:rsid w:val="7EB959EF"/>
    <w:rsid w:val="7EBB39C0"/>
    <w:rsid w:val="7EBE700C"/>
    <w:rsid w:val="7EC14D4E"/>
    <w:rsid w:val="7EC513D0"/>
    <w:rsid w:val="7EC565EC"/>
    <w:rsid w:val="7ECF1219"/>
    <w:rsid w:val="7ED00AED"/>
    <w:rsid w:val="7ED566F5"/>
    <w:rsid w:val="7ED83B5B"/>
    <w:rsid w:val="7EDB7BBE"/>
    <w:rsid w:val="7EED169F"/>
    <w:rsid w:val="7EF649F8"/>
    <w:rsid w:val="7EF667A6"/>
    <w:rsid w:val="7EFE38AC"/>
    <w:rsid w:val="7F0069C7"/>
    <w:rsid w:val="7F007380"/>
    <w:rsid w:val="7F007624"/>
    <w:rsid w:val="7F01409C"/>
    <w:rsid w:val="7F0A2251"/>
    <w:rsid w:val="7F0A3FFF"/>
    <w:rsid w:val="7F13429E"/>
    <w:rsid w:val="7F1368B9"/>
    <w:rsid w:val="7F144E7E"/>
    <w:rsid w:val="7F1B620C"/>
    <w:rsid w:val="7F2676A5"/>
    <w:rsid w:val="7F286B7B"/>
    <w:rsid w:val="7F2A46A1"/>
    <w:rsid w:val="7F2F3A66"/>
    <w:rsid w:val="7F3D0030"/>
    <w:rsid w:val="7F467FEE"/>
    <w:rsid w:val="7F4A08A0"/>
    <w:rsid w:val="7F4F235A"/>
    <w:rsid w:val="7F4F4108"/>
    <w:rsid w:val="7F6000C3"/>
    <w:rsid w:val="7F613FBC"/>
    <w:rsid w:val="7F657780"/>
    <w:rsid w:val="7F710945"/>
    <w:rsid w:val="7F721393"/>
    <w:rsid w:val="7F724DD0"/>
    <w:rsid w:val="7F757771"/>
    <w:rsid w:val="7F7678E7"/>
    <w:rsid w:val="7F7F2C3F"/>
    <w:rsid w:val="7F853FCE"/>
    <w:rsid w:val="7F912972"/>
    <w:rsid w:val="7F9B3821"/>
    <w:rsid w:val="7F9B734D"/>
    <w:rsid w:val="7F9C2254"/>
    <w:rsid w:val="7F9D17E6"/>
    <w:rsid w:val="7FA2248A"/>
    <w:rsid w:val="7FA53D28"/>
    <w:rsid w:val="7FB00A6C"/>
    <w:rsid w:val="7FB977D3"/>
    <w:rsid w:val="7FC00B62"/>
    <w:rsid w:val="7FC13BE8"/>
    <w:rsid w:val="7FC93EBA"/>
    <w:rsid w:val="7FD60385"/>
    <w:rsid w:val="7FD64829"/>
    <w:rsid w:val="7FD83650"/>
    <w:rsid w:val="7FD91C23"/>
    <w:rsid w:val="7FDC6DE5"/>
    <w:rsid w:val="7FDD7966"/>
    <w:rsid w:val="7FE505C8"/>
    <w:rsid w:val="7FE9630A"/>
    <w:rsid w:val="7FF826CC"/>
    <w:rsid w:val="7FFF5B2E"/>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semiHidden="0"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qFormat="1" w:unhideWhenUsed="0" w:uiPriority="0" w:semiHidden="0"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iPriority="39" w:semiHidden="0"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qFormat="1" w:uiPriority="99" w:semiHidden="0" w:name="index heading" w:locked="1"/>
    <w:lsdException w:qFormat="1" w:uiPriority="35" w:name="caption" w:locked="1"/>
    <w:lsdException w:uiPriority="99" w:name="table of figures" w:locked="1"/>
    <w:lsdException w:uiPriority="99" w:name="envelope address" w:locked="1"/>
    <w:lsdException w:qFormat="1" w:unhideWhenUsed="0" w:uiPriority="0" w:semiHidden="0" w:name="envelope return" w:locked="1"/>
    <w:lsdException w:uiPriority="99" w:name="footnote reference" w:locked="1"/>
    <w:lsdException w:uiPriority="99" w:name="annotation reference" w:locked="1"/>
    <w:lsdException w:uiPriority="99" w:name="line number" w:locked="1"/>
    <w:lsdException w:qFormat="1" w:unhideWhenUsed="0" w:uiPriority="0" w:semiHidden="0" w:name="page number" w:locked="1"/>
    <w:lsdException w:uiPriority="99" w:name="endnote reference" w:locked="1"/>
    <w:lsdException w:uiPriority="99" w:name="endnote text" w:locked="1"/>
    <w:lsdException w:qFormat="1"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iPriority="99" w:semiHidden="0"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qFormat="1" w:unhideWhenUsed="0" w:uiPriority="0" w:semiHidden="0" w:name="Message Header" w:locked="1"/>
    <w:lsdException w:qFormat="1" w:unhideWhenUsed="0" w:uiPriority="99" w:semiHidden="0" w:name="Subtitle"/>
    <w:lsdException w:uiPriority="99" w:name="Salutation" w:locked="1"/>
    <w:lsdException w:uiPriority="99" w:name="Date" w:locked="1"/>
    <w:lsdException w:qFormat="1" w:uiPriority="99" w:semiHidden="0" w:name="Body Text First Indent" w:locked="1"/>
    <w:lsdException w:qFormat="1" w:uiPriority="99" w:semiHidden="0" w:name="Body Text First Indent 2" w:locked="1"/>
    <w:lsdException w:uiPriority="99" w:name="Note Heading" w:locked="1"/>
    <w:lsdException w:qFormat="1" w:unhideWhenUsed="0" w:uiPriority="99" w:semiHidden="0" w:name="Body Text 2"/>
    <w:lsdException w:uiPriority="99" w:name="Body Text 3" w:locked="1"/>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ocked="1"/>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5">
    <w:name w:val="heading 1"/>
    <w:basedOn w:val="1"/>
    <w:next w:val="1"/>
    <w:link w:val="40"/>
    <w:qFormat/>
    <w:uiPriority w:val="99"/>
    <w:pPr>
      <w:keepNext/>
      <w:keepLines/>
      <w:spacing w:before="340" w:after="330" w:line="578" w:lineRule="atLeast"/>
      <w:ind w:left="1130" w:firstLine="288"/>
      <w:outlineLvl w:val="0"/>
    </w:pPr>
    <w:rPr>
      <w:b/>
      <w:kern w:val="44"/>
      <w:sz w:val="44"/>
    </w:rPr>
  </w:style>
  <w:style w:type="paragraph" w:styleId="6">
    <w:name w:val="heading 2"/>
    <w:basedOn w:val="1"/>
    <w:next w:val="1"/>
    <w:link w:val="41"/>
    <w:qFormat/>
    <w:uiPriority w:val="99"/>
    <w:pPr>
      <w:keepNext/>
      <w:keepLines/>
      <w:spacing w:before="260" w:after="260" w:line="416" w:lineRule="atLeast"/>
      <w:ind w:left="3" w:firstLine="177"/>
      <w:outlineLvl w:val="1"/>
    </w:pPr>
    <w:rPr>
      <w:rFonts w:ascii="Arial" w:hAnsi="Arial" w:eastAsia="黑体"/>
      <w:b/>
      <w:kern w:val="0"/>
      <w:sz w:val="32"/>
      <w:szCs w:val="20"/>
    </w:rPr>
  </w:style>
  <w:style w:type="paragraph" w:styleId="7">
    <w:name w:val="heading 3"/>
    <w:basedOn w:val="1"/>
    <w:next w:val="1"/>
    <w:link w:val="60"/>
    <w:unhideWhenUsed/>
    <w:qFormat/>
    <w:locked/>
    <w:uiPriority w:val="0"/>
    <w:pPr>
      <w:keepNext/>
      <w:keepLines/>
      <w:spacing w:before="260" w:after="260" w:line="416" w:lineRule="auto"/>
      <w:outlineLvl w:val="2"/>
    </w:pPr>
    <w:rPr>
      <w:rFonts w:cs="黑体"/>
      <w:b/>
      <w:bCs/>
      <w:sz w:val="32"/>
      <w:szCs w:val="32"/>
    </w:rPr>
  </w:style>
  <w:style w:type="paragraph" w:styleId="8">
    <w:name w:val="heading 4"/>
    <w:basedOn w:val="1"/>
    <w:next w:val="1"/>
    <w:link w:val="42"/>
    <w:qFormat/>
    <w:uiPriority w:val="99"/>
    <w:pPr>
      <w:keepNext/>
      <w:keepLines/>
      <w:spacing w:line="376" w:lineRule="auto"/>
      <w:outlineLvl w:val="3"/>
    </w:pPr>
    <w:rPr>
      <w:rFonts w:ascii="Arial" w:hAnsi="Arial" w:eastAsia="黑体"/>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locked/>
    <w:uiPriority w:val="99"/>
    <w:pPr>
      <w:ind w:firstLine="420" w:firstLineChars="200"/>
    </w:pPr>
  </w:style>
  <w:style w:type="paragraph" w:styleId="3">
    <w:name w:val="Body Text Indent"/>
    <w:basedOn w:val="1"/>
    <w:next w:val="4"/>
    <w:link w:val="43"/>
    <w:qFormat/>
    <w:uiPriority w:val="99"/>
    <w:pPr>
      <w:ind w:left="420" w:leftChars="200"/>
    </w:pPr>
  </w:style>
  <w:style w:type="paragraph" w:styleId="4">
    <w:name w:val="envelope return"/>
    <w:basedOn w:val="1"/>
    <w:qFormat/>
    <w:locked/>
    <w:uiPriority w:val="0"/>
    <w:pPr>
      <w:snapToGrid w:val="0"/>
    </w:pPr>
    <w:rPr>
      <w:rFonts w:ascii="Arial" w:hAnsi="Arial"/>
    </w:rPr>
  </w:style>
  <w:style w:type="paragraph" w:styleId="9">
    <w:name w:val="table of authorities"/>
    <w:basedOn w:val="1"/>
    <w:next w:val="1"/>
    <w:semiHidden/>
    <w:unhideWhenUsed/>
    <w:qFormat/>
    <w:locked/>
    <w:uiPriority w:val="99"/>
    <w:pPr>
      <w:ind w:left="420" w:leftChars="200"/>
    </w:pPr>
  </w:style>
  <w:style w:type="paragraph" w:styleId="10">
    <w:name w:val="Normal Indent"/>
    <w:basedOn w:val="1"/>
    <w:qFormat/>
    <w:uiPriority w:val="99"/>
    <w:pPr>
      <w:adjustRightInd w:val="0"/>
      <w:spacing w:line="360" w:lineRule="atLeast"/>
      <w:ind w:firstLine="420"/>
      <w:jc w:val="left"/>
      <w:textAlignment w:val="baseline"/>
    </w:pPr>
    <w:rPr>
      <w:kern w:val="0"/>
      <w:sz w:val="24"/>
    </w:rPr>
  </w:style>
  <w:style w:type="paragraph" w:styleId="11">
    <w:name w:val="Body Text"/>
    <w:basedOn w:val="1"/>
    <w:next w:val="1"/>
    <w:link w:val="58"/>
    <w:unhideWhenUsed/>
    <w:qFormat/>
    <w:locked/>
    <w:uiPriority w:val="99"/>
    <w:pPr>
      <w:spacing w:after="120"/>
    </w:pPr>
  </w:style>
  <w:style w:type="paragraph" w:styleId="12">
    <w:name w:val="toc 3"/>
    <w:basedOn w:val="1"/>
    <w:next w:val="1"/>
    <w:unhideWhenUsed/>
    <w:qFormat/>
    <w:locked/>
    <w:uiPriority w:val="39"/>
    <w:pPr>
      <w:ind w:left="840" w:leftChars="400"/>
    </w:pPr>
  </w:style>
  <w:style w:type="paragraph" w:styleId="13">
    <w:name w:val="Plain Text"/>
    <w:basedOn w:val="1"/>
    <w:link w:val="44"/>
    <w:qFormat/>
    <w:uiPriority w:val="99"/>
    <w:rPr>
      <w:rFonts w:ascii="宋体" w:hAnsi="Courier New" w:cs="Courier New"/>
      <w:szCs w:val="21"/>
    </w:rPr>
  </w:style>
  <w:style w:type="paragraph" w:styleId="14">
    <w:name w:val="Balloon Text"/>
    <w:basedOn w:val="1"/>
    <w:link w:val="61"/>
    <w:unhideWhenUsed/>
    <w:qFormat/>
    <w:locked/>
    <w:uiPriority w:val="99"/>
    <w:rPr>
      <w:sz w:val="18"/>
      <w:szCs w:val="18"/>
    </w:rPr>
  </w:style>
  <w:style w:type="paragraph" w:styleId="15">
    <w:name w:val="footer"/>
    <w:basedOn w:val="1"/>
    <w:link w:val="45"/>
    <w:qFormat/>
    <w:uiPriority w:val="99"/>
    <w:pPr>
      <w:tabs>
        <w:tab w:val="center" w:pos="4153"/>
        <w:tab w:val="right" w:pos="8306"/>
      </w:tabs>
      <w:snapToGrid w:val="0"/>
      <w:jc w:val="left"/>
    </w:pPr>
    <w:rPr>
      <w:sz w:val="18"/>
    </w:rPr>
  </w:style>
  <w:style w:type="paragraph" w:styleId="16">
    <w:name w:val="header"/>
    <w:basedOn w:val="1"/>
    <w:link w:val="46"/>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7">
    <w:name w:val="toc 1"/>
    <w:basedOn w:val="1"/>
    <w:next w:val="1"/>
    <w:qFormat/>
    <w:uiPriority w:val="39"/>
  </w:style>
  <w:style w:type="paragraph" w:styleId="18">
    <w:name w:val="index heading"/>
    <w:basedOn w:val="1"/>
    <w:next w:val="19"/>
    <w:unhideWhenUsed/>
    <w:qFormat/>
    <w:locked/>
    <w:uiPriority w:val="99"/>
    <w:rPr>
      <w:rFonts w:ascii="Cambria" w:hAnsi="Cambria" w:eastAsia="宋体" w:cs="Times New Roman"/>
      <w:b/>
      <w:bCs/>
    </w:rPr>
  </w:style>
  <w:style w:type="paragraph" w:styleId="19">
    <w:name w:val="index 1"/>
    <w:basedOn w:val="1"/>
    <w:next w:val="1"/>
    <w:qFormat/>
    <w:locked/>
    <w:uiPriority w:val="0"/>
    <w:pPr>
      <w:spacing w:line="220" w:lineRule="exact"/>
      <w:jc w:val="center"/>
    </w:pPr>
    <w:rPr>
      <w:rFonts w:ascii="仿宋_GB2312" w:eastAsia="仿宋_GB2312"/>
      <w:szCs w:val="21"/>
    </w:rPr>
  </w:style>
  <w:style w:type="paragraph" w:styleId="20">
    <w:name w:val="Subtitle"/>
    <w:basedOn w:val="1"/>
    <w:next w:val="1"/>
    <w:link w:val="47"/>
    <w:qFormat/>
    <w:uiPriority w:val="99"/>
    <w:pPr>
      <w:spacing w:before="240" w:after="60" w:line="312" w:lineRule="auto"/>
      <w:jc w:val="center"/>
      <w:outlineLvl w:val="1"/>
    </w:pPr>
    <w:rPr>
      <w:rFonts w:ascii="Cambria" w:hAnsi="Cambria"/>
      <w:b/>
      <w:bCs/>
      <w:kern w:val="28"/>
      <w:sz w:val="32"/>
      <w:szCs w:val="32"/>
    </w:rPr>
  </w:style>
  <w:style w:type="paragraph" w:styleId="21">
    <w:name w:val="toc 2"/>
    <w:basedOn w:val="1"/>
    <w:next w:val="1"/>
    <w:qFormat/>
    <w:uiPriority w:val="39"/>
    <w:pPr>
      <w:ind w:left="420" w:leftChars="200"/>
    </w:pPr>
  </w:style>
  <w:style w:type="paragraph" w:styleId="22">
    <w:name w:val="Body Text 2"/>
    <w:basedOn w:val="1"/>
    <w:link w:val="48"/>
    <w:qFormat/>
    <w:uiPriority w:val="99"/>
    <w:pPr>
      <w:spacing w:line="480" w:lineRule="auto"/>
    </w:pPr>
  </w:style>
  <w:style w:type="paragraph" w:styleId="23">
    <w:name w:val="Message Header"/>
    <w:basedOn w:val="1"/>
    <w:qFormat/>
    <w:locked/>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2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5">
    <w:name w:val="Title"/>
    <w:basedOn w:val="1"/>
    <w:next w:val="1"/>
    <w:link w:val="49"/>
    <w:qFormat/>
    <w:uiPriority w:val="99"/>
    <w:pPr>
      <w:spacing w:before="240" w:after="60"/>
      <w:jc w:val="center"/>
      <w:outlineLvl w:val="0"/>
    </w:pPr>
    <w:rPr>
      <w:rFonts w:ascii="Cambria" w:hAnsi="Cambria"/>
      <w:b/>
      <w:bCs/>
      <w:sz w:val="32"/>
      <w:szCs w:val="32"/>
    </w:rPr>
  </w:style>
  <w:style w:type="paragraph" w:styleId="26">
    <w:name w:val="Body Text First Indent"/>
    <w:basedOn w:val="11"/>
    <w:next w:val="2"/>
    <w:link w:val="59"/>
    <w:unhideWhenUsed/>
    <w:qFormat/>
    <w:locked/>
    <w:uiPriority w:val="99"/>
    <w:pPr>
      <w:ind w:firstLine="420" w:firstLineChars="100"/>
    </w:p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qFormat/>
    <w:locked/>
    <w:uiPriority w:val="0"/>
  </w:style>
  <w:style w:type="character" w:styleId="31">
    <w:name w:val="Hyperlink"/>
    <w:basedOn w:val="29"/>
    <w:unhideWhenUsed/>
    <w:qFormat/>
    <w:locked/>
    <w:uiPriority w:val="99"/>
    <w:rPr>
      <w:color w:val="0000FF"/>
      <w:u w:val="single"/>
    </w:rPr>
  </w:style>
  <w:style w:type="paragraph" w:customStyle="1" w:styleId="32">
    <w:name w:val="样式 正文首行缩进 2 + Arial"/>
    <w:basedOn w:val="1"/>
    <w:next w:val="1"/>
    <w:qFormat/>
    <w:uiPriority w:val="0"/>
    <w:pPr>
      <w:spacing w:after="120" w:line="320" w:lineRule="atLeast"/>
      <w:ind w:firstLine="200" w:firstLineChars="200"/>
    </w:pPr>
    <w:rPr>
      <w:rFonts w:ascii="Arial" w:hAnsi="Arial"/>
      <w:kern w:val="0"/>
    </w:rPr>
  </w:style>
  <w:style w:type="paragraph" w:customStyle="1" w:styleId="33">
    <w:name w:val="列表 21"/>
    <w:basedOn w:val="1"/>
    <w:qFormat/>
    <w:uiPriority w:val="0"/>
    <w:pPr>
      <w:suppressAutoHyphens/>
      <w:ind w:left="100" w:hanging="200"/>
    </w:pPr>
    <w:rPr>
      <w:kern w:val="1"/>
    </w:rPr>
  </w:style>
  <w:style w:type="paragraph" w:customStyle="1" w:styleId="34">
    <w:name w:val="表格文字"/>
    <w:basedOn w:val="1"/>
    <w:next w:val="11"/>
    <w:qFormat/>
    <w:uiPriority w:val="99"/>
    <w:pPr>
      <w:adjustRightInd w:val="0"/>
      <w:spacing w:line="420" w:lineRule="atLeast"/>
      <w:jc w:val="left"/>
      <w:textAlignment w:val="baseline"/>
    </w:pPr>
    <w:rPr>
      <w:rFonts w:ascii="Times New Roman" w:hAnsi="Times New Roman"/>
      <w:szCs w:val="20"/>
    </w:rPr>
  </w:style>
  <w:style w:type="paragraph" w:customStyle="1" w:styleId="35">
    <w:name w:val="Default"/>
    <w:basedOn w:val="1"/>
    <w:next w:val="1"/>
    <w:qFormat/>
    <w:uiPriority w:val="0"/>
    <w:pPr>
      <w:autoSpaceDE w:val="0"/>
      <w:autoSpaceDN w:val="0"/>
      <w:adjustRightInd w:val="0"/>
      <w:jc w:val="left"/>
    </w:pPr>
    <w:rPr>
      <w:rFonts w:ascii="宋体" w:hAnsi="Times New Roman" w:cs="宋体"/>
      <w:color w:val="000000"/>
      <w:kern w:val="0"/>
      <w:sz w:val="24"/>
      <w:szCs w:val="24"/>
    </w:rPr>
  </w:style>
  <w:style w:type="paragraph" w:customStyle="1" w:styleId="36">
    <w:name w:val="文档正文5"/>
    <w:basedOn w:val="10"/>
    <w:qFormat/>
    <w:uiPriority w:val="0"/>
    <w:pPr>
      <w:autoSpaceDE w:val="0"/>
      <w:autoSpaceDN w:val="0"/>
      <w:snapToGrid w:val="0"/>
      <w:spacing w:line="440" w:lineRule="exact"/>
      <w:ind w:firstLine="505"/>
    </w:pPr>
    <w:rPr>
      <w:spacing w:val="4"/>
      <w:sz w:val="24"/>
    </w:rPr>
  </w:style>
  <w:style w:type="paragraph" w:customStyle="1" w:styleId="37">
    <w:name w:val="p0"/>
    <w:basedOn w:val="1"/>
    <w:qFormat/>
    <w:uiPriority w:val="99"/>
    <w:pPr>
      <w:widowControl/>
      <w:snapToGrid w:val="0"/>
    </w:pPr>
    <w:rPr>
      <w:szCs w:val="24"/>
    </w:rPr>
  </w:style>
  <w:style w:type="paragraph" w:customStyle="1" w:styleId="38">
    <w:name w:val="文档正文"/>
    <w:basedOn w:val="1"/>
    <w:qFormat/>
    <w:uiPriority w:val="99"/>
    <w:pPr>
      <w:adjustRightInd w:val="0"/>
      <w:spacing w:line="480" w:lineRule="atLeast"/>
      <w:ind w:firstLine="567"/>
    </w:pPr>
    <w:rPr>
      <w:rFonts w:ascii="仿宋_GB2312" w:hAnsi="Times New Roman" w:eastAsia="仿宋_GB2312"/>
      <w:kern w:val="0"/>
      <w:sz w:val="28"/>
      <w:szCs w:val="20"/>
    </w:rPr>
  </w:style>
  <w:style w:type="paragraph" w:customStyle="1" w:styleId="39">
    <w:name w:val="列出段落1"/>
    <w:basedOn w:val="1"/>
    <w:unhideWhenUsed/>
    <w:qFormat/>
    <w:uiPriority w:val="99"/>
    <w:pPr>
      <w:ind w:firstLine="420" w:firstLineChars="200"/>
    </w:pPr>
  </w:style>
  <w:style w:type="character" w:customStyle="1" w:styleId="40">
    <w:name w:val="标题 1 Char"/>
    <w:basedOn w:val="29"/>
    <w:link w:val="5"/>
    <w:qFormat/>
    <w:uiPriority w:val="99"/>
    <w:rPr>
      <w:rFonts w:ascii="Calibri" w:hAnsi="Calibri" w:cs="Times New Roman"/>
      <w:b/>
      <w:bCs/>
      <w:kern w:val="44"/>
      <w:sz w:val="44"/>
      <w:szCs w:val="44"/>
    </w:rPr>
  </w:style>
  <w:style w:type="character" w:customStyle="1" w:styleId="41">
    <w:name w:val="标题 2 Char"/>
    <w:basedOn w:val="29"/>
    <w:link w:val="6"/>
    <w:qFormat/>
    <w:uiPriority w:val="99"/>
    <w:rPr>
      <w:rFonts w:ascii="Arial" w:hAnsi="Arial" w:eastAsia="黑体" w:cs="Times New Roman"/>
      <w:b/>
      <w:kern w:val="0"/>
      <w:sz w:val="32"/>
    </w:rPr>
  </w:style>
  <w:style w:type="character" w:customStyle="1" w:styleId="42">
    <w:name w:val="标题 4 Char"/>
    <w:basedOn w:val="29"/>
    <w:link w:val="8"/>
    <w:qFormat/>
    <w:uiPriority w:val="99"/>
    <w:rPr>
      <w:rFonts w:ascii="Cambria" w:hAnsi="Cambria" w:eastAsia="宋体" w:cs="Times New Roman"/>
      <w:b/>
      <w:bCs/>
      <w:sz w:val="28"/>
      <w:szCs w:val="28"/>
    </w:rPr>
  </w:style>
  <w:style w:type="character" w:customStyle="1" w:styleId="43">
    <w:name w:val="正文文本缩进 Char"/>
    <w:basedOn w:val="29"/>
    <w:link w:val="3"/>
    <w:qFormat/>
    <w:uiPriority w:val="99"/>
    <w:rPr>
      <w:rFonts w:ascii="Calibri" w:hAnsi="Calibri" w:cs="Times New Roman"/>
    </w:rPr>
  </w:style>
  <w:style w:type="character" w:customStyle="1" w:styleId="44">
    <w:name w:val="纯文本 Char"/>
    <w:basedOn w:val="29"/>
    <w:link w:val="13"/>
    <w:qFormat/>
    <w:uiPriority w:val="99"/>
    <w:rPr>
      <w:rFonts w:ascii="宋体" w:hAnsi="Courier New" w:cs="Courier New"/>
      <w:sz w:val="21"/>
      <w:szCs w:val="21"/>
    </w:rPr>
  </w:style>
  <w:style w:type="character" w:customStyle="1" w:styleId="45">
    <w:name w:val="页脚 Char"/>
    <w:basedOn w:val="29"/>
    <w:link w:val="15"/>
    <w:qFormat/>
    <w:uiPriority w:val="99"/>
    <w:rPr>
      <w:rFonts w:ascii="Calibri" w:hAnsi="Calibri" w:cs="Times New Roman"/>
      <w:sz w:val="18"/>
      <w:szCs w:val="18"/>
    </w:rPr>
  </w:style>
  <w:style w:type="character" w:customStyle="1" w:styleId="46">
    <w:name w:val="页眉 Char"/>
    <w:basedOn w:val="29"/>
    <w:link w:val="16"/>
    <w:qFormat/>
    <w:uiPriority w:val="99"/>
    <w:rPr>
      <w:rFonts w:ascii="Calibri" w:hAnsi="Calibri" w:cs="Times New Roman"/>
      <w:sz w:val="18"/>
      <w:szCs w:val="18"/>
    </w:rPr>
  </w:style>
  <w:style w:type="character" w:customStyle="1" w:styleId="47">
    <w:name w:val="副标题 Char"/>
    <w:basedOn w:val="29"/>
    <w:link w:val="20"/>
    <w:qFormat/>
    <w:uiPriority w:val="99"/>
    <w:rPr>
      <w:rFonts w:ascii="Cambria" w:hAnsi="Cambria" w:cs="Times New Roman"/>
      <w:b/>
      <w:bCs/>
      <w:kern w:val="28"/>
      <w:sz w:val="32"/>
      <w:szCs w:val="32"/>
    </w:rPr>
  </w:style>
  <w:style w:type="character" w:customStyle="1" w:styleId="48">
    <w:name w:val="正文文本 2 Char"/>
    <w:basedOn w:val="29"/>
    <w:link w:val="22"/>
    <w:qFormat/>
    <w:uiPriority w:val="99"/>
    <w:rPr>
      <w:rFonts w:ascii="Calibri" w:hAnsi="Calibri" w:cs="Times New Roman"/>
    </w:rPr>
  </w:style>
  <w:style w:type="character" w:customStyle="1" w:styleId="49">
    <w:name w:val="标题 Char"/>
    <w:basedOn w:val="29"/>
    <w:link w:val="25"/>
    <w:qFormat/>
    <w:uiPriority w:val="99"/>
    <w:rPr>
      <w:rFonts w:ascii="Cambria" w:hAnsi="Cambria" w:cs="Times New Roman"/>
      <w:b/>
      <w:bCs/>
      <w:sz w:val="32"/>
      <w:szCs w:val="32"/>
    </w:rPr>
  </w:style>
  <w:style w:type="character" w:customStyle="1" w:styleId="50">
    <w:name w:val="font31"/>
    <w:basedOn w:val="29"/>
    <w:qFormat/>
    <w:uiPriority w:val="99"/>
    <w:rPr>
      <w:rFonts w:ascii="宋体" w:hAnsi="宋体" w:eastAsia="宋体" w:cs="宋体"/>
      <w:color w:val="FF0000"/>
      <w:sz w:val="20"/>
      <w:szCs w:val="20"/>
      <w:u w:val="none"/>
    </w:rPr>
  </w:style>
  <w:style w:type="character" w:customStyle="1" w:styleId="51">
    <w:name w:val="font41"/>
    <w:basedOn w:val="29"/>
    <w:qFormat/>
    <w:uiPriority w:val="99"/>
    <w:rPr>
      <w:rFonts w:ascii="宋体" w:hAnsi="宋体" w:eastAsia="宋体" w:cs="宋体"/>
      <w:color w:val="000000"/>
      <w:sz w:val="18"/>
      <w:szCs w:val="18"/>
      <w:u w:val="none"/>
    </w:rPr>
  </w:style>
  <w:style w:type="character" w:customStyle="1" w:styleId="52">
    <w:name w:val="font11"/>
    <w:basedOn w:val="29"/>
    <w:qFormat/>
    <w:uiPriority w:val="99"/>
    <w:rPr>
      <w:rFonts w:ascii="宋体" w:hAnsi="宋体" w:eastAsia="宋体" w:cs="宋体"/>
      <w:color w:val="000000"/>
      <w:sz w:val="21"/>
      <w:szCs w:val="21"/>
      <w:u w:val="none"/>
    </w:rPr>
  </w:style>
  <w:style w:type="character" w:customStyle="1" w:styleId="53">
    <w:name w:val="font01"/>
    <w:basedOn w:val="29"/>
    <w:qFormat/>
    <w:uiPriority w:val="99"/>
    <w:rPr>
      <w:rFonts w:ascii="宋体" w:hAnsi="宋体" w:eastAsia="宋体" w:cs="宋体"/>
      <w:color w:val="000000"/>
      <w:sz w:val="24"/>
      <w:szCs w:val="24"/>
      <w:u w:val="none"/>
    </w:rPr>
  </w:style>
  <w:style w:type="character" w:customStyle="1" w:styleId="54">
    <w:name w:val="font81"/>
    <w:basedOn w:val="29"/>
    <w:qFormat/>
    <w:uiPriority w:val="99"/>
    <w:rPr>
      <w:rFonts w:ascii="宋体" w:hAnsi="宋体" w:eastAsia="宋体" w:cs="宋体"/>
      <w:color w:val="000000"/>
      <w:sz w:val="20"/>
      <w:szCs w:val="20"/>
      <w:u w:val="none"/>
    </w:rPr>
  </w:style>
  <w:style w:type="character" w:customStyle="1" w:styleId="55">
    <w:name w:val="font91"/>
    <w:basedOn w:val="29"/>
    <w:qFormat/>
    <w:uiPriority w:val="99"/>
    <w:rPr>
      <w:rFonts w:ascii="宋体" w:hAnsi="宋体" w:eastAsia="宋体" w:cs="宋体"/>
      <w:color w:val="000000"/>
      <w:sz w:val="52"/>
      <w:szCs w:val="52"/>
      <w:u w:val="none"/>
    </w:rPr>
  </w:style>
  <w:style w:type="character" w:customStyle="1" w:styleId="56">
    <w:name w:val="font51"/>
    <w:basedOn w:val="29"/>
    <w:qFormat/>
    <w:uiPriority w:val="99"/>
    <w:rPr>
      <w:rFonts w:ascii="宋体" w:hAnsi="宋体" w:eastAsia="宋体" w:cs="宋体"/>
      <w:b/>
      <w:color w:val="000000"/>
      <w:sz w:val="20"/>
      <w:szCs w:val="20"/>
      <w:u w:val="none"/>
    </w:rPr>
  </w:style>
  <w:style w:type="character" w:customStyle="1" w:styleId="57">
    <w:name w:val="font61"/>
    <w:basedOn w:val="29"/>
    <w:qFormat/>
    <w:uiPriority w:val="99"/>
    <w:rPr>
      <w:rFonts w:ascii="宋体" w:hAnsi="宋体" w:eastAsia="宋体" w:cs="宋体"/>
      <w:b/>
      <w:color w:val="000000"/>
      <w:sz w:val="52"/>
      <w:szCs w:val="52"/>
      <w:u w:val="none"/>
    </w:rPr>
  </w:style>
  <w:style w:type="character" w:customStyle="1" w:styleId="58">
    <w:name w:val="正文文本 Char"/>
    <w:basedOn w:val="29"/>
    <w:link w:val="11"/>
    <w:qFormat/>
    <w:uiPriority w:val="99"/>
    <w:rPr>
      <w:rFonts w:ascii="Calibri" w:hAnsi="Calibri"/>
      <w:kern w:val="2"/>
      <w:sz w:val="21"/>
      <w:szCs w:val="22"/>
    </w:rPr>
  </w:style>
  <w:style w:type="character" w:customStyle="1" w:styleId="59">
    <w:name w:val="正文首行缩进 Char"/>
    <w:basedOn w:val="58"/>
    <w:link w:val="26"/>
    <w:qFormat/>
    <w:uiPriority w:val="99"/>
    <w:rPr>
      <w:rFonts w:ascii="Calibri" w:hAnsi="Calibri"/>
      <w:kern w:val="2"/>
      <w:sz w:val="21"/>
      <w:szCs w:val="22"/>
    </w:rPr>
  </w:style>
  <w:style w:type="character" w:customStyle="1" w:styleId="60">
    <w:name w:val="标题 3 Char"/>
    <w:basedOn w:val="29"/>
    <w:link w:val="7"/>
    <w:qFormat/>
    <w:uiPriority w:val="0"/>
    <w:rPr>
      <w:rFonts w:ascii="Calibri" w:hAnsi="Calibri" w:eastAsia="宋体" w:cs="黑体"/>
      <w:b/>
      <w:bCs/>
      <w:kern w:val="2"/>
      <w:sz w:val="32"/>
      <w:szCs w:val="32"/>
    </w:rPr>
  </w:style>
  <w:style w:type="character" w:customStyle="1" w:styleId="61">
    <w:name w:val="批注框文本 Char"/>
    <w:basedOn w:val="29"/>
    <w:link w:val="14"/>
    <w:qFormat/>
    <w:uiPriority w:val="99"/>
    <w:rPr>
      <w:rFonts w:ascii="Calibri" w:hAnsi="Calibri"/>
      <w:kern w:val="2"/>
      <w:sz w:val="18"/>
      <w:szCs w:val="18"/>
    </w:rPr>
  </w:style>
  <w:style w:type="table" w:customStyle="1" w:styleId="62">
    <w:name w:val="Table Normal1"/>
    <w:semiHidden/>
    <w:unhideWhenUsed/>
    <w:qFormat/>
    <w:uiPriority w:val="0"/>
    <w:tblPr>
      <w:tblCellMar>
        <w:top w:w="0" w:type="dxa"/>
        <w:left w:w="0" w:type="dxa"/>
        <w:bottom w:w="0" w:type="dxa"/>
        <w:right w:w="0" w:type="dxa"/>
      </w:tblCellMar>
    </w:tblPr>
  </w:style>
  <w:style w:type="paragraph" w:customStyle="1" w:styleId="63">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customStyle="1" w:styleId="64">
    <w:name w:val="正文_13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65">
    <w:name w:val="font21"/>
    <w:basedOn w:val="29"/>
    <w:qFormat/>
    <w:uiPriority w:val="0"/>
    <w:rPr>
      <w:rFonts w:ascii="黑体" w:hAnsi="宋体" w:eastAsia="黑体" w:cs="黑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48</Pages>
  <Words>21122</Words>
  <Characters>22463</Characters>
  <Lines>261</Lines>
  <Paragraphs>73</Paragraphs>
  <TotalTime>0</TotalTime>
  <ScaleCrop>false</ScaleCrop>
  <LinksUpToDate>false</LinksUpToDate>
  <CharactersWithSpaces>25322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2018-03-30T07:17:00Z</dcterms:created>
  <dc:creator>Administrator</dc:creator>
  <cp:lastModifiedBy>邂逅</cp:lastModifiedBy>
  <cp:lastPrinted>2023-02-22T11:37:00Z</cp:lastPrinted>
  <dcterms:modified xsi:type="dcterms:W3CDTF">2023-08-18T03:22:56Z</dcterms:modified>
  <dc:title>温县产业新城PPP项目咨询服务机构采购项目</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591F3065997E440E9468681AAF4C3CE2_13</vt:lpwstr>
  </property>
</Properties>
</file>