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800" w:lineRule="exact"/>
        <w:jc w:val="center"/>
        <w:rPr>
          <w:rFonts w:ascii="宋体" w:hAnsi="宋体"/>
          <w:b/>
          <w:bCs/>
          <w:color w:val="auto"/>
          <w:w w:val="80"/>
          <w:sz w:val="48"/>
          <w:szCs w:val="48"/>
          <w:highlight w:val="none"/>
        </w:rPr>
      </w:pPr>
      <w:r>
        <w:rPr>
          <w:rFonts w:hint="eastAsia" w:ascii="宋体" w:hAnsi="宋体"/>
          <w:b/>
          <w:bCs/>
          <w:color w:val="auto"/>
          <w:w w:val="100"/>
          <w:sz w:val="44"/>
          <w:szCs w:val="44"/>
          <w:highlight w:val="none"/>
          <w:lang w:val="en-US" w:eastAsia="zh-CN"/>
        </w:rPr>
        <w:t>温县司法局创建国家级智慧矫正中心采购项目</w:t>
      </w:r>
    </w:p>
    <w:p>
      <w:pPr>
        <w:rPr>
          <w:rFonts w:ascii="仿宋_GB2312" w:eastAsia="仿宋_GB2312"/>
          <w:b/>
          <w:color w:val="auto"/>
          <w:sz w:val="32"/>
          <w:szCs w:val="32"/>
          <w:highlight w:val="none"/>
        </w:rPr>
      </w:pPr>
    </w:p>
    <w:p>
      <w:pPr>
        <w:pStyle w:val="30"/>
        <w:jc w:val="center"/>
        <w:rPr>
          <w:rFonts w:hint="eastAsia" w:ascii="宋体" w:hAnsi="宋体" w:eastAsia="宋体" w:cs="Times New Roman"/>
          <w:b/>
          <w:bCs/>
          <w:color w:val="auto"/>
          <w:w w:val="100"/>
          <w:kern w:val="2"/>
          <w:sz w:val="44"/>
          <w:szCs w:val="44"/>
          <w:highlight w:val="none"/>
          <w:lang w:val="en-US" w:eastAsia="zh-CN" w:bidi="ar-SA"/>
        </w:rPr>
      </w:pPr>
      <w:r>
        <w:rPr>
          <w:rFonts w:hint="eastAsia" w:ascii="宋体" w:hAnsi="宋体" w:eastAsia="宋体" w:cs="Times New Roman"/>
          <w:b/>
          <w:bCs/>
          <w:color w:val="auto"/>
          <w:w w:val="100"/>
          <w:kern w:val="2"/>
          <w:sz w:val="44"/>
          <w:szCs w:val="44"/>
          <w:highlight w:val="none"/>
          <w:lang w:val="en-US" w:eastAsia="zh-CN" w:bidi="ar-SA"/>
        </w:rPr>
        <w:t>竞争性磋商文件</w:t>
      </w:r>
    </w:p>
    <w:p>
      <w:pPr>
        <w:spacing w:line="360" w:lineRule="auto"/>
        <w:jc w:val="center"/>
        <w:rPr>
          <w:rFonts w:hint="eastAsia" w:ascii="宋体" w:hAnsi="宋体" w:eastAsia="宋体" w:cs="宋体"/>
          <w:b/>
          <w:color w:val="auto"/>
          <w:sz w:val="24"/>
          <w:szCs w:val="24"/>
          <w:highlight w:val="none"/>
        </w:rPr>
      </w:pPr>
    </w:p>
    <w:p>
      <w:pPr>
        <w:spacing w:line="360" w:lineRule="auto"/>
        <w:jc w:val="center"/>
        <w:rPr>
          <w:rFonts w:hint="eastAsia" w:ascii="宋体" w:hAnsi="宋体" w:eastAsia="宋体" w:cs="宋体"/>
          <w:b/>
          <w:color w:val="auto"/>
          <w:sz w:val="24"/>
          <w:szCs w:val="24"/>
          <w:highlight w:val="none"/>
        </w:rPr>
      </w:pPr>
    </w:p>
    <w:p>
      <w:pPr>
        <w:spacing w:line="360" w:lineRule="auto"/>
        <w:jc w:val="center"/>
        <w:rPr>
          <w:rFonts w:hint="eastAsia" w:ascii="仿宋_GB2312" w:eastAsia="仿宋_GB2312"/>
          <w:b/>
          <w:color w:val="auto"/>
          <w:sz w:val="32"/>
          <w:szCs w:val="32"/>
          <w:highlight w:val="none"/>
          <w:lang w:eastAsia="zh-CN"/>
        </w:rPr>
      </w:pPr>
      <w:r>
        <w:rPr>
          <w:rFonts w:hint="eastAsia" w:ascii="宋体" w:hAnsi="宋体" w:eastAsia="宋体" w:cs="宋体"/>
          <w:b/>
          <w:color w:val="auto"/>
          <w:sz w:val="24"/>
          <w:szCs w:val="24"/>
          <w:highlight w:val="none"/>
        </w:rPr>
        <w:t>项目编号：温交易【202</w:t>
      </w: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rPr>
        <w:t>】</w:t>
      </w:r>
      <w:r>
        <w:rPr>
          <w:rFonts w:hint="eastAsia" w:ascii="宋体" w:hAnsi="宋体" w:cs="宋体"/>
          <w:b/>
          <w:color w:val="auto"/>
          <w:sz w:val="24"/>
          <w:szCs w:val="24"/>
          <w:highlight w:val="none"/>
          <w:lang w:val="en-US" w:eastAsia="zh-CN"/>
        </w:rPr>
        <w:t>62</w:t>
      </w:r>
      <w:r>
        <w:rPr>
          <w:rFonts w:hint="eastAsia" w:ascii="宋体" w:hAnsi="宋体" w:eastAsia="宋体" w:cs="宋体"/>
          <w:b/>
          <w:color w:val="auto"/>
          <w:sz w:val="24"/>
          <w:szCs w:val="24"/>
          <w:highlight w:val="none"/>
        </w:rPr>
        <w:t>号</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采购编号：温政采【202</w:t>
      </w: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rPr>
        <w:t>】</w:t>
      </w:r>
      <w:r>
        <w:rPr>
          <w:rFonts w:hint="eastAsia" w:ascii="宋体" w:hAnsi="宋体" w:cs="宋体"/>
          <w:b/>
          <w:color w:val="auto"/>
          <w:sz w:val="24"/>
          <w:szCs w:val="24"/>
          <w:highlight w:val="none"/>
          <w:lang w:val="en-US" w:eastAsia="zh-CN"/>
        </w:rPr>
        <w:t>65</w:t>
      </w:r>
      <w:r>
        <w:rPr>
          <w:rFonts w:hint="eastAsia" w:ascii="宋体" w:hAnsi="宋体" w:eastAsia="宋体" w:cs="宋体"/>
          <w:b/>
          <w:color w:val="auto"/>
          <w:sz w:val="24"/>
          <w:szCs w:val="24"/>
          <w:highlight w:val="none"/>
        </w:rPr>
        <w:t>号</w:t>
      </w:r>
    </w:p>
    <w:p>
      <w:pPr>
        <w:pStyle w:val="30"/>
        <w:jc w:val="center"/>
        <w:rPr>
          <w:rFonts w:hint="eastAsia" w:ascii="宋体" w:hAnsi="宋体"/>
          <w:b/>
          <w:bCs/>
          <w:color w:val="auto"/>
          <w:w w:val="80"/>
          <w:sz w:val="48"/>
          <w:szCs w:val="48"/>
          <w:highlight w:val="none"/>
        </w:rPr>
      </w:pPr>
    </w:p>
    <w:p>
      <w:pPr>
        <w:pStyle w:val="30"/>
        <w:jc w:val="center"/>
        <w:rPr>
          <w:rFonts w:hint="eastAsia" w:ascii="宋体" w:hAnsi="宋体"/>
          <w:b/>
          <w:bCs/>
          <w:color w:val="auto"/>
          <w:w w:val="80"/>
          <w:sz w:val="48"/>
          <w:szCs w:val="48"/>
          <w:highlight w:val="none"/>
        </w:rPr>
      </w:pPr>
    </w:p>
    <w:p>
      <w:pPr>
        <w:pStyle w:val="29"/>
        <w:rPr>
          <w:rFonts w:hint="eastAsia" w:ascii="宋体" w:hAnsi="宋体"/>
          <w:b/>
          <w:bCs/>
          <w:color w:val="auto"/>
          <w:w w:val="80"/>
          <w:sz w:val="48"/>
          <w:szCs w:val="48"/>
          <w:highlight w:val="none"/>
        </w:rPr>
      </w:pPr>
      <w:r>
        <w:rPr>
          <w:rFonts w:hint="eastAsia"/>
          <w:color w:val="auto"/>
          <w:highlight w:val="none"/>
          <w:lang w:eastAsia="zh-CN"/>
        </w:rPr>
        <w:drawing>
          <wp:anchor distT="0" distB="0" distL="114300" distR="114300" simplePos="0" relativeHeight="251659264" behindDoc="1" locked="0" layoutInCell="1" allowOverlap="1">
            <wp:simplePos x="0" y="0"/>
            <wp:positionH relativeFrom="column">
              <wp:posOffset>2177415</wp:posOffset>
            </wp:positionH>
            <wp:positionV relativeFrom="paragraph">
              <wp:posOffset>341630</wp:posOffset>
            </wp:positionV>
            <wp:extent cx="1446530" cy="1965325"/>
            <wp:effectExtent l="0" t="0" r="0" b="0"/>
            <wp:wrapThrough wrapText="bothSides">
              <wp:wrapPolygon>
                <wp:start x="21592" y="-2"/>
                <wp:lineTo x="0" y="0"/>
                <wp:lineTo x="0" y="21600"/>
                <wp:lineTo x="21592" y="21602"/>
                <wp:lineTo x="8" y="21602"/>
                <wp:lineTo x="21600" y="21600"/>
                <wp:lineTo x="21600" y="0"/>
                <wp:lineTo x="8" y="-2"/>
                <wp:lineTo x="21592" y="-2"/>
              </wp:wrapPolygon>
            </wp:wrapThrough>
            <wp:docPr id="1026" name="Image1" descr="图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Image1" descr="图标"/>
                    <pic:cNvPicPr>
                      <a:picLocks noChangeAspect="1"/>
                    </pic:cNvPicPr>
                  </pic:nvPicPr>
                  <pic:blipFill>
                    <a:blip r:embed="rId6" cstate="print"/>
                    <a:srcRect/>
                    <a:stretch>
                      <a:fillRect/>
                    </a:stretch>
                  </pic:blipFill>
                  <pic:spPr>
                    <a:xfrm>
                      <a:off x="0" y="0"/>
                      <a:ext cx="1446530" cy="1965325"/>
                    </a:xfrm>
                    <a:prstGeom prst="rect">
                      <a:avLst/>
                    </a:prstGeom>
                    <a:ln>
                      <a:noFill/>
                    </a:ln>
                  </pic:spPr>
                </pic:pic>
              </a:graphicData>
            </a:graphic>
          </wp:anchor>
        </w:drawing>
      </w:r>
    </w:p>
    <w:p>
      <w:pPr>
        <w:pStyle w:val="8"/>
        <w:rPr>
          <w:rFonts w:hint="eastAsia" w:ascii="宋体" w:hAnsi="宋体"/>
          <w:b/>
          <w:bCs/>
          <w:color w:val="auto"/>
          <w:w w:val="80"/>
          <w:sz w:val="48"/>
          <w:szCs w:val="48"/>
          <w:highlight w:val="none"/>
        </w:rPr>
      </w:pPr>
    </w:p>
    <w:p>
      <w:pPr>
        <w:rPr>
          <w:rFonts w:hint="eastAsia" w:ascii="宋体" w:hAnsi="宋体"/>
          <w:b/>
          <w:bCs/>
          <w:color w:val="auto"/>
          <w:w w:val="80"/>
          <w:sz w:val="48"/>
          <w:szCs w:val="48"/>
          <w:highlight w:val="none"/>
        </w:rPr>
      </w:pPr>
    </w:p>
    <w:p>
      <w:pPr>
        <w:pStyle w:val="30"/>
        <w:rPr>
          <w:rFonts w:hint="eastAsia"/>
          <w:color w:val="auto"/>
          <w:highlight w:val="none"/>
        </w:rPr>
      </w:pPr>
    </w:p>
    <w:p>
      <w:pPr>
        <w:pStyle w:val="29"/>
        <w:rPr>
          <w:rFonts w:hint="eastAsia"/>
          <w:color w:val="auto"/>
          <w:highlight w:val="none"/>
        </w:rPr>
      </w:pPr>
    </w:p>
    <w:p>
      <w:pPr>
        <w:jc w:val="center"/>
        <w:rPr>
          <w:rFonts w:hint="eastAsia"/>
          <w:b/>
          <w:color w:val="auto"/>
          <w:sz w:val="28"/>
          <w:szCs w:val="28"/>
          <w:highlight w:val="none"/>
        </w:rPr>
      </w:pPr>
    </w:p>
    <w:p>
      <w:pPr>
        <w:rPr>
          <w:rFonts w:ascii="仿宋_GB2312" w:eastAsia="仿宋_GB2312"/>
          <w:b/>
          <w:color w:val="auto"/>
          <w:sz w:val="32"/>
          <w:szCs w:val="32"/>
          <w:highlight w:val="none"/>
        </w:rPr>
      </w:pPr>
    </w:p>
    <w:p>
      <w:pPr>
        <w:rPr>
          <w:rFonts w:ascii="仿宋_GB2312" w:eastAsia="仿宋_GB2312"/>
          <w:b/>
          <w:color w:val="auto"/>
          <w:sz w:val="32"/>
          <w:szCs w:val="32"/>
          <w:highlight w:val="none"/>
        </w:rPr>
      </w:pPr>
    </w:p>
    <w:p>
      <w:pPr>
        <w:pStyle w:val="30"/>
        <w:rPr>
          <w:rFonts w:ascii="仿宋_GB2312" w:eastAsia="仿宋_GB2312"/>
          <w:b/>
          <w:color w:val="auto"/>
          <w:sz w:val="32"/>
          <w:szCs w:val="32"/>
          <w:highlight w:val="none"/>
        </w:rPr>
      </w:pPr>
    </w:p>
    <w:p>
      <w:pPr>
        <w:pStyle w:val="29"/>
        <w:rPr>
          <w:rFonts w:ascii="仿宋_GB2312" w:eastAsia="仿宋_GB2312"/>
          <w:b/>
          <w:color w:val="auto"/>
          <w:sz w:val="32"/>
          <w:szCs w:val="32"/>
          <w:highlight w:val="none"/>
        </w:rPr>
      </w:pPr>
    </w:p>
    <w:p>
      <w:pPr>
        <w:pStyle w:val="8"/>
        <w:rPr>
          <w:color w:val="auto"/>
          <w:highlight w:val="none"/>
        </w:rPr>
      </w:pPr>
    </w:p>
    <w:p>
      <w:pPr>
        <w:pStyle w:val="6"/>
        <w:rPr>
          <w:color w:val="auto"/>
          <w:highlight w:val="none"/>
        </w:rPr>
      </w:pPr>
    </w:p>
    <w:p>
      <w:pPr>
        <w:spacing w:line="600" w:lineRule="exact"/>
        <w:ind w:firstLine="1800" w:firstLineChars="600"/>
        <w:jc w:val="left"/>
        <w:rPr>
          <w:rFonts w:hint="eastAsia" w:ascii="宋体" w:hAnsi="宋体" w:cs="宋体"/>
          <w:bCs/>
          <w:color w:val="auto"/>
          <w:sz w:val="30"/>
          <w:szCs w:val="30"/>
          <w:highlight w:val="none"/>
          <w:lang w:val="en-US" w:eastAsia="zh-CN"/>
        </w:rPr>
      </w:pPr>
      <w:r>
        <w:rPr>
          <w:rFonts w:hint="eastAsia" w:ascii="宋体" w:hAnsi="宋体" w:cs="宋体"/>
          <w:bCs/>
          <w:color w:val="auto"/>
          <w:sz w:val="30"/>
          <w:szCs w:val="30"/>
          <w:highlight w:val="none"/>
        </w:rPr>
        <w:t>采</w:t>
      </w:r>
      <w:r>
        <w:rPr>
          <w:rFonts w:hint="eastAsia" w:ascii="宋体" w:hAnsi="宋体" w:cs="宋体"/>
          <w:bCs/>
          <w:color w:val="auto"/>
          <w:sz w:val="30"/>
          <w:szCs w:val="30"/>
          <w:highlight w:val="none"/>
          <w:lang w:val="en-US" w:eastAsia="zh-CN"/>
        </w:rPr>
        <w:t xml:space="preserve">   </w:t>
      </w:r>
      <w:r>
        <w:rPr>
          <w:rFonts w:hint="eastAsia" w:ascii="宋体" w:hAnsi="宋体" w:cs="宋体"/>
          <w:bCs/>
          <w:color w:val="auto"/>
          <w:sz w:val="30"/>
          <w:szCs w:val="30"/>
          <w:highlight w:val="none"/>
        </w:rPr>
        <w:t>购</w:t>
      </w:r>
      <w:r>
        <w:rPr>
          <w:rFonts w:hint="eastAsia" w:ascii="宋体" w:hAnsi="宋体" w:cs="宋体"/>
          <w:bCs/>
          <w:color w:val="auto"/>
          <w:sz w:val="30"/>
          <w:szCs w:val="30"/>
          <w:highlight w:val="none"/>
          <w:lang w:val="en-US" w:eastAsia="zh-CN"/>
        </w:rPr>
        <w:t xml:space="preserve">   </w:t>
      </w:r>
      <w:r>
        <w:rPr>
          <w:rFonts w:hint="eastAsia" w:ascii="宋体" w:hAnsi="宋体" w:cs="宋体"/>
          <w:bCs/>
          <w:color w:val="auto"/>
          <w:sz w:val="30"/>
          <w:szCs w:val="30"/>
          <w:highlight w:val="none"/>
        </w:rPr>
        <w:t>人：</w:t>
      </w:r>
      <w:r>
        <w:rPr>
          <w:rFonts w:hint="eastAsia" w:ascii="宋体" w:hAnsi="宋体" w:cs="宋体"/>
          <w:bCs/>
          <w:color w:val="auto"/>
          <w:sz w:val="30"/>
          <w:szCs w:val="30"/>
          <w:highlight w:val="none"/>
          <w:lang w:val="en-US" w:eastAsia="zh-CN"/>
        </w:rPr>
        <w:t>温县司法局</w:t>
      </w:r>
    </w:p>
    <w:p>
      <w:pPr>
        <w:spacing w:line="600" w:lineRule="exact"/>
        <w:ind w:firstLine="1800" w:firstLineChars="600"/>
        <w:jc w:val="left"/>
        <w:rPr>
          <w:rFonts w:hint="eastAsia" w:ascii="宋体" w:hAnsi="宋体" w:cs="宋体"/>
          <w:bCs/>
          <w:color w:val="auto"/>
          <w:sz w:val="30"/>
          <w:szCs w:val="30"/>
          <w:highlight w:val="none"/>
          <w:lang w:val="zh-CN" w:eastAsia="zh-CN"/>
        </w:rPr>
      </w:pPr>
      <w:r>
        <w:rPr>
          <w:rFonts w:hint="eastAsia" w:ascii="宋体" w:hAnsi="宋体" w:cs="宋体"/>
          <w:bCs/>
          <w:color w:val="auto"/>
          <w:sz w:val="30"/>
          <w:szCs w:val="30"/>
          <w:highlight w:val="none"/>
        </w:rPr>
        <w:t>采购代理机构：</w:t>
      </w:r>
      <w:r>
        <w:rPr>
          <w:rFonts w:hint="eastAsia" w:ascii="宋体" w:hAnsi="宋体" w:cs="宋体"/>
          <w:bCs/>
          <w:color w:val="auto"/>
          <w:sz w:val="30"/>
          <w:szCs w:val="30"/>
          <w:highlight w:val="none"/>
          <w:lang w:val="en-US" w:eastAsia="zh-CN"/>
        </w:rPr>
        <w:t>中瑞建园工程管理有限公司</w:t>
      </w:r>
    </w:p>
    <w:p>
      <w:pPr>
        <w:spacing w:line="600" w:lineRule="exact"/>
        <w:ind w:firstLine="1800" w:firstLineChars="600"/>
        <w:jc w:val="left"/>
        <w:rPr>
          <w:rFonts w:ascii="宋体" w:hAnsi="宋体" w:cs="宋体"/>
          <w:bCs/>
          <w:color w:val="auto"/>
          <w:sz w:val="30"/>
          <w:szCs w:val="30"/>
          <w:highlight w:val="none"/>
        </w:rPr>
      </w:pPr>
      <w:r>
        <w:rPr>
          <w:rFonts w:hint="eastAsia" w:ascii="宋体" w:hAnsi="宋体" w:cs="宋体"/>
          <w:bCs/>
          <w:color w:val="auto"/>
          <w:sz w:val="30"/>
          <w:szCs w:val="30"/>
          <w:highlight w:val="none"/>
        </w:rPr>
        <w:t xml:space="preserve">日  </w:t>
      </w:r>
      <w:r>
        <w:rPr>
          <w:rFonts w:hint="eastAsia" w:ascii="宋体" w:hAnsi="宋体" w:cs="宋体"/>
          <w:bCs/>
          <w:color w:val="auto"/>
          <w:sz w:val="30"/>
          <w:szCs w:val="30"/>
          <w:highlight w:val="none"/>
          <w:lang w:val="en-US" w:eastAsia="zh-CN"/>
        </w:rPr>
        <w:t xml:space="preserve">      </w:t>
      </w:r>
      <w:r>
        <w:rPr>
          <w:rFonts w:hint="eastAsia" w:ascii="宋体" w:hAnsi="宋体" w:cs="宋体"/>
          <w:bCs/>
          <w:color w:val="auto"/>
          <w:sz w:val="30"/>
          <w:szCs w:val="30"/>
          <w:highlight w:val="none"/>
        </w:rPr>
        <w:t>期：二零二二年</w:t>
      </w:r>
      <w:r>
        <w:rPr>
          <w:rFonts w:hint="eastAsia" w:ascii="宋体" w:hAnsi="宋体" w:cs="宋体"/>
          <w:bCs/>
          <w:color w:val="auto"/>
          <w:sz w:val="30"/>
          <w:szCs w:val="30"/>
          <w:highlight w:val="none"/>
          <w:lang w:val="en-US" w:eastAsia="zh-CN"/>
        </w:rPr>
        <w:t>五</w:t>
      </w:r>
      <w:r>
        <w:rPr>
          <w:rFonts w:hint="eastAsia" w:ascii="宋体" w:hAnsi="宋体" w:cs="宋体"/>
          <w:bCs/>
          <w:color w:val="auto"/>
          <w:sz w:val="30"/>
          <w:szCs w:val="30"/>
          <w:highlight w:val="none"/>
        </w:rPr>
        <w:t>月</w:t>
      </w:r>
    </w:p>
    <w:p>
      <w:pPr>
        <w:spacing w:line="340" w:lineRule="exact"/>
        <w:rPr>
          <w:rFonts w:ascii="宋体" w:hAnsi="宋体" w:cs="宋体"/>
          <w:b/>
          <w:color w:val="auto"/>
          <w:kern w:val="44"/>
          <w:sz w:val="30"/>
          <w:szCs w:val="30"/>
          <w:highlight w:val="none"/>
          <w:lang w:val="zh-CN"/>
        </w:rPr>
      </w:pPr>
    </w:p>
    <w:p>
      <w:pPr>
        <w:spacing w:line="340" w:lineRule="exact"/>
        <w:jc w:val="center"/>
        <w:rPr>
          <w:rFonts w:hint="eastAsia" w:ascii="宋体" w:hAnsi="宋体" w:cs="宋体"/>
          <w:b/>
          <w:color w:val="auto"/>
          <w:kern w:val="44"/>
          <w:sz w:val="30"/>
          <w:szCs w:val="30"/>
          <w:highlight w:val="none"/>
          <w:lang w:val="zh-CN"/>
        </w:rPr>
      </w:pPr>
    </w:p>
    <w:p>
      <w:pPr>
        <w:spacing w:line="340" w:lineRule="exact"/>
        <w:jc w:val="center"/>
        <w:rPr>
          <w:rFonts w:hint="eastAsia" w:ascii="宋体" w:hAnsi="宋体" w:cs="宋体"/>
          <w:b/>
          <w:color w:val="auto"/>
          <w:kern w:val="44"/>
          <w:sz w:val="30"/>
          <w:szCs w:val="30"/>
          <w:highlight w:val="none"/>
          <w:lang w:val="zh-CN"/>
        </w:rPr>
      </w:pPr>
    </w:p>
    <w:p>
      <w:pPr>
        <w:spacing w:line="340" w:lineRule="exact"/>
        <w:jc w:val="center"/>
        <w:rPr>
          <w:rFonts w:ascii="宋体" w:hAnsi="宋体" w:eastAsia="宋体" w:cs="宋体"/>
          <w:bCs/>
          <w:color w:val="auto"/>
          <w:kern w:val="2"/>
          <w:sz w:val="21"/>
          <w:szCs w:val="21"/>
          <w:highlight w:val="none"/>
          <w:lang w:val="en-US" w:eastAsia="zh-CN" w:bidi="ar-SA"/>
        </w:rPr>
      </w:pPr>
      <w:r>
        <w:rPr>
          <w:rFonts w:hint="eastAsia" w:ascii="宋体" w:hAnsi="宋体" w:cs="宋体"/>
          <w:b/>
          <w:color w:val="auto"/>
          <w:kern w:val="44"/>
          <w:sz w:val="30"/>
          <w:szCs w:val="30"/>
          <w:highlight w:val="none"/>
          <w:lang w:val="zh-CN"/>
        </w:rPr>
        <w:t>目</w:t>
      </w:r>
      <w:r>
        <w:rPr>
          <w:rFonts w:ascii="宋体" w:hAnsi="宋体" w:cs="宋体"/>
          <w:b/>
          <w:color w:val="auto"/>
          <w:kern w:val="44"/>
          <w:sz w:val="30"/>
          <w:szCs w:val="30"/>
          <w:highlight w:val="none"/>
        </w:rPr>
        <w:t xml:space="preserve">  </w:t>
      </w:r>
      <w:r>
        <w:rPr>
          <w:rFonts w:hint="eastAsia" w:ascii="宋体" w:hAnsi="宋体" w:cs="宋体"/>
          <w:b/>
          <w:color w:val="auto"/>
          <w:kern w:val="44"/>
          <w:sz w:val="30"/>
          <w:szCs w:val="30"/>
          <w:highlight w:val="none"/>
          <w:lang w:val="zh-CN"/>
        </w:rPr>
        <w:t>录</w:t>
      </w: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TOC \o "1-3" \h \z \u </w:instrText>
      </w:r>
      <w:r>
        <w:rPr>
          <w:rFonts w:ascii="宋体" w:hAnsi="宋体" w:cs="宋体"/>
          <w:bCs/>
          <w:color w:val="auto"/>
          <w:szCs w:val="21"/>
          <w:highlight w:val="none"/>
        </w:rPr>
        <w:fldChar w:fldCharType="separate"/>
      </w:r>
    </w:p>
    <w:p>
      <w:pPr>
        <w:pStyle w:val="16"/>
        <w:tabs>
          <w:tab w:val="right" w:leader="dot" w:pos="9072"/>
        </w:tabs>
        <w:rPr>
          <w:color w:val="auto"/>
          <w:highlight w:val="none"/>
        </w:rPr>
      </w:pP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HYPERLINK \l _Toc21762 </w:instrText>
      </w:r>
      <w:r>
        <w:rPr>
          <w:rFonts w:ascii="宋体" w:hAnsi="宋体" w:cs="宋体"/>
          <w:bCs/>
          <w:color w:val="auto"/>
          <w:szCs w:val="21"/>
          <w:highlight w:val="none"/>
        </w:rPr>
        <w:fldChar w:fldCharType="separate"/>
      </w:r>
      <w:r>
        <w:rPr>
          <w:rFonts w:hint="eastAsia"/>
          <w:color w:val="auto"/>
          <w:kern w:val="44"/>
          <w:highlight w:val="none"/>
        </w:rPr>
        <w:t>第一章</w:t>
      </w:r>
      <w:r>
        <w:rPr>
          <w:color w:val="auto"/>
          <w:kern w:val="44"/>
          <w:highlight w:val="none"/>
        </w:rPr>
        <w:t xml:space="preserve">  </w:t>
      </w:r>
      <w:r>
        <w:rPr>
          <w:rFonts w:hint="eastAsia"/>
          <w:color w:val="auto"/>
          <w:kern w:val="44"/>
          <w:highlight w:val="none"/>
        </w:rPr>
        <w:t>竞争性磋商公告</w:t>
      </w:r>
      <w:r>
        <w:rPr>
          <w:color w:val="auto"/>
          <w:highlight w:val="none"/>
        </w:rPr>
        <w:tab/>
      </w:r>
      <w:r>
        <w:rPr>
          <w:color w:val="auto"/>
          <w:highlight w:val="none"/>
        </w:rPr>
        <w:fldChar w:fldCharType="begin"/>
      </w:r>
      <w:r>
        <w:rPr>
          <w:color w:val="auto"/>
          <w:highlight w:val="none"/>
        </w:rPr>
        <w:instrText xml:space="preserve"> PAGEREF _Toc21762 \h </w:instrText>
      </w:r>
      <w:r>
        <w:rPr>
          <w:color w:val="auto"/>
          <w:highlight w:val="none"/>
        </w:rPr>
        <w:fldChar w:fldCharType="separate"/>
      </w:r>
      <w:r>
        <w:rPr>
          <w:color w:val="auto"/>
          <w:highlight w:val="none"/>
        </w:rPr>
        <w:t>- 3 -</w:t>
      </w:r>
      <w:r>
        <w:rPr>
          <w:color w:val="auto"/>
          <w:highlight w:val="none"/>
        </w:rPr>
        <w:fldChar w:fldCharType="end"/>
      </w:r>
      <w:r>
        <w:rPr>
          <w:rFonts w:ascii="宋体" w:hAnsi="宋体" w:cs="宋体"/>
          <w:bCs/>
          <w:color w:val="auto"/>
          <w:szCs w:val="21"/>
          <w:highlight w:val="none"/>
        </w:rPr>
        <w:fldChar w:fldCharType="end"/>
      </w:r>
    </w:p>
    <w:p>
      <w:pPr>
        <w:pStyle w:val="18"/>
        <w:tabs>
          <w:tab w:val="right" w:leader="dot" w:pos="9072"/>
        </w:tabs>
        <w:rPr>
          <w:color w:val="auto"/>
          <w:highlight w:val="none"/>
        </w:rPr>
      </w:pP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HYPERLINK \l _Toc5975 </w:instrText>
      </w:r>
      <w:r>
        <w:rPr>
          <w:rFonts w:ascii="宋体" w:hAnsi="宋体" w:cs="宋体"/>
          <w:bCs/>
          <w:color w:val="auto"/>
          <w:szCs w:val="21"/>
          <w:highlight w:val="none"/>
        </w:rPr>
        <w:fldChar w:fldCharType="separate"/>
      </w:r>
      <w:r>
        <w:rPr>
          <w:rFonts w:hint="eastAsia" w:ascii="宋体" w:hAnsi="宋体" w:cs="宋体"/>
          <w:color w:val="auto"/>
          <w:highlight w:val="none"/>
        </w:rPr>
        <w:t>第二章</w:t>
      </w:r>
      <w:r>
        <w:rPr>
          <w:rFonts w:ascii="宋体" w:hAnsi="宋体" w:cs="宋体"/>
          <w:color w:val="auto"/>
          <w:highlight w:val="none"/>
        </w:rPr>
        <w:t xml:space="preserve"> </w:t>
      </w:r>
      <w:r>
        <w:rPr>
          <w:rFonts w:hint="eastAsia" w:ascii="宋体" w:hAnsi="宋体" w:cs="宋体"/>
          <w:color w:val="auto"/>
          <w:highlight w:val="none"/>
        </w:rPr>
        <w:t>供应商须知前附表</w:t>
      </w:r>
      <w:r>
        <w:rPr>
          <w:color w:val="auto"/>
          <w:highlight w:val="none"/>
        </w:rPr>
        <w:tab/>
      </w:r>
      <w:r>
        <w:rPr>
          <w:color w:val="auto"/>
          <w:highlight w:val="none"/>
        </w:rPr>
        <w:fldChar w:fldCharType="begin"/>
      </w:r>
      <w:r>
        <w:rPr>
          <w:color w:val="auto"/>
          <w:highlight w:val="none"/>
        </w:rPr>
        <w:instrText xml:space="preserve"> PAGEREF _Toc5975 \h </w:instrText>
      </w:r>
      <w:r>
        <w:rPr>
          <w:color w:val="auto"/>
          <w:highlight w:val="none"/>
        </w:rPr>
        <w:fldChar w:fldCharType="separate"/>
      </w:r>
      <w:r>
        <w:rPr>
          <w:color w:val="auto"/>
          <w:highlight w:val="none"/>
        </w:rPr>
        <w:t>- 6 -</w:t>
      </w:r>
      <w:r>
        <w:rPr>
          <w:color w:val="auto"/>
          <w:highlight w:val="none"/>
        </w:rPr>
        <w:fldChar w:fldCharType="end"/>
      </w:r>
      <w:r>
        <w:rPr>
          <w:rFonts w:ascii="宋体" w:hAnsi="宋体" w:cs="宋体"/>
          <w:bCs/>
          <w:color w:val="auto"/>
          <w:szCs w:val="21"/>
          <w:highlight w:val="none"/>
        </w:rPr>
        <w:fldChar w:fldCharType="end"/>
      </w:r>
    </w:p>
    <w:p>
      <w:pPr>
        <w:pStyle w:val="18"/>
        <w:tabs>
          <w:tab w:val="right" w:leader="dot" w:pos="9072"/>
        </w:tabs>
        <w:rPr>
          <w:color w:val="auto"/>
          <w:highlight w:val="none"/>
        </w:rPr>
      </w:pP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HYPERLINK \l _Toc14155 </w:instrText>
      </w:r>
      <w:r>
        <w:rPr>
          <w:rFonts w:ascii="宋体" w:hAnsi="宋体" w:cs="宋体"/>
          <w:bCs/>
          <w:color w:val="auto"/>
          <w:szCs w:val="21"/>
          <w:highlight w:val="none"/>
        </w:rPr>
        <w:fldChar w:fldCharType="separate"/>
      </w:r>
      <w:r>
        <w:rPr>
          <w:rFonts w:hint="default" w:ascii="宋体" w:hAnsi="宋体" w:eastAsia="宋体" w:cs="宋体"/>
          <w:bCs/>
          <w:color w:val="auto"/>
          <w:highlight w:val="none"/>
        </w:rPr>
        <w:t xml:space="preserve">1. </w:t>
      </w:r>
      <w:r>
        <w:rPr>
          <w:rFonts w:hint="eastAsia" w:ascii="宋体" w:hAnsi="宋体" w:eastAsia="宋体" w:cs="宋体"/>
          <w:bCs/>
          <w:color w:val="auto"/>
          <w:highlight w:val="none"/>
        </w:rPr>
        <w:t>总则</w:t>
      </w:r>
      <w:r>
        <w:rPr>
          <w:color w:val="auto"/>
          <w:highlight w:val="none"/>
        </w:rPr>
        <w:tab/>
      </w:r>
      <w:r>
        <w:rPr>
          <w:color w:val="auto"/>
          <w:highlight w:val="none"/>
        </w:rPr>
        <w:fldChar w:fldCharType="begin"/>
      </w:r>
      <w:r>
        <w:rPr>
          <w:color w:val="auto"/>
          <w:highlight w:val="none"/>
        </w:rPr>
        <w:instrText xml:space="preserve"> PAGEREF _Toc14155 \h </w:instrText>
      </w:r>
      <w:r>
        <w:rPr>
          <w:color w:val="auto"/>
          <w:highlight w:val="none"/>
        </w:rPr>
        <w:fldChar w:fldCharType="separate"/>
      </w:r>
      <w:r>
        <w:rPr>
          <w:color w:val="auto"/>
          <w:highlight w:val="none"/>
        </w:rPr>
        <w:t>- 9 -</w:t>
      </w:r>
      <w:r>
        <w:rPr>
          <w:color w:val="auto"/>
          <w:highlight w:val="none"/>
        </w:rPr>
        <w:fldChar w:fldCharType="end"/>
      </w:r>
      <w:r>
        <w:rPr>
          <w:rFonts w:ascii="宋体" w:hAnsi="宋体" w:cs="宋体"/>
          <w:bCs/>
          <w:color w:val="auto"/>
          <w:szCs w:val="21"/>
          <w:highlight w:val="none"/>
        </w:rPr>
        <w:fldChar w:fldCharType="end"/>
      </w:r>
    </w:p>
    <w:p>
      <w:pPr>
        <w:pStyle w:val="18"/>
        <w:tabs>
          <w:tab w:val="right" w:leader="dot" w:pos="9072"/>
        </w:tabs>
        <w:rPr>
          <w:color w:val="auto"/>
          <w:highlight w:val="none"/>
        </w:rPr>
      </w:pP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HYPERLINK \l _Toc1866 </w:instrText>
      </w:r>
      <w:r>
        <w:rPr>
          <w:rFonts w:ascii="宋体" w:hAnsi="宋体" w:cs="宋体"/>
          <w:bCs/>
          <w:color w:val="auto"/>
          <w:szCs w:val="21"/>
          <w:highlight w:val="none"/>
        </w:rPr>
        <w:fldChar w:fldCharType="separate"/>
      </w:r>
      <w:r>
        <w:rPr>
          <w:rFonts w:ascii="宋体" w:hAnsi="宋体" w:eastAsia="宋体" w:cs="宋体"/>
          <w:bCs/>
          <w:color w:val="auto"/>
          <w:highlight w:val="none"/>
        </w:rPr>
        <w:t>2.</w:t>
      </w:r>
      <w:r>
        <w:rPr>
          <w:rFonts w:hint="eastAsia" w:ascii="宋体" w:hAnsi="宋体" w:eastAsia="宋体" w:cs="宋体"/>
          <w:bCs/>
          <w:color w:val="auto"/>
          <w:highlight w:val="none"/>
        </w:rPr>
        <w:t>磋商文件</w:t>
      </w:r>
      <w:r>
        <w:rPr>
          <w:color w:val="auto"/>
          <w:highlight w:val="none"/>
        </w:rPr>
        <w:tab/>
      </w:r>
      <w:r>
        <w:rPr>
          <w:color w:val="auto"/>
          <w:highlight w:val="none"/>
        </w:rPr>
        <w:fldChar w:fldCharType="begin"/>
      </w:r>
      <w:r>
        <w:rPr>
          <w:color w:val="auto"/>
          <w:highlight w:val="none"/>
        </w:rPr>
        <w:instrText xml:space="preserve"> PAGEREF _Toc1866 \h </w:instrText>
      </w:r>
      <w:r>
        <w:rPr>
          <w:color w:val="auto"/>
          <w:highlight w:val="none"/>
        </w:rPr>
        <w:fldChar w:fldCharType="separate"/>
      </w:r>
      <w:r>
        <w:rPr>
          <w:color w:val="auto"/>
          <w:highlight w:val="none"/>
        </w:rPr>
        <w:t>- 10 -</w:t>
      </w:r>
      <w:r>
        <w:rPr>
          <w:color w:val="auto"/>
          <w:highlight w:val="none"/>
        </w:rPr>
        <w:fldChar w:fldCharType="end"/>
      </w:r>
      <w:r>
        <w:rPr>
          <w:rFonts w:ascii="宋体" w:hAnsi="宋体" w:cs="宋体"/>
          <w:bCs/>
          <w:color w:val="auto"/>
          <w:szCs w:val="21"/>
          <w:highlight w:val="none"/>
        </w:rPr>
        <w:fldChar w:fldCharType="end"/>
      </w:r>
    </w:p>
    <w:p>
      <w:pPr>
        <w:pStyle w:val="18"/>
        <w:tabs>
          <w:tab w:val="right" w:leader="dot" w:pos="9072"/>
        </w:tabs>
        <w:rPr>
          <w:color w:val="auto"/>
          <w:highlight w:val="none"/>
        </w:rPr>
      </w:pP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HYPERLINK \l _Toc6571 </w:instrText>
      </w:r>
      <w:r>
        <w:rPr>
          <w:rFonts w:ascii="宋体" w:hAnsi="宋体" w:cs="宋体"/>
          <w:bCs/>
          <w:color w:val="auto"/>
          <w:szCs w:val="21"/>
          <w:highlight w:val="none"/>
        </w:rPr>
        <w:fldChar w:fldCharType="separate"/>
      </w:r>
      <w:r>
        <w:rPr>
          <w:rFonts w:ascii="宋体" w:hAnsi="宋体" w:eastAsia="宋体" w:cs="宋体"/>
          <w:bCs/>
          <w:color w:val="auto"/>
          <w:highlight w:val="none"/>
        </w:rPr>
        <w:t>3.</w:t>
      </w:r>
      <w:r>
        <w:rPr>
          <w:rFonts w:hint="eastAsia" w:ascii="宋体" w:hAnsi="宋体" w:eastAsia="宋体" w:cs="宋体"/>
          <w:bCs/>
          <w:color w:val="auto"/>
          <w:highlight w:val="none"/>
        </w:rPr>
        <w:t>响应文件</w:t>
      </w:r>
      <w:r>
        <w:rPr>
          <w:color w:val="auto"/>
          <w:highlight w:val="none"/>
        </w:rPr>
        <w:tab/>
      </w:r>
      <w:r>
        <w:rPr>
          <w:color w:val="auto"/>
          <w:highlight w:val="none"/>
        </w:rPr>
        <w:fldChar w:fldCharType="begin"/>
      </w:r>
      <w:r>
        <w:rPr>
          <w:color w:val="auto"/>
          <w:highlight w:val="none"/>
        </w:rPr>
        <w:instrText xml:space="preserve"> PAGEREF _Toc6571 \h </w:instrText>
      </w:r>
      <w:r>
        <w:rPr>
          <w:color w:val="auto"/>
          <w:highlight w:val="none"/>
        </w:rPr>
        <w:fldChar w:fldCharType="separate"/>
      </w:r>
      <w:r>
        <w:rPr>
          <w:color w:val="auto"/>
          <w:highlight w:val="none"/>
        </w:rPr>
        <w:t>- 11 -</w:t>
      </w:r>
      <w:r>
        <w:rPr>
          <w:color w:val="auto"/>
          <w:highlight w:val="none"/>
        </w:rPr>
        <w:fldChar w:fldCharType="end"/>
      </w:r>
      <w:r>
        <w:rPr>
          <w:rFonts w:ascii="宋体" w:hAnsi="宋体" w:cs="宋体"/>
          <w:bCs/>
          <w:color w:val="auto"/>
          <w:szCs w:val="21"/>
          <w:highlight w:val="none"/>
        </w:rPr>
        <w:fldChar w:fldCharType="end"/>
      </w:r>
    </w:p>
    <w:p>
      <w:pPr>
        <w:pStyle w:val="18"/>
        <w:tabs>
          <w:tab w:val="right" w:leader="dot" w:pos="9072"/>
        </w:tabs>
        <w:rPr>
          <w:color w:val="auto"/>
          <w:highlight w:val="none"/>
        </w:rPr>
      </w:pP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HYPERLINK \l _Toc26016 </w:instrText>
      </w:r>
      <w:r>
        <w:rPr>
          <w:rFonts w:ascii="宋体" w:hAnsi="宋体" w:cs="宋体"/>
          <w:bCs/>
          <w:color w:val="auto"/>
          <w:szCs w:val="21"/>
          <w:highlight w:val="none"/>
        </w:rPr>
        <w:fldChar w:fldCharType="separate"/>
      </w:r>
      <w:r>
        <w:rPr>
          <w:rFonts w:ascii="宋体" w:hAnsi="宋体" w:eastAsia="宋体" w:cs="Times New Roman"/>
          <w:bCs/>
          <w:color w:val="auto"/>
          <w:highlight w:val="none"/>
        </w:rPr>
        <w:t xml:space="preserve">4. </w:t>
      </w:r>
      <w:r>
        <w:rPr>
          <w:rFonts w:hint="eastAsia" w:ascii="宋体" w:hAnsi="宋体" w:eastAsia="宋体" w:cs="宋体"/>
          <w:bCs/>
          <w:color w:val="auto"/>
          <w:highlight w:val="none"/>
        </w:rPr>
        <w:t>响应</w:t>
      </w:r>
      <w:r>
        <w:rPr>
          <w:color w:val="auto"/>
          <w:highlight w:val="none"/>
        </w:rPr>
        <w:tab/>
      </w:r>
      <w:r>
        <w:rPr>
          <w:color w:val="auto"/>
          <w:highlight w:val="none"/>
        </w:rPr>
        <w:fldChar w:fldCharType="begin"/>
      </w:r>
      <w:r>
        <w:rPr>
          <w:color w:val="auto"/>
          <w:highlight w:val="none"/>
        </w:rPr>
        <w:instrText xml:space="preserve"> PAGEREF _Toc26016 \h </w:instrText>
      </w:r>
      <w:r>
        <w:rPr>
          <w:color w:val="auto"/>
          <w:highlight w:val="none"/>
        </w:rPr>
        <w:fldChar w:fldCharType="separate"/>
      </w:r>
      <w:r>
        <w:rPr>
          <w:color w:val="auto"/>
          <w:highlight w:val="none"/>
        </w:rPr>
        <w:t>- 13 -</w:t>
      </w:r>
      <w:r>
        <w:rPr>
          <w:color w:val="auto"/>
          <w:highlight w:val="none"/>
        </w:rPr>
        <w:fldChar w:fldCharType="end"/>
      </w:r>
      <w:r>
        <w:rPr>
          <w:rFonts w:ascii="宋体" w:hAnsi="宋体" w:cs="宋体"/>
          <w:bCs/>
          <w:color w:val="auto"/>
          <w:szCs w:val="21"/>
          <w:highlight w:val="none"/>
        </w:rPr>
        <w:fldChar w:fldCharType="end"/>
      </w:r>
    </w:p>
    <w:p>
      <w:pPr>
        <w:pStyle w:val="18"/>
        <w:tabs>
          <w:tab w:val="right" w:leader="dot" w:pos="9072"/>
        </w:tabs>
        <w:rPr>
          <w:color w:val="auto"/>
          <w:highlight w:val="none"/>
        </w:rPr>
      </w:pP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HYPERLINK \l _Toc6627 </w:instrText>
      </w:r>
      <w:r>
        <w:rPr>
          <w:rFonts w:ascii="宋体" w:hAnsi="宋体" w:cs="宋体"/>
          <w:bCs/>
          <w:color w:val="auto"/>
          <w:szCs w:val="21"/>
          <w:highlight w:val="none"/>
        </w:rPr>
        <w:fldChar w:fldCharType="separate"/>
      </w:r>
      <w:r>
        <w:rPr>
          <w:rFonts w:ascii="宋体" w:hAnsi="宋体" w:eastAsia="宋体" w:cs="Times New Roman"/>
          <w:bCs/>
          <w:color w:val="auto"/>
          <w:highlight w:val="none"/>
        </w:rPr>
        <w:t xml:space="preserve">5. </w:t>
      </w:r>
      <w:r>
        <w:rPr>
          <w:rFonts w:hint="eastAsia" w:ascii="宋体" w:hAnsi="宋体" w:eastAsia="宋体" w:cs="宋体"/>
          <w:bCs/>
          <w:color w:val="auto"/>
          <w:highlight w:val="none"/>
        </w:rPr>
        <w:t>磋商开始</w:t>
      </w:r>
      <w:r>
        <w:rPr>
          <w:color w:val="auto"/>
          <w:highlight w:val="none"/>
        </w:rPr>
        <w:tab/>
      </w:r>
      <w:r>
        <w:rPr>
          <w:color w:val="auto"/>
          <w:highlight w:val="none"/>
        </w:rPr>
        <w:fldChar w:fldCharType="begin"/>
      </w:r>
      <w:r>
        <w:rPr>
          <w:color w:val="auto"/>
          <w:highlight w:val="none"/>
        </w:rPr>
        <w:instrText xml:space="preserve"> PAGEREF _Toc6627 \h </w:instrText>
      </w:r>
      <w:r>
        <w:rPr>
          <w:color w:val="auto"/>
          <w:highlight w:val="none"/>
        </w:rPr>
        <w:fldChar w:fldCharType="separate"/>
      </w:r>
      <w:r>
        <w:rPr>
          <w:color w:val="auto"/>
          <w:highlight w:val="none"/>
        </w:rPr>
        <w:t>- 13 -</w:t>
      </w:r>
      <w:r>
        <w:rPr>
          <w:color w:val="auto"/>
          <w:highlight w:val="none"/>
        </w:rPr>
        <w:fldChar w:fldCharType="end"/>
      </w:r>
      <w:r>
        <w:rPr>
          <w:rFonts w:ascii="宋体" w:hAnsi="宋体" w:cs="宋体"/>
          <w:bCs/>
          <w:color w:val="auto"/>
          <w:szCs w:val="21"/>
          <w:highlight w:val="none"/>
        </w:rPr>
        <w:fldChar w:fldCharType="end"/>
      </w:r>
    </w:p>
    <w:p>
      <w:pPr>
        <w:pStyle w:val="18"/>
        <w:tabs>
          <w:tab w:val="right" w:leader="dot" w:pos="9072"/>
        </w:tabs>
        <w:rPr>
          <w:color w:val="auto"/>
          <w:highlight w:val="none"/>
        </w:rPr>
      </w:pP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HYPERLINK \l _Toc4193 </w:instrText>
      </w:r>
      <w:r>
        <w:rPr>
          <w:rFonts w:ascii="宋体" w:hAnsi="宋体" w:cs="宋体"/>
          <w:bCs/>
          <w:color w:val="auto"/>
          <w:szCs w:val="21"/>
          <w:highlight w:val="none"/>
        </w:rPr>
        <w:fldChar w:fldCharType="separate"/>
      </w:r>
      <w:r>
        <w:rPr>
          <w:rFonts w:ascii="宋体" w:hAnsi="宋体" w:eastAsia="宋体" w:cs="Times New Roman"/>
          <w:bCs/>
          <w:color w:val="auto"/>
          <w:highlight w:val="none"/>
        </w:rPr>
        <w:t xml:space="preserve">6. </w:t>
      </w:r>
      <w:r>
        <w:rPr>
          <w:rFonts w:hint="eastAsia" w:ascii="宋体" w:hAnsi="宋体" w:eastAsia="宋体" w:cs="宋体"/>
          <w:bCs/>
          <w:color w:val="auto"/>
          <w:highlight w:val="none"/>
        </w:rPr>
        <w:t>磋商</w:t>
      </w:r>
      <w:r>
        <w:rPr>
          <w:color w:val="auto"/>
          <w:highlight w:val="none"/>
        </w:rPr>
        <w:tab/>
      </w:r>
      <w:r>
        <w:rPr>
          <w:color w:val="auto"/>
          <w:highlight w:val="none"/>
        </w:rPr>
        <w:fldChar w:fldCharType="begin"/>
      </w:r>
      <w:r>
        <w:rPr>
          <w:color w:val="auto"/>
          <w:highlight w:val="none"/>
        </w:rPr>
        <w:instrText xml:space="preserve"> PAGEREF _Toc4193 \h </w:instrText>
      </w:r>
      <w:r>
        <w:rPr>
          <w:color w:val="auto"/>
          <w:highlight w:val="none"/>
        </w:rPr>
        <w:fldChar w:fldCharType="separate"/>
      </w:r>
      <w:r>
        <w:rPr>
          <w:color w:val="auto"/>
          <w:highlight w:val="none"/>
        </w:rPr>
        <w:t>- 14 -</w:t>
      </w:r>
      <w:r>
        <w:rPr>
          <w:color w:val="auto"/>
          <w:highlight w:val="none"/>
        </w:rPr>
        <w:fldChar w:fldCharType="end"/>
      </w:r>
      <w:r>
        <w:rPr>
          <w:rFonts w:ascii="宋体" w:hAnsi="宋体" w:cs="宋体"/>
          <w:bCs/>
          <w:color w:val="auto"/>
          <w:szCs w:val="21"/>
          <w:highlight w:val="none"/>
        </w:rPr>
        <w:fldChar w:fldCharType="end"/>
      </w:r>
    </w:p>
    <w:p>
      <w:pPr>
        <w:pStyle w:val="18"/>
        <w:tabs>
          <w:tab w:val="right" w:leader="dot" w:pos="9072"/>
        </w:tabs>
        <w:rPr>
          <w:color w:val="auto"/>
          <w:highlight w:val="none"/>
        </w:rPr>
      </w:pP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HYPERLINK \l _Toc8195 </w:instrText>
      </w:r>
      <w:r>
        <w:rPr>
          <w:rFonts w:ascii="宋体" w:hAnsi="宋体" w:cs="宋体"/>
          <w:bCs/>
          <w:color w:val="auto"/>
          <w:szCs w:val="21"/>
          <w:highlight w:val="none"/>
        </w:rPr>
        <w:fldChar w:fldCharType="separate"/>
      </w:r>
      <w:r>
        <w:rPr>
          <w:rFonts w:ascii="宋体" w:hAnsi="宋体" w:eastAsia="宋体" w:cs="宋体"/>
          <w:bCs/>
          <w:color w:val="auto"/>
          <w:highlight w:val="none"/>
        </w:rPr>
        <w:t>7.</w:t>
      </w:r>
      <w:r>
        <w:rPr>
          <w:rFonts w:hint="eastAsia" w:ascii="宋体" w:hAnsi="宋体" w:eastAsia="宋体" w:cs="宋体"/>
          <w:bCs/>
          <w:color w:val="auto"/>
          <w:highlight w:val="none"/>
        </w:rPr>
        <w:t>合同授予</w:t>
      </w:r>
      <w:r>
        <w:rPr>
          <w:color w:val="auto"/>
          <w:highlight w:val="none"/>
        </w:rPr>
        <w:tab/>
      </w:r>
      <w:r>
        <w:rPr>
          <w:color w:val="auto"/>
          <w:highlight w:val="none"/>
        </w:rPr>
        <w:fldChar w:fldCharType="begin"/>
      </w:r>
      <w:r>
        <w:rPr>
          <w:color w:val="auto"/>
          <w:highlight w:val="none"/>
        </w:rPr>
        <w:instrText xml:space="preserve"> PAGEREF _Toc8195 \h </w:instrText>
      </w:r>
      <w:r>
        <w:rPr>
          <w:color w:val="auto"/>
          <w:highlight w:val="none"/>
        </w:rPr>
        <w:fldChar w:fldCharType="separate"/>
      </w:r>
      <w:r>
        <w:rPr>
          <w:color w:val="auto"/>
          <w:highlight w:val="none"/>
        </w:rPr>
        <w:t>- 15 -</w:t>
      </w:r>
      <w:r>
        <w:rPr>
          <w:color w:val="auto"/>
          <w:highlight w:val="none"/>
        </w:rPr>
        <w:fldChar w:fldCharType="end"/>
      </w:r>
      <w:r>
        <w:rPr>
          <w:rFonts w:ascii="宋体" w:hAnsi="宋体" w:cs="宋体"/>
          <w:bCs/>
          <w:color w:val="auto"/>
          <w:szCs w:val="21"/>
          <w:highlight w:val="none"/>
        </w:rPr>
        <w:fldChar w:fldCharType="end"/>
      </w:r>
    </w:p>
    <w:p>
      <w:pPr>
        <w:pStyle w:val="18"/>
        <w:tabs>
          <w:tab w:val="right" w:leader="dot" w:pos="9072"/>
        </w:tabs>
        <w:rPr>
          <w:color w:val="auto"/>
          <w:highlight w:val="none"/>
        </w:rPr>
      </w:pP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HYPERLINK \l _Toc20727 </w:instrText>
      </w:r>
      <w:r>
        <w:rPr>
          <w:rFonts w:ascii="宋体" w:hAnsi="宋体" w:cs="宋体"/>
          <w:bCs/>
          <w:color w:val="auto"/>
          <w:szCs w:val="21"/>
          <w:highlight w:val="none"/>
        </w:rPr>
        <w:fldChar w:fldCharType="separate"/>
      </w:r>
      <w:r>
        <w:rPr>
          <w:rFonts w:ascii="宋体" w:hAnsi="宋体" w:eastAsia="宋体" w:cs="宋体"/>
          <w:bCs/>
          <w:color w:val="auto"/>
          <w:highlight w:val="none"/>
        </w:rPr>
        <w:t>8.</w:t>
      </w:r>
      <w:r>
        <w:rPr>
          <w:rFonts w:hint="eastAsia" w:ascii="宋体" w:hAnsi="宋体" w:eastAsia="宋体" w:cs="宋体"/>
          <w:bCs/>
          <w:color w:val="auto"/>
          <w:highlight w:val="none"/>
        </w:rPr>
        <w:t>重新招标</w:t>
      </w:r>
      <w:r>
        <w:rPr>
          <w:color w:val="auto"/>
          <w:highlight w:val="none"/>
        </w:rPr>
        <w:tab/>
      </w:r>
      <w:r>
        <w:rPr>
          <w:color w:val="auto"/>
          <w:highlight w:val="none"/>
        </w:rPr>
        <w:fldChar w:fldCharType="begin"/>
      </w:r>
      <w:r>
        <w:rPr>
          <w:color w:val="auto"/>
          <w:highlight w:val="none"/>
        </w:rPr>
        <w:instrText xml:space="preserve"> PAGEREF _Toc20727 \h </w:instrText>
      </w:r>
      <w:r>
        <w:rPr>
          <w:color w:val="auto"/>
          <w:highlight w:val="none"/>
        </w:rPr>
        <w:fldChar w:fldCharType="separate"/>
      </w:r>
      <w:r>
        <w:rPr>
          <w:color w:val="auto"/>
          <w:highlight w:val="none"/>
        </w:rPr>
        <w:t>- 15 -</w:t>
      </w:r>
      <w:r>
        <w:rPr>
          <w:color w:val="auto"/>
          <w:highlight w:val="none"/>
        </w:rPr>
        <w:fldChar w:fldCharType="end"/>
      </w:r>
      <w:r>
        <w:rPr>
          <w:rFonts w:ascii="宋体" w:hAnsi="宋体" w:cs="宋体"/>
          <w:bCs/>
          <w:color w:val="auto"/>
          <w:szCs w:val="21"/>
          <w:highlight w:val="none"/>
        </w:rPr>
        <w:fldChar w:fldCharType="end"/>
      </w:r>
    </w:p>
    <w:p>
      <w:pPr>
        <w:pStyle w:val="18"/>
        <w:tabs>
          <w:tab w:val="right" w:leader="dot" w:pos="9072"/>
        </w:tabs>
        <w:rPr>
          <w:color w:val="auto"/>
          <w:highlight w:val="none"/>
        </w:rPr>
      </w:pP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HYPERLINK \l _Toc13052 </w:instrText>
      </w:r>
      <w:r>
        <w:rPr>
          <w:rFonts w:ascii="宋体" w:hAnsi="宋体" w:cs="宋体"/>
          <w:bCs/>
          <w:color w:val="auto"/>
          <w:szCs w:val="21"/>
          <w:highlight w:val="none"/>
        </w:rPr>
        <w:fldChar w:fldCharType="separate"/>
      </w:r>
      <w:r>
        <w:rPr>
          <w:rFonts w:ascii="宋体" w:hAnsi="宋体" w:eastAsia="宋体" w:cs="宋体"/>
          <w:bCs/>
          <w:color w:val="auto"/>
          <w:szCs w:val="22"/>
          <w:highlight w:val="none"/>
        </w:rPr>
        <w:t>9.</w:t>
      </w:r>
      <w:r>
        <w:rPr>
          <w:rFonts w:hint="eastAsia" w:ascii="宋体" w:hAnsi="宋体" w:eastAsia="宋体" w:cs="宋体"/>
          <w:bCs/>
          <w:color w:val="auto"/>
          <w:szCs w:val="22"/>
          <w:highlight w:val="none"/>
        </w:rPr>
        <w:t>纪律和监督</w:t>
      </w:r>
      <w:r>
        <w:rPr>
          <w:color w:val="auto"/>
          <w:highlight w:val="none"/>
        </w:rPr>
        <w:tab/>
      </w:r>
      <w:r>
        <w:rPr>
          <w:color w:val="auto"/>
          <w:highlight w:val="none"/>
        </w:rPr>
        <w:fldChar w:fldCharType="begin"/>
      </w:r>
      <w:r>
        <w:rPr>
          <w:color w:val="auto"/>
          <w:highlight w:val="none"/>
        </w:rPr>
        <w:instrText xml:space="preserve"> PAGEREF _Toc13052 \h </w:instrText>
      </w:r>
      <w:r>
        <w:rPr>
          <w:color w:val="auto"/>
          <w:highlight w:val="none"/>
        </w:rPr>
        <w:fldChar w:fldCharType="separate"/>
      </w:r>
      <w:r>
        <w:rPr>
          <w:color w:val="auto"/>
          <w:highlight w:val="none"/>
        </w:rPr>
        <w:t>- 15 -</w:t>
      </w:r>
      <w:r>
        <w:rPr>
          <w:color w:val="auto"/>
          <w:highlight w:val="none"/>
        </w:rPr>
        <w:fldChar w:fldCharType="end"/>
      </w:r>
      <w:r>
        <w:rPr>
          <w:rFonts w:ascii="宋体" w:hAnsi="宋体" w:cs="宋体"/>
          <w:bCs/>
          <w:color w:val="auto"/>
          <w:szCs w:val="21"/>
          <w:highlight w:val="none"/>
        </w:rPr>
        <w:fldChar w:fldCharType="end"/>
      </w:r>
    </w:p>
    <w:p>
      <w:pPr>
        <w:pStyle w:val="18"/>
        <w:tabs>
          <w:tab w:val="right" w:leader="dot" w:pos="9072"/>
        </w:tabs>
        <w:rPr>
          <w:color w:val="auto"/>
          <w:highlight w:val="none"/>
        </w:rPr>
      </w:pP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HYPERLINK \l _Toc12539 </w:instrText>
      </w:r>
      <w:r>
        <w:rPr>
          <w:rFonts w:ascii="宋体" w:hAnsi="宋体" w:cs="宋体"/>
          <w:bCs/>
          <w:color w:val="auto"/>
          <w:szCs w:val="21"/>
          <w:highlight w:val="none"/>
        </w:rPr>
        <w:fldChar w:fldCharType="separate"/>
      </w:r>
      <w:r>
        <w:rPr>
          <w:rFonts w:ascii="宋体" w:hAnsi="宋体" w:eastAsia="宋体" w:cs="宋体"/>
          <w:color w:val="auto"/>
          <w:highlight w:val="none"/>
        </w:rPr>
        <w:t>10.</w:t>
      </w:r>
      <w:r>
        <w:rPr>
          <w:rFonts w:hint="eastAsia" w:ascii="宋体" w:hAnsi="宋体" w:eastAsia="宋体" w:cs="宋体"/>
          <w:color w:val="auto"/>
          <w:highlight w:val="none"/>
        </w:rPr>
        <w:t>需要补充的其他内容</w:t>
      </w:r>
      <w:r>
        <w:rPr>
          <w:color w:val="auto"/>
          <w:highlight w:val="none"/>
        </w:rPr>
        <w:tab/>
      </w:r>
      <w:r>
        <w:rPr>
          <w:color w:val="auto"/>
          <w:highlight w:val="none"/>
        </w:rPr>
        <w:fldChar w:fldCharType="begin"/>
      </w:r>
      <w:r>
        <w:rPr>
          <w:color w:val="auto"/>
          <w:highlight w:val="none"/>
        </w:rPr>
        <w:instrText xml:space="preserve"> PAGEREF _Toc12539 \h </w:instrText>
      </w:r>
      <w:r>
        <w:rPr>
          <w:color w:val="auto"/>
          <w:highlight w:val="none"/>
        </w:rPr>
        <w:fldChar w:fldCharType="separate"/>
      </w:r>
      <w:r>
        <w:rPr>
          <w:color w:val="auto"/>
          <w:highlight w:val="none"/>
        </w:rPr>
        <w:t>- 16 -</w:t>
      </w:r>
      <w:r>
        <w:rPr>
          <w:color w:val="auto"/>
          <w:highlight w:val="none"/>
        </w:rPr>
        <w:fldChar w:fldCharType="end"/>
      </w:r>
      <w:r>
        <w:rPr>
          <w:rFonts w:ascii="宋体" w:hAnsi="宋体" w:cs="宋体"/>
          <w:bCs/>
          <w:color w:val="auto"/>
          <w:szCs w:val="21"/>
          <w:highlight w:val="none"/>
        </w:rPr>
        <w:fldChar w:fldCharType="end"/>
      </w:r>
    </w:p>
    <w:p>
      <w:pPr>
        <w:pStyle w:val="18"/>
        <w:tabs>
          <w:tab w:val="right" w:leader="dot" w:pos="9072"/>
        </w:tabs>
        <w:rPr>
          <w:color w:val="auto"/>
          <w:highlight w:val="none"/>
        </w:rPr>
      </w:pP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HYPERLINK \l _Toc711 </w:instrText>
      </w:r>
      <w:r>
        <w:rPr>
          <w:rFonts w:ascii="宋体" w:hAnsi="宋体" w:cs="宋体"/>
          <w:bCs/>
          <w:color w:val="auto"/>
          <w:szCs w:val="21"/>
          <w:highlight w:val="none"/>
        </w:rPr>
        <w:fldChar w:fldCharType="separate"/>
      </w:r>
      <w:r>
        <w:rPr>
          <w:rFonts w:ascii="宋体" w:hAnsi="宋体" w:eastAsia="宋体" w:cs="宋体"/>
          <w:color w:val="auto"/>
          <w:highlight w:val="none"/>
        </w:rPr>
        <w:t>11.</w:t>
      </w:r>
      <w:r>
        <w:rPr>
          <w:rFonts w:hint="eastAsia" w:ascii="宋体" w:hAnsi="宋体" w:eastAsia="宋体" w:cs="宋体"/>
          <w:color w:val="auto"/>
          <w:highlight w:val="none"/>
        </w:rPr>
        <w:t>政策功能</w:t>
      </w:r>
      <w:r>
        <w:rPr>
          <w:color w:val="auto"/>
          <w:highlight w:val="none"/>
        </w:rPr>
        <w:tab/>
      </w:r>
      <w:r>
        <w:rPr>
          <w:color w:val="auto"/>
          <w:highlight w:val="none"/>
        </w:rPr>
        <w:fldChar w:fldCharType="begin"/>
      </w:r>
      <w:r>
        <w:rPr>
          <w:color w:val="auto"/>
          <w:highlight w:val="none"/>
        </w:rPr>
        <w:instrText xml:space="preserve"> PAGEREF _Toc711 \h </w:instrText>
      </w:r>
      <w:r>
        <w:rPr>
          <w:color w:val="auto"/>
          <w:highlight w:val="none"/>
        </w:rPr>
        <w:fldChar w:fldCharType="separate"/>
      </w:r>
      <w:r>
        <w:rPr>
          <w:color w:val="auto"/>
          <w:highlight w:val="none"/>
        </w:rPr>
        <w:t>- 16 -</w:t>
      </w:r>
      <w:r>
        <w:rPr>
          <w:color w:val="auto"/>
          <w:highlight w:val="none"/>
        </w:rPr>
        <w:fldChar w:fldCharType="end"/>
      </w:r>
      <w:r>
        <w:rPr>
          <w:rFonts w:ascii="宋体" w:hAnsi="宋体" w:cs="宋体"/>
          <w:bCs/>
          <w:color w:val="auto"/>
          <w:szCs w:val="21"/>
          <w:highlight w:val="none"/>
        </w:rPr>
        <w:fldChar w:fldCharType="end"/>
      </w:r>
    </w:p>
    <w:p>
      <w:pPr>
        <w:pStyle w:val="16"/>
        <w:tabs>
          <w:tab w:val="right" w:leader="dot" w:pos="9072"/>
        </w:tabs>
        <w:rPr>
          <w:color w:val="auto"/>
          <w:highlight w:val="none"/>
        </w:rPr>
      </w:pP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HYPERLINK \l _Toc16955 </w:instrText>
      </w:r>
      <w:r>
        <w:rPr>
          <w:rFonts w:ascii="宋体" w:hAnsi="宋体" w:cs="宋体"/>
          <w:bCs/>
          <w:color w:val="auto"/>
          <w:szCs w:val="21"/>
          <w:highlight w:val="none"/>
        </w:rPr>
        <w:fldChar w:fldCharType="separate"/>
      </w:r>
      <w:r>
        <w:rPr>
          <w:rFonts w:hint="eastAsia" w:ascii="宋体" w:hAnsi="宋体" w:eastAsia="宋体"/>
          <w:color w:val="auto"/>
          <w:szCs w:val="28"/>
          <w:highlight w:val="none"/>
        </w:rPr>
        <w:t>第三章  评标标准和评标方法</w:t>
      </w:r>
      <w:r>
        <w:rPr>
          <w:color w:val="auto"/>
          <w:highlight w:val="none"/>
        </w:rPr>
        <w:tab/>
      </w:r>
      <w:r>
        <w:rPr>
          <w:color w:val="auto"/>
          <w:highlight w:val="none"/>
        </w:rPr>
        <w:fldChar w:fldCharType="begin"/>
      </w:r>
      <w:r>
        <w:rPr>
          <w:color w:val="auto"/>
          <w:highlight w:val="none"/>
        </w:rPr>
        <w:instrText xml:space="preserve"> PAGEREF _Toc16955 \h </w:instrText>
      </w:r>
      <w:r>
        <w:rPr>
          <w:color w:val="auto"/>
          <w:highlight w:val="none"/>
        </w:rPr>
        <w:fldChar w:fldCharType="separate"/>
      </w:r>
      <w:r>
        <w:rPr>
          <w:color w:val="auto"/>
          <w:highlight w:val="none"/>
        </w:rPr>
        <w:t>- 18 -</w:t>
      </w:r>
      <w:r>
        <w:rPr>
          <w:color w:val="auto"/>
          <w:highlight w:val="none"/>
        </w:rPr>
        <w:fldChar w:fldCharType="end"/>
      </w:r>
      <w:r>
        <w:rPr>
          <w:rFonts w:ascii="宋体" w:hAnsi="宋体" w:cs="宋体"/>
          <w:bCs/>
          <w:color w:val="auto"/>
          <w:szCs w:val="21"/>
          <w:highlight w:val="none"/>
        </w:rPr>
        <w:fldChar w:fldCharType="end"/>
      </w:r>
    </w:p>
    <w:p>
      <w:pPr>
        <w:pStyle w:val="16"/>
        <w:tabs>
          <w:tab w:val="right" w:leader="dot" w:pos="9072"/>
        </w:tabs>
        <w:rPr>
          <w:color w:val="auto"/>
          <w:highlight w:val="none"/>
        </w:rPr>
      </w:pP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HYPERLINK \l _Toc23753 </w:instrText>
      </w:r>
      <w:r>
        <w:rPr>
          <w:rFonts w:ascii="宋体" w:hAnsi="宋体" w:cs="宋体"/>
          <w:bCs/>
          <w:color w:val="auto"/>
          <w:szCs w:val="21"/>
          <w:highlight w:val="none"/>
        </w:rPr>
        <w:fldChar w:fldCharType="separate"/>
      </w:r>
      <w:r>
        <w:rPr>
          <w:rFonts w:hint="eastAsia" w:ascii="宋体" w:hAnsi="宋体" w:cs="宋体"/>
          <w:color w:val="auto"/>
          <w:szCs w:val="36"/>
          <w:highlight w:val="none"/>
        </w:rPr>
        <w:t xml:space="preserve">第四章 </w:t>
      </w:r>
      <w:r>
        <w:rPr>
          <w:rFonts w:hint="eastAsia" w:ascii="宋体" w:hAnsi="宋体" w:cs="宋体"/>
          <w:color w:val="auto"/>
          <w:szCs w:val="36"/>
          <w:highlight w:val="none"/>
          <w:lang w:val="en-US" w:eastAsia="zh-CN"/>
        </w:rPr>
        <w:t>项目技术参数要求</w:t>
      </w:r>
      <w:r>
        <w:rPr>
          <w:color w:val="auto"/>
          <w:highlight w:val="none"/>
        </w:rPr>
        <w:tab/>
      </w:r>
      <w:r>
        <w:rPr>
          <w:color w:val="auto"/>
          <w:highlight w:val="none"/>
        </w:rPr>
        <w:fldChar w:fldCharType="begin"/>
      </w:r>
      <w:r>
        <w:rPr>
          <w:color w:val="auto"/>
          <w:highlight w:val="none"/>
        </w:rPr>
        <w:instrText xml:space="preserve"> PAGEREF _Toc23753 \h </w:instrText>
      </w:r>
      <w:r>
        <w:rPr>
          <w:color w:val="auto"/>
          <w:highlight w:val="none"/>
        </w:rPr>
        <w:fldChar w:fldCharType="separate"/>
      </w:r>
      <w:r>
        <w:rPr>
          <w:color w:val="auto"/>
          <w:highlight w:val="none"/>
        </w:rPr>
        <w:t>- 23 -</w:t>
      </w:r>
      <w:r>
        <w:rPr>
          <w:color w:val="auto"/>
          <w:highlight w:val="none"/>
        </w:rPr>
        <w:fldChar w:fldCharType="end"/>
      </w:r>
      <w:r>
        <w:rPr>
          <w:rFonts w:ascii="宋体" w:hAnsi="宋体" w:cs="宋体"/>
          <w:bCs/>
          <w:color w:val="auto"/>
          <w:szCs w:val="21"/>
          <w:highlight w:val="none"/>
        </w:rPr>
        <w:fldChar w:fldCharType="end"/>
      </w:r>
    </w:p>
    <w:p>
      <w:pPr>
        <w:pStyle w:val="16"/>
        <w:tabs>
          <w:tab w:val="right" w:leader="dot" w:pos="9072"/>
        </w:tabs>
        <w:rPr>
          <w:color w:val="auto"/>
          <w:highlight w:val="none"/>
        </w:rPr>
      </w:pP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HYPERLINK \l _Toc23566 </w:instrText>
      </w:r>
      <w:r>
        <w:rPr>
          <w:rFonts w:ascii="宋体" w:hAnsi="宋体" w:cs="宋体"/>
          <w:bCs/>
          <w:color w:val="auto"/>
          <w:szCs w:val="21"/>
          <w:highlight w:val="none"/>
        </w:rPr>
        <w:fldChar w:fldCharType="separate"/>
      </w:r>
      <w:r>
        <w:rPr>
          <w:rFonts w:hint="eastAsia" w:ascii="宋体" w:hAnsi="宋体" w:eastAsia="宋体"/>
          <w:color w:val="auto"/>
          <w:szCs w:val="28"/>
          <w:highlight w:val="none"/>
        </w:rPr>
        <w:t>第五章  合同签订及条款</w:t>
      </w:r>
      <w:r>
        <w:rPr>
          <w:color w:val="auto"/>
          <w:highlight w:val="none"/>
        </w:rPr>
        <w:tab/>
      </w:r>
      <w:r>
        <w:rPr>
          <w:color w:val="auto"/>
          <w:highlight w:val="none"/>
        </w:rPr>
        <w:fldChar w:fldCharType="begin"/>
      </w:r>
      <w:r>
        <w:rPr>
          <w:color w:val="auto"/>
          <w:highlight w:val="none"/>
        </w:rPr>
        <w:instrText xml:space="preserve"> PAGEREF _Toc23566 \h </w:instrText>
      </w:r>
      <w:r>
        <w:rPr>
          <w:color w:val="auto"/>
          <w:highlight w:val="none"/>
        </w:rPr>
        <w:fldChar w:fldCharType="separate"/>
      </w:r>
      <w:r>
        <w:rPr>
          <w:color w:val="auto"/>
          <w:highlight w:val="none"/>
        </w:rPr>
        <w:t>- 49 -</w:t>
      </w:r>
      <w:r>
        <w:rPr>
          <w:color w:val="auto"/>
          <w:highlight w:val="none"/>
        </w:rPr>
        <w:fldChar w:fldCharType="end"/>
      </w:r>
      <w:r>
        <w:rPr>
          <w:rFonts w:ascii="宋体" w:hAnsi="宋体" w:cs="宋体"/>
          <w:bCs/>
          <w:color w:val="auto"/>
          <w:szCs w:val="21"/>
          <w:highlight w:val="none"/>
        </w:rPr>
        <w:fldChar w:fldCharType="end"/>
      </w:r>
    </w:p>
    <w:p>
      <w:pPr>
        <w:pStyle w:val="16"/>
        <w:tabs>
          <w:tab w:val="right" w:leader="dot" w:pos="9072"/>
        </w:tabs>
        <w:rPr>
          <w:color w:val="auto"/>
          <w:highlight w:val="none"/>
        </w:rPr>
      </w:pP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HYPERLINK \l _Toc9313 </w:instrText>
      </w:r>
      <w:r>
        <w:rPr>
          <w:rFonts w:ascii="宋体" w:hAnsi="宋体" w:cs="宋体"/>
          <w:bCs/>
          <w:color w:val="auto"/>
          <w:szCs w:val="21"/>
          <w:highlight w:val="none"/>
        </w:rPr>
        <w:fldChar w:fldCharType="separate"/>
      </w:r>
      <w:r>
        <w:rPr>
          <w:rFonts w:hint="eastAsia" w:ascii="宋体" w:hAnsi="宋体" w:cs="宋体"/>
          <w:color w:val="auto"/>
          <w:highlight w:val="none"/>
        </w:rPr>
        <w:t>第六章</w:t>
      </w:r>
      <w:r>
        <w:rPr>
          <w:rFonts w:ascii="宋体" w:hAnsi="宋体" w:cs="宋体"/>
          <w:color w:val="auto"/>
          <w:highlight w:val="none"/>
        </w:rPr>
        <w:t xml:space="preserve">  </w:t>
      </w:r>
      <w:r>
        <w:rPr>
          <w:rFonts w:hint="eastAsia" w:ascii="宋体" w:hAnsi="宋体" w:cs="宋体"/>
          <w:color w:val="auto"/>
          <w:highlight w:val="none"/>
        </w:rPr>
        <w:t>响应文件格式</w:t>
      </w:r>
      <w:r>
        <w:rPr>
          <w:color w:val="auto"/>
          <w:highlight w:val="none"/>
        </w:rPr>
        <w:tab/>
      </w:r>
      <w:r>
        <w:rPr>
          <w:color w:val="auto"/>
          <w:highlight w:val="none"/>
        </w:rPr>
        <w:fldChar w:fldCharType="begin"/>
      </w:r>
      <w:r>
        <w:rPr>
          <w:color w:val="auto"/>
          <w:highlight w:val="none"/>
        </w:rPr>
        <w:instrText xml:space="preserve"> PAGEREF _Toc9313 \h </w:instrText>
      </w:r>
      <w:r>
        <w:rPr>
          <w:color w:val="auto"/>
          <w:highlight w:val="none"/>
        </w:rPr>
        <w:fldChar w:fldCharType="separate"/>
      </w:r>
      <w:r>
        <w:rPr>
          <w:color w:val="auto"/>
          <w:highlight w:val="none"/>
        </w:rPr>
        <w:t>- 54 -</w:t>
      </w:r>
      <w:r>
        <w:rPr>
          <w:color w:val="auto"/>
          <w:highlight w:val="none"/>
        </w:rPr>
        <w:fldChar w:fldCharType="end"/>
      </w:r>
      <w:r>
        <w:rPr>
          <w:rFonts w:ascii="宋体" w:hAnsi="宋体" w:cs="宋体"/>
          <w:bCs/>
          <w:color w:val="auto"/>
          <w:szCs w:val="21"/>
          <w:highlight w:val="none"/>
        </w:rPr>
        <w:fldChar w:fldCharType="end"/>
      </w:r>
    </w:p>
    <w:p>
      <w:pPr>
        <w:pStyle w:val="18"/>
        <w:tabs>
          <w:tab w:val="right" w:leader="dot" w:pos="9072"/>
        </w:tabs>
        <w:rPr>
          <w:color w:val="auto"/>
          <w:highlight w:val="none"/>
        </w:rPr>
      </w:pP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HYPERLINK \l _Toc8246 </w:instrText>
      </w:r>
      <w:r>
        <w:rPr>
          <w:rFonts w:ascii="宋体" w:hAnsi="宋体" w:cs="宋体"/>
          <w:bCs/>
          <w:color w:val="auto"/>
          <w:szCs w:val="21"/>
          <w:highlight w:val="none"/>
        </w:rPr>
        <w:fldChar w:fldCharType="separate"/>
      </w:r>
      <w:r>
        <w:rPr>
          <w:rFonts w:hint="eastAsia" w:ascii="宋体" w:hAnsi="宋体" w:cs="宋体"/>
          <w:color w:val="auto"/>
          <w:highlight w:val="none"/>
        </w:rPr>
        <w:t>一、磋商函及磋商函附录</w:t>
      </w:r>
      <w:r>
        <w:rPr>
          <w:color w:val="auto"/>
          <w:highlight w:val="none"/>
        </w:rPr>
        <w:tab/>
      </w:r>
      <w:r>
        <w:rPr>
          <w:color w:val="auto"/>
          <w:highlight w:val="none"/>
        </w:rPr>
        <w:fldChar w:fldCharType="begin"/>
      </w:r>
      <w:r>
        <w:rPr>
          <w:color w:val="auto"/>
          <w:highlight w:val="none"/>
        </w:rPr>
        <w:instrText xml:space="preserve"> PAGEREF _Toc8246 \h </w:instrText>
      </w:r>
      <w:r>
        <w:rPr>
          <w:color w:val="auto"/>
          <w:highlight w:val="none"/>
        </w:rPr>
        <w:fldChar w:fldCharType="separate"/>
      </w:r>
      <w:r>
        <w:rPr>
          <w:color w:val="auto"/>
          <w:highlight w:val="none"/>
        </w:rPr>
        <w:t>- 56 -</w:t>
      </w:r>
      <w:r>
        <w:rPr>
          <w:color w:val="auto"/>
          <w:highlight w:val="none"/>
        </w:rPr>
        <w:fldChar w:fldCharType="end"/>
      </w:r>
      <w:r>
        <w:rPr>
          <w:rFonts w:ascii="宋体" w:hAnsi="宋体" w:cs="宋体"/>
          <w:bCs/>
          <w:color w:val="auto"/>
          <w:szCs w:val="21"/>
          <w:highlight w:val="none"/>
        </w:rPr>
        <w:fldChar w:fldCharType="end"/>
      </w:r>
    </w:p>
    <w:p>
      <w:pPr>
        <w:pStyle w:val="18"/>
        <w:tabs>
          <w:tab w:val="right" w:leader="dot" w:pos="9072"/>
        </w:tabs>
        <w:rPr>
          <w:color w:val="auto"/>
          <w:highlight w:val="none"/>
        </w:rPr>
      </w:pP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HYPERLINK \l _Toc30905 </w:instrText>
      </w:r>
      <w:r>
        <w:rPr>
          <w:rFonts w:ascii="宋体" w:hAnsi="宋体" w:cs="宋体"/>
          <w:bCs/>
          <w:color w:val="auto"/>
          <w:szCs w:val="21"/>
          <w:highlight w:val="none"/>
        </w:rPr>
        <w:fldChar w:fldCharType="separate"/>
      </w:r>
      <w:r>
        <w:rPr>
          <w:rFonts w:hint="eastAsia" w:ascii="宋体" w:hAnsi="宋体" w:cs="宋体"/>
          <w:color w:val="auto"/>
          <w:highlight w:val="none"/>
        </w:rPr>
        <w:t>（一）磋商函</w:t>
      </w:r>
      <w:r>
        <w:rPr>
          <w:color w:val="auto"/>
          <w:highlight w:val="none"/>
        </w:rPr>
        <w:tab/>
      </w:r>
      <w:r>
        <w:rPr>
          <w:color w:val="auto"/>
          <w:highlight w:val="none"/>
        </w:rPr>
        <w:fldChar w:fldCharType="begin"/>
      </w:r>
      <w:r>
        <w:rPr>
          <w:color w:val="auto"/>
          <w:highlight w:val="none"/>
        </w:rPr>
        <w:instrText xml:space="preserve"> PAGEREF _Toc30905 \h </w:instrText>
      </w:r>
      <w:r>
        <w:rPr>
          <w:color w:val="auto"/>
          <w:highlight w:val="none"/>
        </w:rPr>
        <w:fldChar w:fldCharType="separate"/>
      </w:r>
      <w:r>
        <w:rPr>
          <w:color w:val="auto"/>
          <w:highlight w:val="none"/>
        </w:rPr>
        <w:t>- 56 -</w:t>
      </w:r>
      <w:r>
        <w:rPr>
          <w:color w:val="auto"/>
          <w:highlight w:val="none"/>
        </w:rPr>
        <w:fldChar w:fldCharType="end"/>
      </w:r>
      <w:r>
        <w:rPr>
          <w:rFonts w:ascii="宋体" w:hAnsi="宋体" w:cs="宋体"/>
          <w:bCs/>
          <w:color w:val="auto"/>
          <w:szCs w:val="21"/>
          <w:highlight w:val="none"/>
        </w:rPr>
        <w:fldChar w:fldCharType="end"/>
      </w:r>
    </w:p>
    <w:p>
      <w:pPr>
        <w:pStyle w:val="18"/>
        <w:tabs>
          <w:tab w:val="right" w:leader="dot" w:pos="9072"/>
        </w:tabs>
        <w:rPr>
          <w:color w:val="auto"/>
          <w:highlight w:val="none"/>
        </w:rPr>
      </w:pP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HYPERLINK \l _Toc27613 </w:instrText>
      </w:r>
      <w:r>
        <w:rPr>
          <w:rFonts w:ascii="宋体" w:hAnsi="宋体" w:cs="宋体"/>
          <w:bCs/>
          <w:color w:val="auto"/>
          <w:szCs w:val="21"/>
          <w:highlight w:val="none"/>
        </w:rPr>
        <w:fldChar w:fldCharType="separate"/>
      </w:r>
      <w:r>
        <w:rPr>
          <w:rFonts w:hint="eastAsia" w:ascii="宋体" w:hAnsi="宋体" w:cs="宋体"/>
          <w:color w:val="auto"/>
          <w:highlight w:val="none"/>
        </w:rPr>
        <w:t>（二） 磋商函附录</w:t>
      </w:r>
      <w:r>
        <w:rPr>
          <w:color w:val="auto"/>
          <w:highlight w:val="none"/>
        </w:rPr>
        <w:tab/>
      </w:r>
      <w:r>
        <w:rPr>
          <w:color w:val="auto"/>
          <w:highlight w:val="none"/>
        </w:rPr>
        <w:fldChar w:fldCharType="begin"/>
      </w:r>
      <w:r>
        <w:rPr>
          <w:color w:val="auto"/>
          <w:highlight w:val="none"/>
        </w:rPr>
        <w:instrText xml:space="preserve"> PAGEREF _Toc27613 \h </w:instrText>
      </w:r>
      <w:r>
        <w:rPr>
          <w:color w:val="auto"/>
          <w:highlight w:val="none"/>
        </w:rPr>
        <w:fldChar w:fldCharType="separate"/>
      </w:r>
      <w:r>
        <w:rPr>
          <w:color w:val="auto"/>
          <w:highlight w:val="none"/>
        </w:rPr>
        <w:t>- 57 -</w:t>
      </w:r>
      <w:r>
        <w:rPr>
          <w:color w:val="auto"/>
          <w:highlight w:val="none"/>
        </w:rPr>
        <w:fldChar w:fldCharType="end"/>
      </w:r>
      <w:r>
        <w:rPr>
          <w:rFonts w:ascii="宋体" w:hAnsi="宋体" w:cs="宋体"/>
          <w:bCs/>
          <w:color w:val="auto"/>
          <w:szCs w:val="21"/>
          <w:highlight w:val="none"/>
        </w:rPr>
        <w:fldChar w:fldCharType="end"/>
      </w:r>
    </w:p>
    <w:p>
      <w:pPr>
        <w:pStyle w:val="18"/>
        <w:tabs>
          <w:tab w:val="right" w:leader="dot" w:pos="9072"/>
        </w:tabs>
        <w:rPr>
          <w:color w:val="auto"/>
          <w:highlight w:val="none"/>
        </w:rPr>
      </w:pP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HYPERLINK \l _Toc14933 </w:instrText>
      </w:r>
      <w:r>
        <w:rPr>
          <w:rFonts w:ascii="宋体" w:hAnsi="宋体" w:cs="宋体"/>
          <w:bCs/>
          <w:color w:val="auto"/>
          <w:szCs w:val="21"/>
          <w:highlight w:val="none"/>
        </w:rPr>
        <w:fldChar w:fldCharType="separate"/>
      </w:r>
      <w:r>
        <w:rPr>
          <w:rFonts w:hint="eastAsia" w:ascii="宋体" w:hAnsi="宋体" w:cs="宋体"/>
          <w:color w:val="auto"/>
          <w:highlight w:val="none"/>
          <w:lang w:eastAsia="zh-CN"/>
        </w:rPr>
        <w:t>三</w:t>
      </w:r>
      <w:r>
        <w:rPr>
          <w:rFonts w:hint="eastAsia" w:ascii="宋体" w:hAnsi="宋体" w:cs="宋体"/>
          <w:color w:val="auto"/>
          <w:highlight w:val="none"/>
        </w:rPr>
        <w:t>、</w:t>
      </w:r>
      <w:r>
        <w:rPr>
          <w:rFonts w:hint="eastAsia"/>
          <w:bCs/>
          <w:color w:val="auto"/>
          <w:szCs w:val="32"/>
          <w:highlight w:val="none"/>
        </w:rPr>
        <w:t>技术规格偏差表</w:t>
      </w:r>
      <w:r>
        <w:rPr>
          <w:color w:val="auto"/>
          <w:highlight w:val="none"/>
        </w:rPr>
        <w:tab/>
      </w:r>
      <w:r>
        <w:rPr>
          <w:color w:val="auto"/>
          <w:highlight w:val="none"/>
        </w:rPr>
        <w:fldChar w:fldCharType="begin"/>
      </w:r>
      <w:r>
        <w:rPr>
          <w:color w:val="auto"/>
          <w:highlight w:val="none"/>
        </w:rPr>
        <w:instrText xml:space="preserve"> PAGEREF _Toc14933 \h </w:instrText>
      </w:r>
      <w:r>
        <w:rPr>
          <w:color w:val="auto"/>
          <w:highlight w:val="none"/>
        </w:rPr>
        <w:fldChar w:fldCharType="separate"/>
      </w:r>
      <w:r>
        <w:rPr>
          <w:color w:val="auto"/>
          <w:highlight w:val="none"/>
        </w:rPr>
        <w:t>- 59 -</w:t>
      </w:r>
      <w:r>
        <w:rPr>
          <w:color w:val="auto"/>
          <w:highlight w:val="none"/>
        </w:rPr>
        <w:fldChar w:fldCharType="end"/>
      </w:r>
      <w:r>
        <w:rPr>
          <w:rFonts w:ascii="宋体" w:hAnsi="宋体" w:cs="宋体"/>
          <w:bCs/>
          <w:color w:val="auto"/>
          <w:szCs w:val="21"/>
          <w:highlight w:val="none"/>
        </w:rPr>
        <w:fldChar w:fldCharType="end"/>
      </w:r>
    </w:p>
    <w:p>
      <w:pPr>
        <w:pStyle w:val="18"/>
        <w:tabs>
          <w:tab w:val="right" w:leader="dot" w:pos="9072"/>
        </w:tabs>
        <w:rPr>
          <w:color w:val="auto"/>
          <w:highlight w:val="none"/>
        </w:rPr>
      </w:pP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HYPERLINK \l _Toc15731 </w:instrText>
      </w:r>
      <w:r>
        <w:rPr>
          <w:rFonts w:ascii="宋体" w:hAnsi="宋体" w:cs="宋体"/>
          <w:bCs/>
          <w:color w:val="auto"/>
          <w:szCs w:val="21"/>
          <w:highlight w:val="none"/>
        </w:rPr>
        <w:fldChar w:fldCharType="separate"/>
      </w:r>
      <w:r>
        <w:rPr>
          <w:rFonts w:hint="eastAsia" w:ascii="宋体" w:hAnsi="宋体" w:cs="宋体"/>
          <w:color w:val="auto"/>
          <w:highlight w:val="none"/>
          <w:lang w:eastAsia="zh-CN"/>
        </w:rPr>
        <w:t>四</w:t>
      </w:r>
      <w:r>
        <w:rPr>
          <w:rFonts w:hint="eastAsia" w:ascii="宋体" w:hAnsi="宋体" w:cs="宋体"/>
          <w:color w:val="auto"/>
          <w:highlight w:val="none"/>
        </w:rPr>
        <w:t>、法定代表人（负责人）身份证明</w:t>
      </w:r>
      <w:r>
        <w:rPr>
          <w:color w:val="auto"/>
          <w:highlight w:val="none"/>
        </w:rPr>
        <w:tab/>
      </w:r>
      <w:r>
        <w:rPr>
          <w:color w:val="auto"/>
          <w:highlight w:val="none"/>
        </w:rPr>
        <w:fldChar w:fldCharType="begin"/>
      </w:r>
      <w:r>
        <w:rPr>
          <w:color w:val="auto"/>
          <w:highlight w:val="none"/>
        </w:rPr>
        <w:instrText xml:space="preserve"> PAGEREF _Toc15731 \h </w:instrText>
      </w:r>
      <w:r>
        <w:rPr>
          <w:color w:val="auto"/>
          <w:highlight w:val="none"/>
        </w:rPr>
        <w:fldChar w:fldCharType="separate"/>
      </w:r>
      <w:r>
        <w:rPr>
          <w:color w:val="auto"/>
          <w:highlight w:val="none"/>
        </w:rPr>
        <w:t>- 60 -</w:t>
      </w:r>
      <w:r>
        <w:rPr>
          <w:color w:val="auto"/>
          <w:highlight w:val="none"/>
        </w:rPr>
        <w:fldChar w:fldCharType="end"/>
      </w:r>
      <w:r>
        <w:rPr>
          <w:rFonts w:ascii="宋体" w:hAnsi="宋体" w:cs="宋体"/>
          <w:bCs/>
          <w:color w:val="auto"/>
          <w:szCs w:val="21"/>
          <w:highlight w:val="none"/>
        </w:rPr>
        <w:fldChar w:fldCharType="end"/>
      </w:r>
    </w:p>
    <w:p>
      <w:pPr>
        <w:pStyle w:val="18"/>
        <w:tabs>
          <w:tab w:val="right" w:leader="dot" w:pos="9072"/>
        </w:tabs>
        <w:rPr>
          <w:color w:val="auto"/>
          <w:highlight w:val="none"/>
        </w:rPr>
      </w:pP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HYPERLINK \l _Toc30201 </w:instrText>
      </w:r>
      <w:r>
        <w:rPr>
          <w:rFonts w:ascii="宋体" w:hAnsi="宋体" w:cs="宋体"/>
          <w:bCs/>
          <w:color w:val="auto"/>
          <w:szCs w:val="21"/>
          <w:highlight w:val="none"/>
        </w:rPr>
        <w:fldChar w:fldCharType="separate"/>
      </w:r>
      <w:r>
        <w:rPr>
          <w:rFonts w:hint="eastAsia" w:ascii="宋体" w:hAnsi="宋体" w:cs="宋体"/>
          <w:color w:val="auto"/>
          <w:szCs w:val="28"/>
          <w:highlight w:val="none"/>
          <w:lang w:eastAsia="zh-CN"/>
        </w:rPr>
        <w:t>五</w:t>
      </w:r>
      <w:r>
        <w:rPr>
          <w:rFonts w:hint="eastAsia" w:ascii="宋体" w:hAnsi="宋体" w:cs="宋体"/>
          <w:color w:val="auto"/>
          <w:szCs w:val="28"/>
          <w:highlight w:val="none"/>
        </w:rPr>
        <w:t>、</w:t>
      </w:r>
      <w:r>
        <w:rPr>
          <w:rFonts w:hint="eastAsia" w:ascii="宋体" w:hAnsi="宋体" w:cs="宋体"/>
          <w:color w:val="auto"/>
          <w:highlight w:val="none"/>
        </w:rPr>
        <w:t>授权委托书</w:t>
      </w:r>
      <w:r>
        <w:rPr>
          <w:color w:val="auto"/>
          <w:highlight w:val="none"/>
        </w:rPr>
        <w:tab/>
      </w:r>
      <w:r>
        <w:rPr>
          <w:color w:val="auto"/>
          <w:highlight w:val="none"/>
        </w:rPr>
        <w:fldChar w:fldCharType="begin"/>
      </w:r>
      <w:r>
        <w:rPr>
          <w:color w:val="auto"/>
          <w:highlight w:val="none"/>
        </w:rPr>
        <w:instrText xml:space="preserve"> PAGEREF _Toc30201 \h </w:instrText>
      </w:r>
      <w:r>
        <w:rPr>
          <w:color w:val="auto"/>
          <w:highlight w:val="none"/>
        </w:rPr>
        <w:fldChar w:fldCharType="separate"/>
      </w:r>
      <w:r>
        <w:rPr>
          <w:color w:val="auto"/>
          <w:highlight w:val="none"/>
        </w:rPr>
        <w:t>- 61 -</w:t>
      </w:r>
      <w:r>
        <w:rPr>
          <w:color w:val="auto"/>
          <w:highlight w:val="none"/>
        </w:rPr>
        <w:fldChar w:fldCharType="end"/>
      </w:r>
      <w:r>
        <w:rPr>
          <w:rFonts w:ascii="宋体" w:hAnsi="宋体" w:cs="宋体"/>
          <w:bCs/>
          <w:color w:val="auto"/>
          <w:szCs w:val="21"/>
          <w:highlight w:val="none"/>
        </w:rPr>
        <w:fldChar w:fldCharType="end"/>
      </w:r>
    </w:p>
    <w:p>
      <w:pPr>
        <w:pStyle w:val="18"/>
        <w:tabs>
          <w:tab w:val="right" w:leader="dot" w:pos="9072"/>
        </w:tabs>
        <w:rPr>
          <w:color w:val="auto"/>
          <w:highlight w:val="none"/>
        </w:rPr>
      </w:pP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HYPERLINK \l _Toc7794 </w:instrText>
      </w:r>
      <w:r>
        <w:rPr>
          <w:rFonts w:ascii="宋体" w:hAnsi="宋体" w:cs="宋体"/>
          <w:bCs/>
          <w:color w:val="auto"/>
          <w:szCs w:val="21"/>
          <w:highlight w:val="none"/>
        </w:rPr>
        <w:fldChar w:fldCharType="separate"/>
      </w:r>
      <w:r>
        <w:rPr>
          <w:rFonts w:hint="eastAsia" w:ascii="宋体" w:hAnsi="宋体" w:cs="宋体"/>
          <w:color w:val="auto"/>
          <w:highlight w:val="none"/>
          <w:lang w:eastAsia="zh-CN"/>
        </w:rPr>
        <w:t>六</w:t>
      </w:r>
      <w:r>
        <w:rPr>
          <w:rFonts w:hint="eastAsia" w:ascii="宋体" w:hAnsi="宋体" w:cs="宋体"/>
          <w:color w:val="auto"/>
          <w:highlight w:val="none"/>
        </w:rPr>
        <w:t>、供应商基本情况表</w:t>
      </w:r>
      <w:r>
        <w:rPr>
          <w:color w:val="auto"/>
          <w:highlight w:val="none"/>
        </w:rPr>
        <w:tab/>
      </w:r>
      <w:r>
        <w:rPr>
          <w:color w:val="auto"/>
          <w:highlight w:val="none"/>
        </w:rPr>
        <w:fldChar w:fldCharType="begin"/>
      </w:r>
      <w:r>
        <w:rPr>
          <w:color w:val="auto"/>
          <w:highlight w:val="none"/>
        </w:rPr>
        <w:instrText xml:space="preserve"> PAGEREF _Toc7794 \h </w:instrText>
      </w:r>
      <w:r>
        <w:rPr>
          <w:color w:val="auto"/>
          <w:highlight w:val="none"/>
        </w:rPr>
        <w:fldChar w:fldCharType="separate"/>
      </w:r>
      <w:r>
        <w:rPr>
          <w:color w:val="auto"/>
          <w:highlight w:val="none"/>
        </w:rPr>
        <w:t>- 62 -</w:t>
      </w:r>
      <w:r>
        <w:rPr>
          <w:color w:val="auto"/>
          <w:highlight w:val="none"/>
        </w:rPr>
        <w:fldChar w:fldCharType="end"/>
      </w:r>
      <w:r>
        <w:rPr>
          <w:rFonts w:ascii="宋体" w:hAnsi="宋体" w:cs="宋体"/>
          <w:bCs/>
          <w:color w:val="auto"/>
          <w:szCs w:val="21"/>
          <w:highlight w:val="none"/>
        </w:rPr>
        <w:fldChar w:fldCharType="end"/>
      </w:r>
    </w:p>
    <w:p>
      <w:pPr>
        <w:pStyle w:val="18"/>
        <w:tabs>
          <w:tab w:val="right" w:leader="dot" w:pos="9072"/>
        </w:tabs>
        <w:rPr>
          <w:color w:val="auto"/>
          <w:highlight w:val="none"/>
        </w:rPr>
      </w:pP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HYPERLINK \l _Toc10203 </w:instrText>
      </w:r>
      <w:r>
        <w:rPr>
          <w:rFonts w:ascii="宋体" w:hAnsi="宋体" w:cs="宋体"/>
          <w:bCs/>
          <w:color w:val="auto"/>
          <w:szCs w:val="21"/>
          <w:highlight w:val="none"/>
        </w:rPr>
        <w:fldChar w:fldCharType="separate"/>
      </w:r>
      <w:r>
        <w:rPr>
          <w:rFonts w:hint="eastAsia" w:ascii="Times New Roman" w:hAnsi="Times New Roman" w:eastAsia="宋体"/>
          <w:color w:val="auto"/>
          <w:szCs w:val="28"/>
          <w:highlight w:val="none"/>
          <w:lang w:eastAsia="zh-CN"/>
        </w:rPr>
        <w:t>七</w:t>
      </w:r>
      <w:r>
        <w:rPr>
          <w:rFonts w:ascii="Times New Roman" w:hAnsi="Times New Roman" w:eastAsia="宋体"/>
          <w:color w:val="auto"/>
          <w:szCs w:val="28"/>
          <w:highlight w:val="none"/>
        </w:rPr>
        <w:t>．</w:t>
      </w:r>
      <w:r>
        <w:rPr>
          <w:rFonts w:hint="eastAsia" w:ascii="宋体" w:hAnsi="宋体" w:cs="宋体"/>
          <w:color w:val="auto"/>
          <w:szCs w:val="30"/>
          <w:highlight w:val="none"/>
        </w:rPr>
        <w:t>企业业绩</w:t>
      </w:r>
      <w:r>
        <w:rPr>
          <w:color w:val="auto"/>
          <w:highlight w:val="none"/>
        </w:rPr>
        <w:tab/>
      </w:r>
      <w:r>
        <w:rPr>
          <w:color w:val="auto"/>
          <w:highlight w:val="none"/>
        </w:rPr>
        <w:fldChar w:fldCharType="begin"/>
      </w:r>
      <w:r>
        <w:rPr>
          <w:color w:val="auto"/>
          <w:highlight w:val="none"/>
        </w:rPr>
        <w:instrText xml:space="preserve"> PAGEREF _Toc10203 \h </w:instrText>
      </w:r>
      <w:r>
        <w:rPr>
          <w:color w:val="auto"/>
          <w:highlight w:val="none"/>
        </w:rPr>
        <w:fldChar w:fldCharType="separate"/>
      </w:r>
      <w:r>
        <w:rPr>
          <w:color w:val="auto"/>
          <w:highlight w:val="none"/>
        </w:rPr>
        <w:t>- 63 -</w:t>
      </w:r>
      <w:r>
        <w:rPr>
          <w:color w:val="auto"/>
          <w:highlight w:val="none"/>
        </w:rPr>
        <w:fldChar w:fldCharType="end"/>
      </w:r>
      <w:r>
        <w:rPr>
          <w:rFonts w:ascii="宋体" w:hAnsi="宋体" w:cs="宋体"/>
          <w:bCs/>
          <w:color w:val="auto"/>
          <w:szCs w:val="21"/>
          <w:highlight w:val="none"/>
        </w:rPr>
        <w:fldChar w:fldCharType="end"/>
      </w:r>
    </w:p>
    <w:p>
      <w:pPr>
        <w:pStyle w:val="18"/>
        <w:tabs>
          <w:tab w:val="right" w:leader="dot" w:pos="9072"/>
        </w:tabs>
        <w:rPr>
          <w:color w:val="auto"/>
          <w:highlight w:val="none"/>
        </w:rPr>
      </w:pP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HYPERLINK \l _Toc22612 </w:instrText>
      </w:r>
      <w:r>
        <w:rPr>
          <w:rFonts w:ascii="宋体" w:hAnsi="宋体" w:cs="宋体"/>
          <w:bCs/>
          <w:color w:val="auto"/>
          <w:szCs w:val="21"/>
          <w:highlight w:val="none"/>
        </w:rPr>
        <w:fldChar w:fldCharType="separate"/>
      </w:r>
      <w:r>
        <w:rPr>
          <w:rFonts w:hint="eastAsia" w:ascii="Times New Roman" w:hAnsi="Times New Roman"/>
          <w:color w:val="auto"/>
          <w:szCs w:val="28"/>
          <w:highlight w:val="none"/>
          <w:lang w:eastAsia="zh-CN"/>
        </w:rPr>
        <w:t>八</w:t>
      </w:r>
      <w:r>
        <w:rPr>
          <w:rFonts w:ascii="Times New Roman" w:hAnsi="Times New Roman"/>
          <w:color w:val="auto"/>
          <w:szCs w:val="28"/>
          <w:highlight w:val="none"/>
        </w:rPr>
        <w:t>．</w:t>
      </w:r>
      <w:r>
        <w:rPr>
          <w:rFonts w:hint="eastAsia" w:ascii="宋体" w:hAnsi="宋体" w:cs="宋体"/>
          <w:color w:val="auto"/>
          <w:highlight w:val="none"/>
        </w:rPr>
        <w:t>服务承诺及优惠条件</w:t>
      </w:r>
      <w:r>
        <w:rPr>
          <w:color w:val="auto"/>
          <w:highlight w:val="none"/>
        </w:rPr>
        <w:tab/>
      </w:r>
      <w:r>
        <w:rPr>
          <w:color w:val="auto"/>
          <w:highlight w:val="none"/>
        </w:rPr>
        <w:fldChar w:fldCharType="begin"/>
      </w:r>
      <w:r>
        <w:rPr>
          <w:color w:val="auto"/>
          <w:highlight w:val="none"/>
        </w:rPr>
        <w:instrText xml:space="preserve"> PAGEREF _Toc22612 \h </w:instrText>
      </w:r>
      <w:r>
        <w:rPr>
          <w:color w:val="auto"/>
          <w:highlight w:val="none"/>
        </w:rPr>
        <w:fldChar w:fldCharType="separate"/>
      </w:r>
      <w:r>
        <w:rPr>
          <w:color w:val="auto"/>
          <w:highlight w:val="none"/>
        </w:rPr>
        <w:t>- 64 -</w:t>
      </w:r>
      <w:r>
        <w:rPr>
          <w:color w:val="auto"/>
          <w:highlight w:val="none"/>
        </w:rPr>
        <w:fldChar w:fldCharType="end"/>
      </w:r>
      <w:r>
        <w:rPr>
          <w:rFonts w:ascii="宋体" w:hAnsi="宋体" w:cs="宋体"/>
          <w:bCs/>
          <w:color w:val="auto"/>
          <w:szCs w:val="21"/>
          <w:highlight w:val="none"/>
        </w:rPr>
        <w:fldChar w:fldCharType="end"/>
      </w:r>
    </w:p>
    <w:p>
      <w:pPr>
        <w:pStyle w:val="18"/>
        <w:tabs>
          <w:tab w:val="right" w:leader="dot" w:pos="9072"/>
        </w:tabs>
        <w:rPr>
          <w:color w:val="auto"/>
          <w:highlight w:val="none"/>
        </w:rPr>
      </w:pP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HYPERLINK \l _Toc8506 </w:instrText>
      </w:r>
      <w:r>
        <w:rPr>
          <w:rFonts w:ascii="宋体" w:hAnsi="宋体" w:cs="宋体"/>
          <w:bCs/>
          <w:color w:val="auto"/>
          <w:szCs w:val="21"/>
          <w:highlight w:val="none"/>
        </w:rPr>
        <w:fldChar w:fldCharType="separate"/>
      </w:r>
      <w:r>
        <w:rPr>
          <w:rFonts w:hint="eastAsia" w:ascii="宋体" w:hAnsi="宋体" w:cs="宋体"/>
          <w:color w:val="auto"/>
          <w:highlight w:val="none"/>
          <w:lang w:eastAsia="zh-CN"/>
        </w:rPr>
        <w:t>九</w:t>
      </w:r>
      <w:r>
        <w:rPr>
          <w:rFonts w:hint="eastAsia" w:ascii="宋体" w:hAnsi="宋体" w:cs="宋体"/>
          <w:color w:val="auto"/>
          <w:highlight w:val="none"/>
        </w:rPr>
        <w:t>、</w:t>
      </w:r>
      <w:r>
        <w:rPr>
          <w:rFonts w:hint="eastAsia" w:ascii="宋体" w:hAnsi="宋体" w:cs="宋体"/>
          <w:color w:val="auto"/>
          <w:highlight w:val="none"/>
          <w:lang w:val="en-US" w:eastAsia="zh-CN"/>
        </w:rPr>
        <w:t>设备</w:t>
      </w:r>
      <w:r>
        <w:rPr>
          <w:rFonts w:hint="eastAsia" w:ascii="宋体" w:hAnsi="宋体" w:cs="宋体"/>
          <w:color w:val="auto"/>
          <w:highlight w:val="none"/>
        </w:rPr>
        <w:t>联网承诺函</w:t>
      </w:r>
      <w:r>
        <w:rPr>
          <w:color w:val="auto"/>
          <w:highlight w:val="none"/>
        </w:rPr>
        <w:tab/>
      </w:r>
      <w:r>
        <w:rPr>
          <w:color w:val="auto"/>
          <w:highlight w:val="none"/>
        </w:rPr>
        <w:fldChar w:fldCharType="begin"/>
      </w:r>
      <w:r>
        <w:rPr>
          <w:color w:val="auto"/>
          <w:highlight w:val="none"/>
        </w:rPr>
        <w:instrText xml:space="preserve"> PAGEREF _Toc8506 \h </w:instrText>
      </w:r>
      <w:r>
        <w:rPr>
          <w:color w:val="auto"/>
          <w:highlight w:val="none"/>
        </w:rPr>
        <w:fldChar w:fldCharType="separate"/>
      </w:r>
      <w:r>
        <w:rPr>
          <w:color w:val="auto"/>
          <w:highlight w:val="none"/>
        </w:rPr>
        <w:t>- 65 -</w:t>
      </w:r>
      <w:r>
        <w:rPr>
          <w:color w:val="auto"/>
          <w:highlight w:val="none"/>
        </w:rPr>
        <w:fldChar w:fldCharType="end"/>
      </w:r>
      <w:r>
        <w:rPr>
          <w:rFonts w:ascii="宋体" w:hAnsi="宋体" w:cs="宋体"/>
          <w:bCs/>
          <w:color w:val="auto"/>
          <w:szCs w:val="21"/>
          <w:highlight w:val="none"/>
        </w:rPr>
        <w:fldChar w:fldCharType="end"/>
      </w:r>
    </w:p>
    <w:p>
      <w:pPr>
        <w:pStyle w:val="18"/>
        <w:tabs>
          <w:tab w:val="right" w:leader="dot" w:pos="9072"/>
        </w:tabs>
        <w:rPr>
          <w:color w:val="auto"/>
          <w:highlight w:val="none"/>
        </w:rPr>
      </w:pP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HYPERLINK \l _Toc13896 </w:instrText>
      </w:r>
      <w:r>
        <w:rPr>
          <w:rFonts w:ascii="宋体" w:hAnsi="宋体" w:cs="宋体"/>
          <w:bCs/>
          <w:color w:val="auto"/>
          <w:szCs w:val="21"/>
          <w:highlight w:val="none"/>
        </w:rPr>
        <w:fldChar w:fldCharType="separate"/>
      </w:r>
      <w:r>
        <w:rPr>
          <w:rFonts w:hint="eastAsia"/>
          <w:bCs/>
          <w:color w:val="auto"/>
          <w:szCs w:val="32"/>
          <w:highlight w:val="none"/>
          <w:lang w:eastAsia="zh-CN"/>
        </w:rPr>
        <w:t>十</w:t>
      </w:r>
      <w:r>
        <w:rPr>
          <w:rFonts w:hint="default"/>
          <w:bCs/>
          <w:color w:val="auto"/>
          <w:szCs w:val="32"/>
          <w:highlight w:val="none"/>
          <w:lang w:val="en-US" w:eastAsia="zh-CN"/>
        </w:rPr>
        <w:t xml:space="preserve"> </w:t>
      </w:r>
      <w:r>
        <w:rPr>
          <w:rFonts w:hint="eastAsia"/>
          <w:bCs/>
          <w:color w:val="auto"/>
          <w:szCs w:val="32"/>
          <w:highlight w:val="none"/>
          <w:lang w:eastAsia="zh-CN"/>
        </w:rPr>
        <w:t>、</w:t>
      </w:r>
      <w:r>
        <w:rPr>
          <w:rFonts w:hint="eastAsia"/>
          <w:bCs/>
          <w:color w:val="auto"/>
          <w:szCs w:val="32"/>
          <w:highlight w:val="none"/>
        </w:rPr>
        <w:t>资格审查文件</w:t>
      </w:r>
      <w:r>
        <w:rPr>
          <w:color w:val="auto"/>
          <w:highlight w:val="none"/>
        </w:rPr>
        <w:tab/>
      </w:r>
      <w:r>
        <w:rPr>
          <w:color w:val="auto"/>
          <w:highlight w:val="none"/>
        </w:rPr>
        <w:fldChar w:fldCharType="begin"/>
      </w:r>
      <w:r>
        <w:rPr>
          <w:color w:val="auto"/>
          <w:highlight w:val="none"/>
        </w:rPr>
        <w:instrText xml:space="preserve"> PAGEREF _Toc13896 \h </w:instrText>
      </w:r>
      <w:r>
        <w:rPr>
          <w:color w:val="auto"/>
          <w:highlight w:val="none"/>
        </w:rPr>
        <w:fldChar w:fldCharType="separate"/>
      </w:r>
      <w:r>
        <w:rPr>
          <w:color w:val="auto"/>
          <w:highlight w:val="none"/>
        </w:rPr>
        <w:t>- 66 -</w:t>
      </w:r>
      <w:r>
        <w:rPr>
          <w:color w:val="auto"/>
          <w:highlight w:val="none"/>
        </w:rPr>
        <w:fldChar w:fldCharType="end"/>
      </w:r>
      <w:r>
        <w:rPr>
          <w:rFonts w:ascii="宋体" w:hAnsi="宋体" w:cs="宋体"/>
          <w:bCs/>
          <w:color w:val="auto"/>
          <w:szCs w:val="21"/>
          <w:highlight w:val="none"/>
        </w:rPr>
        <w:fldChar w:fldCharType="end"/>
      </w:r>
    </w:p>
    <w:p>
      <w:pPr>
        <w:pStyle w:val="18"/>
        <w:tabs>
          <w:tab w:val="right" w:leader="dot" w:pos="9072"/>
        </w:tabs>
        <w:rPr>
          <w:color w:val="auto"/>
          <w:highlight w:val="none"/>
        </w:rPr>
      </w:pP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HYPERLINK \l _Toc27597 </w:instrText>
      </w:r>
      <w:r>
        <w:rPr>
          <w:rFonts w:ascii="宋体" w:hAnsi="宋体" w:cs="宋体"/>
          <w:bCs/>
          <w:color w:val="auto"/>
          <w:szCs w:val="21"/>
          <w:highlight w:val="none"/>
        </w:rPr>
        <w:fldChar w:fldCharType="separate"/>
      </w:r>
      <w:r>
        <w:rPr>
          <w:rFonts w:hint="eastAsia"/>
          <w:bCs/>
          <w:color w:val="auto"/>
          <w:szCs w:val="32"/>
          <w:highlight w:val="none"/>
        </w:rPr>
        <w:t>十</w:t>
      </w:r>
      <w:r>
        <w:rPr>
          <w:rFonts w:hint="eastAsia"/>
          <w:bCs/>
          <w:color w:val="auto"/>
          <w:szCs w:val="32"/>
          <w:highlight w:val="none"/>
          <w:lang w:eastAsia="zh-CN"/>
        </w:rPr>
        <w:t>一</w:t>
      </w:r>
      <w:r>
        <w:rPr>
          <w:rFonts w:hint="eastAsia"/>
          <w:bCs/>
          <w:color w:val="auto"/>
          <w:szCs w:val="32"/>
          <w:highlight w:val="none"/>
        </w:rPr>
        <w:t>、无行贿犯罪记录承诺书</w:t>
      </w:r>
      <w:r>
        <w:rPr>
          <w:color w:val="auto"/>
          <w:highlight w:val="none"/>
        </w:rPr>
        <w:tab/>
      </w:r>
      <w:r>
        <w:rPr>
          <w:color w:val="auto"/>
          <w:highlight w:val="none"/>
        </w:rPr>
        <w:fldChar w:fldCharType="begin"/>
      </w:r>
      <w:r>
        <w:rPr>
          <w:color w:val="auto"/>
          <w:highlight w:val="none"/>
        </w:rPr>
        <w:instrText xml:space="preserve"> PAGEREF _Toc27597 \h </w:instrText>
      </w:r>
      <w:r>
        <w:rPr>
          <w:color w:val="auto"/>
          <w:highlight w:val="none"/>
        </w:rPr>
        <w:fldChar w:fldCharType="separate"/>
      </w:r>
      <w:r>
        <w:rPr>
          <w:color w:val="auto"/>
          <w:highlight w:val="none"/>
        </w:rPr>
        <w:t>- 67 -</w:t>
      </w:r>
      <w:r>
        <w:rPr>
          <w:color w:val="auto"/>
          <w:highlight w:val="none"/>
        </w:rPr>
        <w:fldChar w:fldCharType="end"/>
      </w:r>
      <w:r>
        <w:rPr>
          <w:rFonts w:ascii="宋体" w:hAnsi="宋体" w:cs="宋体"/>
          <w:bCs/>
          <w:color w:val="auto"/>
          <w:szCs w:val="21"/>
          <w:highlight w:val="none"/>
        </w:rPr>
        <w:fldChar w:fldCharType="end"/>
      </w:r>
    </w:p>
    <w:p>
      <w:pPr>
        <w:pStyle w:val="18"/>
        <w:tabs>
          <w:tab w:val="right" w:leader="dot" w:pos="9072"/>
        </w:tabs>
        <w:rPr>
          <w:color w:val="auto"/>
          <w:highlight w:val="none"/>
        </w:rPr>
      </w:pP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HYPERLINK \l _Toc24927 </w:instrText>
      </w:r>
      <w:r>
        <w:rPr>
          <w:rFonts w:ascii="宋体" w:hAnsi="宋体" w:cs="宋体"/>
          <w:bCs/>
          <w:color w:val="auto"/>
          <w:szCs w:val="21"/>
          <w:highlight w:val="none"/>
        </w:rPr>
        <w:fldChar w:fldCharType="separate"/>
      </w:r>
      <w:r>
        <w:rPr>
          <w:rFonts w:hint="eastAsia" w:ascii="宋体" w:hAnsi="宋体" w:cs="宋体"/>
          <w:color w:val="auto"/>
          <w:kern w:val="0"/>
          <w:szCs w:val="32"/>
          <w:highlight w:val="none"/>
        </w:rPr>
        <w:t>十</w:t>
      </w:r>
      <w:r>
        <w:rPr>
          <w:rFonts w:hint="eastAsia" w:ascii="宋体" w:hAnsi="宋体" w:cs="宋体"/>
          <w:color w:val="auto"/>
          <w:kern w:val="0"/>
          <w:szCs w:val="32"/>
          <w:highlight w:val="none"/>
          <w:lang w:eastAsia="zh-CN"/>
        </w:rPr>
        <w:t>二</w:t>
      </w:r>
      <w:r>
        <w:rPr>
          <w:rFonts w:hint="eastAsia" w:ascii="宋体" w:hAnsi="宋体" w:cs="宋体"/>
          <w:color w:val="auto"/>
          <w:kern w:val="0"/>
          <w:szCs w:val="32"/>
          <w:highlight w:val="none"/>
        </w:rPr>
        <w:t>、投标承诺函</w:t>
      </w:r>
      <w:r>
        <w:rPr>
          <w:color w:val="auto"/>
          <w:highlight w:val="none"/>
        </w:rPr>
        <w:tab/>
      </w:r>
      <w:r>
        <w:rPr>
          <w:color w:val="auto"/>
          <w:highlight w:val="none"/>
        </w:rPr>
        <w:fldChar w:fldCharType="begin"/>
      </w:r>
      <w:r>
        <w:rPr>
          <w:color w:val="auto"/>
          <w:highlight w:val="none"/>
        </w:rPr>
        <w:instrText xml:space="preserve"> PAGEREF _Toc24927 \h </w:instrText>
      </w:r>
      <w:r>
        <w:rPr>
          <w:color w:val="auto"/>
          <w:highlight w:val="none"/>
        </w:rPr>
        <w:fldChar w:fldCharType="separate"/>
      </w:r>
      <w:r>
        <w:rPr>
          <w:color w:val="auto"/>
          <w:highlight w:val="none"/>
        </w:rPr>
        <w:t>- 68 -</w:t>
      </w:r>
      <w:r>
        <w:rPr>
          <w:color w:val="auto"/>
          <w:highlight w:val="none"/>
        </w:rPr>
        <w:fldChar w:fldCharType="end"/>
      </w:r>
      <w:r>
        <w:rPr>
          <w:rFonts w:ascii="宋体" w:hAnsi="宋体" w:cs="宋体"/>
          <w:bCs/>
          <w:color w:val="auto"/>
          <w:szCs w:val="21"/>
          <w:highlight w:val="none"/>
        </w:rPr>
        <w:fldChar w:fldCharType="end"/>
      </w:r>
    </w:p>
    <w:p>
      <w:pPr>
        <w:pStyle w:val="18"/>
        <w:tabs>
          <w:tab w:val="right" w:leader="dot" w:pos="9072"/>
        </w:tabs>
        <w:rPr>
          <w:color w:val="auto"/>
          <w:highlight w:val="none"/>
        </w:rPr>
      </w:pP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HYPERLINK \l _Toc8628 </w:instrText>
      </w:r>
      <w:r>
        <w:rPr>
          <w:rFonts w:ascii="宋体" w:hAnsi="宋体" w:cs="宋体"/>
          <w:bCs/>
          <w:color w:val="auto"/>
          <w:szCs w:val="21"/>
          <w:highlight w:val="none"/>
        </w:rPr>
        <w:fldChar w:fldCharType="separate"/>
      </w:r>
      <w:r>
        <w:rPr>
          <w:rFonts w:hint="eastAsia" w:ascii="宋体" w:hAnsi="宋体" w:eastAsia="宋体" w:cs="宋体"/>
          <w:bCs/>
          <w:color w:val="auto"/>
          <w:kern w:val="28"/>
          <w:szCs w:val="32"/>
          <w:highlight w:val="none"/>
          <w:lang w:val="en-US" w:eastAsia="zh-CN" w:bidi="ar-SA"/>
        </w:rPr>
        <w:t>附件</w:t>
      </w:r>
      <w:r>
        <w:rPr>
          <w:rFonts w:hint="eastAsia" w:ascii="宋体" w:hAnsi="宋体" w:cs="宋体"/>
          <w:bCs/>
          <w:color w:val="auto"/>
          <w:szCs w:val="21"/>
          <w:highlight w:val="none"/>
          <w:lang w:val="en-US" w:eastAsia="zh-CN"/>
        </w:rPr>
        <w:t>：</w:t>
      </w:r>
      <w:r>
        <w:rPr>
          <w:color w:val="auto"/>
          <w:highlight w:val="none"/>
        </w:rPr>
        <w:tab/>
      </w:r>
      <w:r>
        <w:rPr>
          <w:color w:val="auto"/>
          <w:highlight w:val="none"/>
        </w:rPr>
        <w:fldChar w:fldCharType="begin"/>
      </w:r>
      <w:r>
        <w:rPr>
          <w:color w:val="auto"/>
          <w:highlight w:val="none"/>
        </w:rPr>
        <w:instrText xml:space="preserve"> PAGEREF _Toc8628 \h </w:instrText>
      </w:r>
      <w:r>
        <w:rPr>
          <w:color w:val="auto"/>
          <w:highlight w:val="none"/>
        </w:rPr>
        <w:fldChar w:fldCharType="separate"/>
      </w:r>
      <w:r>
        <w:rPr>
          <w:color w:val="auto"/>
          <w:highlight w:val="none"/>
        </w:rPr>
        <w:t>- 69 -</w:t>
      </w:r>
      <w:r>
        <w:rPr>
          <w:color w:val="auto"/>
          <w:highlight w:val="none"/>
        </w:rPr>
        <w:fldChar w:fldCharType="end"/>
      </w:r>
      <w:r>
        <w:rPr>
          <w:rFonts w:ascii="宋体" w:hAnsi="宋体" w:cs="宋体"/>
          <w:bCs/>
          <w:color w:val="auto"/>
          <w:szCs w:val="21"/>
          <w:highlight w:val="none"/>
        </w:rPr>
        <w:fldChar w:fldCharType="end"/>
      </w:r>
    </w:p>
    <w:p>
      <w:pPr>
        <w:pStyle w:val="18"/>
        <w:tabs>
          <w:tab w:val="right" w:leader="dot" w:pos="9072"/>
        </w:tabs>
        <w:rPr>
          <w:color w:val="auto"/>
          <w:highlight w:val="none"/>
        </w:rPr>
      </w:pPr>
      <w:r>
        <w:rPr>
          <w:rFonts w:ascii="宋体" w:hAnsi="宋体" w:cs="宋体"/>
          <w:bCs/>
          <w:color w:val="auto"/>
          <w:szCs w:val="21"/>
          <w:highlight w:val="none"/>
        </w:rPr>
        <w:fldChar w:fldCharType="begin"/>
      </w:r>
      <w:r>
        <w:rPr>
          <w:rFonts w:ascii="宋体" w:hAnsi="宋体" w:cs="宋体"/>
          <w:bCs/>
          <w:color w:val="auto"/>
          <w:szCs w:val="21"/>
          <w:highlight w:val="none"/>
        </w:rPr>
        <w:instrText xml:space="preserve"> HYPERLINK \l _Toc4936 </w:instrText>
      </w:r>
      <w:r>
        <w:rPr>
          <w:rFonts w:ascii="宋体" w:hAnsi="宋体" w:cs="宋体"/>
          <w:bCs/>
          <w:color w:val="auto"/>
          <w:szCs w:val="21"/>
          <w:highlight w:val="none"/>
        </w:rPr>
        <w:fldChar w:fldCharType="separate"/>
      </w:r>
      <w:r>
        <w:rPr>
          <w:rFonts w:hint="eastAsia" w:ascii="宋体" w:hAnsi="宋体" w:cs="宋体"/>
          <w:bCs/>
          <w:color w:val="auto"/>
          <w:szCs w:val="32"/>
          <w:highlight w:val="none"/>
        </w:rPr>
        <w:t>十</w:t>
      </w:r>
      <w:r>
        <w:rPr>
          <w:rFonts w:hint="eastAsia" w:ascii="宋体" w:hAnsi="宋体" w:cs="宋体"/>
          <w:bCs/>
          <w:color w:val="auto"/>
          <w:szCs w:val="32"/>
          <w:highlight w:val="none"/>
          <w:lang w:eastAsia="zh-CN"/>
        </w:rPr>
        <w:t>三</w:t>
      </w:r>
      <w:r>
        <w:rPr>
          <w:rFonts w:hint="eastAsia" w:ascii="宋体" w:hAnsi="宋体" w:cs="宋体"/>
          <w:bCs/>
          <w:color w:val="auto"/>
          <w:szCs w:val="32"/>
          <w:highlight w:val="none"/>
        </w:rPr>
        <w:t>、</w:t>
      </w:r>
      <w:r>
        <w:rPr>
          <w:rFonts w:hint="eastAsia" w:ascii="宋体" w:hAnsi="宋体" w:cs="宋体"/>
          <w:bCs/>
          <w:color w:val="auto"/>
          <w:szCs w:val="32"/>
          <w:highlight w:val="none"/>
          <w:lang w:eastAsia="zh-CN"/>
        </w:rPr>
        <w:t>供应商</w:t>
      </w:r>
      <w:r>
        <w:rPr>
          <w:rFonts w:hint="eastAsia" w:ascii="宋体" w:hAnsi="宋体" w:cs="宋体"/>
          <w:bCs/>
          <w:color w:val="auto"/>
          <w:szCs w:val="32"/>
          <w:highlight w:val="none"/>
        </w:rPr>
        <w:t>认为需要提供的其它资料</w:t>
      </w:r>
      <w:r>
        <w:rPr>
          <w:color w:val="auto"/>
          <w:highlight w:val="none"/>
        </w:rPr>
        <w:tab/>
      </w:r>
      <w:r>
        <w:rPr>
          <w:color w:val="auto"/>
          <w:highlight w:val="none"/>
        </w:rPr>
        <w:fldChar w:fldCharType="begin"/>
      </w:r>
      <w:r>
        <w:rPr>
          <w:color w:val="auto"/>
          <w:highlight w:val="none"/>
        </w:rPr>
        <w:instrText xml:space="preserve"> PAGEREF _Toc4936 \h </w:instrText>
      </w:r>
      <w:r>
        <w:rPr>
          <w:color w:val="auto"/>
          <w:highlight w:val="none"/>
        </w:rPr>
        <w:fldChar w:fldCharType="separate"/>
      </w:r>
      <w:r>
        <w:rPr>
          <w:color w:val="auto"/>
          <w:highlight w:val="none"/>
        </w:rPr>
        <w:t>- 71 -</w:t>
      </w:r>
      <w:r>
        <w:rPr>
          <w:color w:val="auto"/>
          <w:highlight w:val="none"/>
        </w:rPr>
        <w:fldChar w:fldCharType="end"/>
      </w:r>
      <w:r>
        <w:rPr>
          <w:rFonts w:ascii="宋体" w:hAnsi="宋体" w:cs="宋体"/>
          <w:bCs/>
          <w:color w:val="auto"/>
          <w:szCs w:val="21"/>
          <w:highlight w:val="none"/>
        </w:rPr>
        <w:fldChar w:fldCharType="end"/>
      </w:r>
    </w:p>
    <w:p>
      <w:pPr>
        <w:spacing w:line="340" w:lineRule="exact"/>
        <w:jc w:val="center"/>
        <w:rPr>
          <w:color w:val="auto"/>
          <w:highlight w:val="none"/>
        </w:rPr>
      </w:pPr>
      <w:r>
        <w:rPr>
          <w:rFonts w:ascii="宋体" w:hAnsi="宋体" w:cs="宋体"/>
          <w:bCs/>
          <w:color w:val="auto"/>
          <w:szCs w:val="21"/>
          <w:highlight w:val="none"/>
        </w:rPr>
        <w:fldChar w:fldCharType="end"/>
      </w:r>
    </w:p>
    <w:p>
      <w:pPr>
        <w:rPr>
          <w:color w:val="auto"/>
          <w:highlight w:val="none"/>
        </w:rPr>
      </w:pPr>
    </w:p>
    <w:p>
      <w:pPr>
        <w:pStyle w:val="6"/>
        <w:rPr>
          <w:color w:val="auto"/>
          <w:highlight w:val="none"/>
        </w:rPr>
      </w:pPr>
    </w:p>
    <w:p>
      <w:pPr>
        <w:rPr>
          <w:color w:val="auto"/>
          <w:highlight w:val="none"/>
        </w:rPr>
      </w:pPr>
    </w:p>
    <w:p>
      <w:pPr>
        <w:pStyle w:val="31"/>
        <w:rPr>
          <w:color w:val="auto"/>
          <w:highlight w:val="none"/>
        </w:rPr>
      </w:pPr>
    </w:p>
    <w:p>
      <w:pPr>
        <w:pStyle w:val="31"/>
        <w:rPr>
          <w:color w:val="auto"/>
          <w:highlight w:val="none"/>
        </w:rPr>
      </w:pPr>
    </w:p>
    <w:p>
      <w:pPr>
        <w:pStyle w:val="31"/>
        <w:rPr>
          <w:color w:val="auto"/>
          <w:highlight w:val="none"/>
        </w:rPr>
      </w:pPr>
    </w:p>
    <w:p>
      <w:pPr>
        <w:pStyle w:val="22"/>
        <w:rPr>
          <w:rFonts w:ascii="宋体" w:cs="宋体"/>
          <w:color w:val="auto"/>
          <w:kern w:val="44"/>
          <w:highlight w:val="none"/>
        </w:rPr>
      </w:pPr>
      <w:bookmarkStart w:id="0" w:name="_Toc21762"/>
      <w:r>
        <w:rPr>
          <w:rFonts w:hint="eastAsia"/>
          <w:color w:val="auto"/>
          <w:kern w:val="44"/>
          <w:highlight w:val="none"/>
        </w:rPr>
        <w:t>第一章</w:t>
      </w:r>
      <w:r>
        <w:rPr>
          <w:color w:val="auto"/>
          <w:kern w:val="44"/>
          <w:highlight w:val="none"/>
        </w:rPr>
        <w:t xml:space="preserve">  </w:t>
      </w:r>
      <w:r>
        <w:rPr>
          <w:rFonts w:hint="eastAsia"/>
          <w:color w:val="auto"/>
          <w:kern w:val="44"/>
          <w:highlight w:val="none"/>
        </w:rPr>
        <w:t>竞争性磋商公告</w:t>
      </w:r>
      <w:bookmarkEnd w:id="0"/>
    </w:p>
    <w:p>
      <w:pPr>
        <w:spacing w:line="440" w:lineRule="exact"/>
        <w:ind w:firstLine="600" w:firstLineChars="200"/>
        <w:jc w:val="center"/>
        <w:outlineLvl w:val="9"/>
        <w:rPr>
          <w:rFonts w:hint="eastAsia" w:ascii="宋体" w:hAnsi="宋体" w:eastAsia="宋体" w:cs="宋体"/>
          <w:color w:val="auto"/>
          <w:sz w:val="30"/>
          <w:szCs w:val="30"/>
          <w:highlight w:val="none"/>
          <w:lang w:val="en-US" w:eastAsia="zh-CN"/>
        </w:rPr>
      </w:pPr>
      <w:r>
        <w:rPr>
          <w:rFonts w:hint="eastAsia" w:ascii="宋体" w:hAnsi="宋体" w:eastAsia="宋体" w:cs="宋体"/>
          <w:color w:val="auto"/>
          <w:sz w:val="30"/>
          <w:szCs w:val="30"/>
          <w:highlight w:val="none"/>
          <w:lang w:val="en-US" w:eastAsia="zh-CN"/>
        </w:rPr>
        <w:t>温县司法局创建国家级智慧矫正中心采购项目</w:t>
      </w:r>
    </w:p>
    <w:p>
      <w:pPr>
        <w:spacing w:line="440" w:lineRule="exact"/>
        <w:ind w:firstLine="600" w:firstLineChars="200"/>
        <w:jc w:val="center"/>
        <w:outlineLvl w:val="9"/>
        <w:rPr>
          <w:rFonts w:ascii="宋体" w:hAnsi="宋体" w:cs="宋体"/>
          <w:color w:val="auto"/>
          <w:sz w:val="30"/>
          <w:szCs w:val="30"/>
          <w:highlight w:val="none"/>
        </w:rPr>
      </w:pPr>
      <w:r>
        <w:rPr>
          <w:rFonts w:hint="eastAsia" w:ascii="宋体" w:hAnsi="宋体" w:eastAsia="宋体" w:cs="宋体"/>
          <w:color w:val="auto"/>
          <w:sz w:val="30"/>
          <w:szCs w:val="30"/>
          <w:highlight w:val="none"/>
        </w:rPr>
        <w:t>竞争性磋商公告</w:t>
      </w:r>
    </w:p>
    <w:p>
      <w:pPr>
        <w:pageBreakBefore w:val="0"/>
        <w:widowControl w:val="0"/>
        <w:kinsoku/>
        <w:wordWrap/>
        <w:overflowPunct/>
        <w:topLinePunct w:val="0"/>
        <w:autoSpaceDE/>
        <w:autoSpaceDN/>
        <w:bidi w:val="0"/>
        <w:adjustRightInd/>
        <w:snapToGrid/>
        <w:spacing w:line="400" w:lineRule="exact"/>
        <w:ind w:firstLine="422" w:firstLineChars="200"/>
        <w:textAlignment w:val="auto"/>
        <w:rPr>
          <w:rFonts w:hint="eastAsia" w:ascii="宋体" w:hAnsi="宋体" w:eastAsia="宋体" w:cs="宋体"/>
          <w:b/>
          <w:color w:val="auto"/>
          <w:szCs w:val="21"/>
          <w:highlight w:val="none"/>
          <w:lang w:eastAsia="zh-CN"/>
        </w:rPr>
      </w:pPr>
      <w:r>
        <w:rPr>
          <w:rFonts w:hint="eastAsia" w:ascii="宋体" w:hAnsi="宋体" w:cs="宋体"/>
          <w:b/>
          <w:color w:val="auto"/>
          <w:szCs w:val="21"/>
          <w:highlight w:val="none"/>
        </w:rPr>
        <w:t>项目概况</w:t>
      </w:r>
      <w:r>
        <w:rPr>
          <w:rFonts w:hint="eastAsia" w:ascii="宋体" w:hAnsi="宋体" w:cs="宋体"/>
          <w:b/>
          <w:color w:val="auto"/>
          <w:szCs w:val="21"/>
          <w:highlight w:val="none"/>
          <w:lang w:eastAsia="zh-CN"/>
        </w:rPr>
        <w:t>：</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lang w:val="en-US" w:eastAsia="zh-CN"/>
        </w:rPr>
        <w:t>温县司法局创建国家级智慧矫正中心采购项目</w:t>
      </w:r>
      <w:r>
        <w:rPr>
          <w:rFonts w:hint="eastAsia" w:ascii="宋体" w:hAnsi="宋体" w:eastAsia="宋体" w:cs="宋体"/>
          <w:color w:val="auto"/>
          <w:szCs w:val="21"/>
          <w:highlight w:val="none"/>
        </w:rPr>
        <w:t>的潜</w:t>
      </w:r>
      <w:r>
        <w:rPr>
          <w:rFonts w:hint="eastAsia" w:ascii="宋体" w:hAnsi="宋体" w:cs="宋体"/>
          <w:color w:val="auto"/>
          <w:szCs w:val="21"/>
          <w:highlight w:val="none"/>
        </w:rPr>
        <w:t>在</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应在焦作市公共资源交易中心网站会员系统获取磋商文件，并于</w:t>
      </w:r>
      <w:r>
        <w:rPr>
          <w:rFonts w:hint="eastAsia" w:ascii="宋体" w:hAnsi="宋体" w:cs="宋体"/>
          <w:color w:val="auto"/>
          <w:szCs w:val="21"/>
          <w:highlight w:val="none"/>
          <w:u w:val="single"/>
        </w:rPr>
        <w:t>2022年</w:t>
      </w:r>
      <w:r>
        <w:rPr>
          <w:rFonts w:hint="eastAsia" w:ascii="宋体" w:hAnsi="宋体" w:cs="宋体"/>
          <w:color w:val="auto"/>
          <w:szCs w:val="21"/>
          <w:highlight w:val="none"/>
          <w:u w:val="single"/>
          <w:lang w:val="en-US" w:eastAsia="zh-CN"/>
        </w:rPr>
        <w:t>6</w:t>
      </w:r>
      <w:r>
        <w:rPr>
          <w:rFonts w:hint="eastAsia" w:ascii="宋体" w:hAnsi="宋体" w:cs="宋体"/>
          <w:color w:val="auto"/>
          <w:szCs w:val="21"/>
          <w:highlight w:val="none"/>
          <w:u w:val="single"/>
        </w:rPr>
        <w:t>月</w:t>
      </w:r>
      <w:r>
        <w:rPr>
          <w:rFonts w:hint="eastAsia" w:ascii="宋体" w:hAnsi="宋体" w:cs="宋体"/>
          <w:color w:val="auto"/>
          <w:szCs w:val="21"/>
          <w:highlight w:val="none"/>
          <w:u w:val="single"/>
          <w:lang w:val="en-US" w:eastAsia="zh-CN"/>
        </w:rPr>
        <w:t>13</w:t>
      </w:r>
      <w:r>
        <w:rPr>
          <w:rFonts w:hint="eastAsia" w:ascii="宋体" w:hAnsi="宋体" w:cs="宋体"/>
          <w:color w:val="auto"/>
          <w:szCs w:val="21"/>
          <w:highlight w:val="none"/>
          <w:u w:val="single"/>
        </w:rPr>
        <w:t>日 9 时00分</w:t>
      </w:r>
      <w:r>
        <w:rPr>
          <w:rFonts w:hint="eastAsia" w:ascii="宋体" w:hAnsi="宋体" w:cs="宋体"/>
          <w:color w:val="auto"/>
          <w:szCs w:val="21"/>
          <w:highlight w:val="none"/>
        </w:rPr>
        <w:t>（北京时间）前递交磋商响应文件。</w:t>
      </w:r>
    </w:p>
    <w:p>
      <w:pPr>
        <w:pageBreakBefore w:val="0"/>
        <w:widowControl w:val="0"/>
        <w:kinsoku/>
        <w:wordWrap/>
        <w:overflowPunct/>
        <w:topLinePunct w:val="0"/>
        <w:autoSpaceDE/>
        <w:autoSpaceDN/>
        <w:bidi w:val="0"/>
        <w:adjustRightInd/>
        <w:snapToGrid/>
        <w:spacing w:line="400" w:lineRule="exact"/>
        <w:ind w:firstLine="422" w:firstLineChars="200"/>
        <w:textAlignment w:val="auto"/>
        <w:rPr>
          <w:rFonts w:ascii="宋体" w:hAnsi="宋体" w:cs="宋体"/>
          <w:b/>
          <w:color w:val="auto"/>
          <w:szCs w:val="21"/>
          <w:highlight w:val="none"/>
        </w:rPr>
      </w:pPr>
      <w:r>
        <w:rPr>
          <w:rFonts w:hint="eastAsia" w:ascii="宋体" w:hAnsi="宋体" w:cs="宋体"/>
          <w:b/>
          <w:color w:val="auto"/>
          <w:szCs w:val="21"/>
          <w:highlight w:val="none"/>
        </w:rPr>
        <w:t>一、项目基本情况:</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1.项目编号：温交易【202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62</w:t>
      </w:r>
      <w:r>
        <w:rPr>
          <w:rFonts w:hint="eastAsia" w:ascii="宋体" w:hAnsi="宋体" w:cs="宋体"/>
          <w:color w:val="auto"/>
          <w:szCs w:val="21"/>
          <w:highlight w:val="none"/>
        </w:rPr>
        <w:t>号     采购编号：温政采【202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65</w:t>
      </w:r>
      <w:r>
        <w:rPr>
          <w:rFonts w:hint="eastAsia" w:ascii="宋体" w:hAnsi="宋体" w:cs="宋体"/>
          <w:color w:val="auto"/>
          <w:szCs w:val="21"/>
          <w:highlight w:val="none"/>
        </w:rPr>
        <w:t>号</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2.项目名称：</w:t>
      </w:r>
      <w:r>
        <w:rPr>
          <w:rFonts w:hint="eastAsia" w:ascii="宋体" w:hAnsi="宋体" w:cs="宋体"/>
          <w:color w:val="auto"/>
          <w:szCs w:val="21"/>
          <w:highlight w:val="none"/>
          <w:lang w:val="en-US" w:eastAsia="zh-CN"/>
        </w:rPr>
        <w:t>温县司法局创建国家级智慧矫正中心采购项目</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3.预算金额：</w:t>
      </w:r>
      <w:r>
        <w:rPr>
          <w:rFonts w:hint="eastAsia" w:ascii="宋体" w:hAnsi="宋体" w:cs="宋体"/>
          <w:color w:val="auto"/>
          <w:szCs w:val="21"/>
          <w:highlight w:val="none"/>
          <w:lang w:val="en-US" w:eastAsia="zh-CN"/>
        </w:rPr>
        <w:t>913920</w:t>
      </w:r>
      <w:r>
        <w:rPr>
          <w:rFonts w:hint="eastAsia" w:ascii="宋体" w:hAnsi="宋体" w:cs="宋体"/>
          <w:color w:val="auto"/>
          <w:szCs w:val="21"/>
          <w:highlight w:val="none"/>
        </w:rPr>
        <w:t>元</w:t>
      </w:r>
    </w:p>
    <w:p>
      <w:pPr>
        <w:pageBreakBefore w:val="0"/>
        <w:widowControl w:val="0"/>
        <w:numPr>
          <w:ilvl w:val="0"/>
          <w:numId w:val="0"/>
        </w:numPr>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color w:val="auto"/>
          <w:szCs w:val="21"/>
          <w:highlight w:val="none"/>
          <w:lang w:val="en-US" w:eastAsia="zh-CN"/>
        </w:rPr>
      </w:pPr>
      <w:r>
        <w:rPr>
          <w:rFonts w:hint="eastAsia" w:ascii="宋体" w:hAnsi="宋体" w:cs="宋体"/>
          <w:color w:val="auto"/>
          <w:szCs w:val="21"/>
          <w:highlight w:val="none"/>
        </w:rPr>
        <w:t>4.采购需求：</w:t>
      </w:r>
      <w:r>
        <w:rPr>
          <w:rFonts w:hint="eastAsia" w:ascii="宋体" w:hAnsi="宋体" w:cs="宋体"/>
          <w:color w:val="auto"/>
          <w:szCs w:val="21"/>
          <w:highlight w:val="none"/>
          <w:lang w:val="en-US" w:eastAsia="zh-CN"/>
        </w:rPr>
        <w:t>采购创建国家级智慧矫正中心装备一批</w:t>
      </w:r>
      <w:r>
        <w:rPr>
          <w:rFonts w:hint="eastAsia" w:ascii="宋体" w:hAnsi="宋体" w:cs="宋体"/>
          <w:color w:val="auto"/>
          <w:szCs w:val="21"/>
          <w:highlight w:val="none"/>
        </w:rPr>
        <w:t>(具体内容详见竞争性磋商</w:t>
      </w:r>
      <w:r>
        <w:rPr>
          <w:rFonts w:hint="eastAsia" w:ascii="宋体" w:hAnsi="宋体" w:cs="宋体"/>
          <w:color w:val="auto"/>
          <w:szCs w:val="21"/>
          <w:highlight w:val="none"/>
          <w:lang w:val="en-US" w:eastAsia="zh-CN"/>
        </w:rPr>
        <w:t>文件</w:t>
      </w:r>
      <w:r>
        <w:rPr>
          <w:rFonts w:hint="eastAsia" w:ascii="宋体" w:hAnsi="宋体" w:cs="宋体"/>
          <w:color w:val="auto"/>
          <w:szCs w:val="21"/>
          <w:highlight w:val="none"/>
        </w:rPr>
        <w:t>)</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5.资金来源：</w:t>
      </w:r>
      <w:r>
        <w:rPr>
          <w:rFonts w:hint="eastAsia" w:ascii="宋体" w:hAnsi="宋体" w:cs="宋体"/>
          <w:color w:val="auto"/>
          <w:szCs w:val="21"/>
          <w:highlight w:val="none"/>
          <w:lang w:val="en-US" w:eastAsia="zh-CN"/>
        </w:rPr>
        <w:t>上级资金及县财政资金</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6.质量要求：合格</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rPr>
        <w:t>7.合同履行期限：</w:t>
      </w:r>
      <w:r>
        <w:rPr>
          <w:rFonts w:hint="eastAsia" w:ascii="宋体" w:hAnsi="宋体" w:cs="宋体"/>
          <w:color w:val="auto"/>
          <w:szCs w:val="21"/>
          <w:highlight w:val="none"/>
          <w:lang w:val="en-US" w:eastAsia="zh-CN"/>
        </w:rPr>
        <w:t>30日历天</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8.本项目不接受联合体投标</w:t>
      </w:r>
    </w:p>
    <w:p>
      <w:pPr>
        <w:pageBreakBefore w:val="0"/>
        <w:widowControl w:val="0"/>
        <w:kinsoku/>
        <w:wordWrap/>
        <w:overflowPunct/>
        <w:topLinePunct w:val="0"/>
        <w:autoSpaceDE/>
        <w:autoSpaceDN/>
        <w:bidi w:val="0"/>
        <w:adjustRightInd/>
        <w:snapToGrid/>
        <w:spacing w:line="400" w:lineRule="exact"/>
        <w:ind w:firstLine="422" w:firstLineChars="200"/>
        <w:textAlignment w:val="auto"/>
        <w:rPr>
          <w:rFonts w:ascii="宋体" w:hAnsi="宋体" w:cs="宋体"/>
          <w:b/>
          <w:color w:val="auto"/>
          <w:szCs w:val="21"/>
          <w:highlight w:val="none"/>
        </w:rPr>
      </w:pPr>
      <w:r>
        <w:rPr>
          <w:rFonts w:hint="eastAsia" w:ascii="宋体" w:hAnsi="宋体" w:cs="宋体"/>
          <w:b/>
          <w:color w:val="auto"/>
          <w:szCs w:val="21"/>
          <w:highlight w:val="none"/>
        </w:rPr>
        <w:t>二、申请人的资格要求：</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1.满足《中华人民共和国政府采购法》第二十二条规定：</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1.1具有独立承担民事责任的能力；</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1.2具有良好的商业信誉和健全的财务会计制度；</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1.3具有履行合同所必需的设备和专业技术能力；</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1.4有依法缴纳税收和社会保障资金的良好记录；</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1.5参加政府采购活动前三年内，在经营活动中没有重大违法记录；</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1.6法律、行政法规规定的其他条件；</w:t>
      </w:r>
    </w:p>
    <w:p>
      <w:pPr>
        <w:pageBreakBefore w:val="0"/>
        <w:widowControl w:val="0"/>
        <w:kinsoku/>
        <w:wordWrap/>
        <w:overflowPunct/>
        <w:topLinePunct w:val="0"/>
        <w:autoSpaceDE/>
        <w:autoSpaceDN/>
        <w:bidi w:val="0"/>
        <w:adjustRightInd/>
        <w:snapToGrid/>
        <w:spacing w:before="20" w:after="20" w:line="400" w:lineRule="exact"/>
        <w:ind w:firstLine="422" w:firstLineChars="200"/>
        <w:textAlignment w:val="auto"/>
        <w:outlineLvl w:val="9"/>
        <w:rPr>
          <w:b/>
          <w:bCs/>
          <w:color w:val="auto"/>
          <w:highlight w:val="none"/>
        </w:rPr>
      </w:pPr>
      <w:r>
        <w:rPr>
          <w:rFonts w:hint="eastAsia" w:ascii="Times New Roman" w:hAnsi="Times New Roman"/>
          <w:b/>
          <w:bCs/>
          <w:color w:val="auto"/>
          <w:sz w:val="21"/>
          <w:szCs w:val="21"/>
          <w:highlight w:val="none"/>
        </w:rPr>
        <w:t>备注：供应商在投标（响应）时，按照规定提供相关信用承诺函，无需再提交1</w:t>
      </w:r>
      <w:r>
        <w:rPr>
          <w:rFonts w:ascii="Times New Roman" w:hAnsi="Times New Roman"/>
          <w:b/>
          <w:bCs/>
          <w:color w:val="auto"/>
          <w:sz w:val="21"/>
          <w:szCs w:val="21"/>
          <w:highlight w:val="none"/>
        </w:rPr>
        <w:t>.1-1.5</w:t>
      </w:r>
      <w:r>
        <w:rPr>
          <w:rFonts w:hint="eastAsia" w:ascii="Times New Roman" w:hAnsi="Times New Roman"/>
          <w:b/>
          <w:bCs/>
          <w:color w:val="auto"/>
          <w:sz w:val="21"/>
          <w:szCs w:val="21"/>
          <w:highlight w:val="none"/>
        </w:rPr>
        <w:t>证明材料。</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2.落实政府采购政策需满足的资格要求：本项目执行促进中小企业发展政策（监狱企业、残疾人福利性企业视同小微企业）等政府采购政策；</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3.本项目资格要求：</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3.1</w:t>
      </w:r>
      <w:r>
        <w:rPr>
          <w:rFonts w:hint="eastAsia" w:ascii="宋体" w:hAnsi="宋体" w:cs="宋体"/>
          <w:b/>
          <w:bCs/>
          <w:color w:val="auto"/>
          <w:szCs w:val="21"/>
          <w:highlight w:val="none"/>
          <w:lang w:eastAsia="zh-CN"/>
        </w:rPr>
        <w:t>供应商应具有经营范围符合本项目要求且有效的营业执照等；并在人员、设备、资金等方面具有相应的施工及服务能力；</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3.</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根据《关于在政府采购活动中查询及使用信用记录有关问题的通知》(财库[2016]125号)的规定，采购代理机构将通过“信用中国”网（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需提供网站查询截图，查询时间为磋商公告发布之后）；</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b w:val="0"/>
          <w:bCs/>
          <w:color w:val="auto"/>
          <w:szCs w:val="21"/>
          <w:highlight w:val="none"/>
          <w:lang w:val="en-US" w:eastAsia="zh-CN"/>
        </w:rPr>
      </w:pPr>
      <w:r>
        <w:rPr>
          <w:rFonts w:hint="eastAsia" w:ascii="宋体" w:hAnsi="宋体" w:cs="宋体"/>
          <w:b w:val="0"/>
          <w:bCs/>
          <w:color w:val="auto"/>
          <w:szCs w:val="21"/>
          <w:highlight w:val="none"/>
          <w:lang w:val="en-US" w:eastAsia="zh-CN"/>
        </w:rPr>
        <w:t>3.3供应商须提交具备中国人民银行征信业务备案资质的第三方信用服务机构出具的有效期内信用报告（未注明有效期的，自信用报告出具之日起有效期不得超过1年），且信用等级达到A级及以上，并附开标前7天内电子信用报告查询截图（与纸质版信用报告内容一致）。同时提供出具该信用报告的第三方信用服务机构在中国人民银行备案的证明材料。开标后采购人和代理机构在通过“信用中国”网站、中国政府采购网等渠道查询投标单位信用记录的基础上，负责查验第三方出具的信用报告，如未提交报告或报告弄虚作假的，一律取消投标资格。</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b w:val="0"/>
          <w:bCs/>
          <w:color w:val="auto"/>
          <w:szCs w:val="21"/>
          <w:highlight w:val="none"/>
          <w:lang w:val="en-US" w:eastAsia="zh-CN"/>
        </w:rPr>
      </w:pPr>
      <w:r>
        <w:rPr>
          <w:rFonts w:hint="eastAsia" w:ascii="宋体" w:hAnsi="宋体" w:cs="宋体"/>
          <w:b w:val="0"/>
          <w:bCs/>
          <w:color w:val="auto"/>
          <w:szCs w:val="21"/>
          <w:highlight w:val="none"/>
          <w:lang w:val="en-US" w:eastAsia="zh-CN"/>
        </w:rPr>
        <w:t>信用报告出具方式：http://www.creditwx.gov.cn/cms/news/index/595547990899294208</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b w:val="0"/>
          <w:bCs/>
          <w:color w:val="auto"/>
          <w:szCs w:val="21"/>
          <w:highlight w:val="none"/>
          <w:lang w:val="en-US" w:eastAsia="zh-CN"/>
        </w:rPr>
      </w:pPr>
      <w:r>
        <w:rPr>
          <w:rFonts w:hint="eastAsia" w:ascii="宋体" w:hAnsi="宋体" w:cs="宋体"/>
          <w:b w:val="0"/>
          <w:bCs/>
          <w:color w:val="auto"/>
          <w:szCs w:val="21"/>
          <w:highlight w:val="none"/>
          <w:lang w:val="en-US" w:eastAsia="zh-CN"/>
        </w:rPr>
        <w:t>3.4投标人必须提供无行贿犯罪记录承诺书，(出具由“中国裁判文书网”网站查询近三年来法人、法定代表人、法定代表人委托人无行贿犯罪记录网页截图)；若有行贿犯罪记录则取消其投标资格；</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cs="宋体"/>
          <w:b w:val="0"/>
          <w:bCs/>
          <w:color w:val="auto"/>
          <w:szCs w:val="21"/>
          <w:highlight w:val="none"/>
          <w:lang w:val="en-US" w:eastAsia="zh-CN"/>
        </w:rPr>
      </w:pPr>
      <w:r>
        <w:rPr>
          <w:rFonts w:hint="eastAsia" w:ascii="宋体" w:hAnsi="宋体" w:cs="宋体"/>
          <w:b w:val="0"/>
          <w:bCs/>
          <w:color w:val="auto"/>
          <w:szCs w:val="21"/>
          <w:highlight w:val="none"/>
          <w:lang w:val="en-US" w:eastAsia="zh-CN"/>
        </w:rPr>
        <w:t>3.5 投标单位必须提供投标承诺函。</w:t>
      </w:r>
    </w:p>
    <w:p>
      <w:pPr>
        <w:pageBreakBefore w:val="0"/>
        <w:widowControl w:val="0"/>
        <w:kinsoku/>
        <w:wordWrap/>
        <w:overflowPunct/>
        <w:topLinePunct w:val="0"/>
        <w:autoSpaceDE/>
        <w:autoSpaceDN/>
        <w:bidi w:val="0"/>
        <w:adjustRightInd/>
        <w:snapToGrid/>
        <w:spacing w:line="400" w:lineRule="exact"/>
        <w:ind w:firstLine="422" w:firstLineChars="200"/>
        <w:textAlignment w:val="auto"/>
        <w:rPr>
          <w:rFonts w:ascii="宋体" w:hAnsi="宋体" w:cs="宋体"/>
          <w:b/>
          <w:color w:val="auto"/>
          <w:szCs w:val="21"/>
          <w:highlight w:val="none"/>
        </w:rPr>
      </w:pPr>
      <w:r>
        <w:rPr>
          <w:rFonts w:hint="eastAsia" w:ascii="宋体" w:hAnsi="宋体" w:cs="宋体"/>
          <w:b/>
          <w:color w:val="auto"/>
          <w:szCs w:val="21"/>
          <w:highlight w:val="none"/>
        </w:rPr>
        <w:t>三、获取磋商文件:</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时间：</w:t>
      </w:r>
      <w:r>
        <w:rPr>
          <w:rFonts w:hint="eastAsia" w:ascii="宋体" w:hAnsi="宋体" w:cs="宋体"/>
          <w:color w:val="auto"/>
          <w:szCs w:val="21"/>
          <w:highlight w:val="none"/>
          <w:u w:val="single"/>
        </w:rPr>
        <w:t>2022年</w:t>
      </w:r>
      <w:r>
        <w:rPr>
          <w:rFonts w:hint="eastAsia" w:ascii="宋体" w:hAnsi="宋体" w:cs="宋体"/>
          <w:color w:val="auto"/>
          <w:szCs w:val="21"/>
          <w:highlight w:val="none"/>
          <w:u w:val="single"/>
          <w:lang w:val="en-US" w:eastAsia="zh-CN"/>
        </w:rPr>
        <w:t xml:space="preserve"> 6</w:t>
      </w:r>
      <w:r>
        <w:rPr>
          <w:rFonts w:hint="eastAsia" w:ascii="宋体" w:hAnsi="宋体" w:cs="宋体"/>
          <w:color w:val="auto"/>
          <w:szCs w:val="21"/>
          <w:highlight w:val="none"/>
          <w:u w:val="single"/>
        </w:rPr>
        <w:t xml:space="preserve">月 </w:t>
      </w:r>
      <w:r>
        <w:rPr>
          <w:rFonts w:hint="eastAsia" w:ascii="宋体" w:hAnsi="宋体" w:cs="宋体"/>
          <w:color w:val="auto"/>
          <w:szCs w:val="21"/>
          <w:highlight w:val="none"/>
          <w:u w:val="single"/>
          <w:lang w:val="en-US" w:eastAsia="zh-CN"/>
        </w:rPr>
        <w:t>1</w:t>
      </w:r>
      <w:r>
        <w:rPr>
          <w:rFonts w:hint="eastAsia" w:ascii="宋体" w:hAnsi="宋体" w:cs="宋体"/>
          <w:color w:val="auto"/>
          <w:szCs w:val="21"/>
          <w:highlight w:val="none"/>
          <w:u w:val="single"/>
        </w:rPr>
        <w:t>日至2022年</w:t>
      </w:r>
      <w:r>
        <w:rPr>
          <w:rFonts w:hint="eastAsia" w:ascii="宋体" w:hAnsi="宋体" w:cs="宋体"/>
          <w:color w:val="auto"/>
          <w:szCs w:val="21"/>
          <w:highlight w:val="none"/>
          <w:u w:val="single"/>
          <w:lang w:val="en-US" w:eastAsia="zh-CN"/>
        </w:rPr>
        <w:t xml:space="preserve">6 </w:t>
      </w:r>
      <w:r>
        <w:rPr>
          <w:rFonts w:hint="eastAsia" w:ascii="宋体" w:hAnsi="宋体" w:cs="宋体"/>
          <w:color w:val="auto"/>
          <w:szCs w:val="21"/>
          <w:highlight w:val="none"/>
          <w:u w:val="single"/>
        </w:rPr>
        <w:t>月</w:t>
      </w:r>
      <w:r>
        <w:rPr>
          <w:rFonts w:hint="eastAsia" w:ascii="宋体" w:hAnsi="宋体" w:cs="宋体"/>
          <w:color w:val="auto"/>
          <w:szCs w:val="21"/>
          <w:highlight w:val="none"/>
          <w:u w:val="single"/>
          <w:lang w:val="en-US" w:eastAsia="zh-CN"/>
        </w:rPr>
        <w:t xml:space="preserve">  8</w:t>
      </w:r>
      <w:r>
        <w:rPr>
          <w:rFonts w:hint="eastAsia" w:ascii="宋体" w:hAnsi="宋体" w:cs="宋体"/>
          <w:color w:val="auto"/>
          <w:szCs w:val="21"/>
          <w:highlight w:val="none"/>
          <w:u w:val="single"/>
        </w:rPr>
        <w:t>日</w:t>
      </w:r>
      <w:r>
        <w:rPr>
          <w:rFonts w:hint="eastAsia" w:ascii="宋体" w:hAnsi="宋体" w:cs="宋体"/>
          <w:color w:val="auto"/>
          <w:szCs w:val="21"/>
          <w:highlight w:val="none"/>
        </w:rPr>
        <w:t>，每天上午8：00至12:00，下午12:00至23:00（北京时间，法定节假日除外）；</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地点：焦作市公共资源交易中心网站；</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售价：0元；</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方式：本项目采用网上获取磋商文件，凡有意参加投标者，请登陆焦作市公共资源交易中心网站会员系统进行网上下载磋商文件。</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特别提醒：获取磋商文件前请到焦作市公共资源交易中心官网首页---下载中心--下载《焦作市电子招投标系统操作手册》按要求下载磋商文件。平台统一技术服务电话为：400-998-0000，服务QQ：4008503300，服务时间：周一至周日8：00-17：30。凡未在规定时间内获取磋商文件的视为无效标。</w:t>
      </w:r>
    </w:p>
    <w:p>
      <w:pPr>
        <w:pageBreakBefore w:val="0"/>
        <w:widowControl w:val="0"/>
        <w:kinsoku/>
        <w:wordWrap/>
        <w:overflowPunct/>
        <w:topLinePunct w:val="0"/>
        <w:autoSpaceDE/>
        <w:autoSpaceDN/>
        <w:bidi w:val="0"/>
        <w:adjustRightInd/>
        <w:snapToGrid/>
        <w:spacing w:line="400" w:lineRule="exact"/>
        <w:ind w:firstLine="422" w:firstLineChars="200"/>
        <w:textAlignment w:val="auto"/>
        <w:rPr>
          <w:rFonts w:ascii="宋体" w:hAnsi="宋体" w:cs="宋体"/>
          <w:b/>
          <w:color w:val="auto"/>
          <w:szCs w:val="21"/>
          <w:highlight w:val="none"/>
        </w:rPr>
      </w:pPr>
      <w:r>
        <w:rPr>
          <w:rFonts w:hint="eastAsia" w:ascii="宋体" w:hAnsi="宋体" w:cs="宋体"/>
          <w:b/>
          <w:color w:val="auto"/>
          <w:szCs w:val="21"/>
          <w:highlight w:val="none"/>
        </w:rPr>
        <w:t>四、提交磋商响应文件截止时间、开标时间和地点:</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时间：</w:t>
      </w:r>
      <w:r>
        <w:rPr>
          <w:rFonts w:hint="eastAsia" w:ascii="宋体" w:hAnsi="宋体" w:cs="宋体"/>
          <w:color w:val="auto"/>
          <w:szCs w:val="21"/>
          <w:highlight w:val="none"/>
          <w:u w:val="single"/>
        </w:rPr>
        <w:t>2022年</w:t>
      </w:r>
      <w:r>
        <w:rPr>
          <w:rFonts w:hint="eastAsia" w:ascii="宋体" w:hAnsi="宋体" w:cs="宋体"/>
          <w:color w:val="auto"/>
          <w:szCs w:val="21"/>
          <w:highlight w:val="none"/>
          <w:u w:val="single"/>
          <w:lang w:val="en-US" w:eastAsia="zh-CN"/>
        </w:rPr>
        <w:t xml:space="preserve">6  </w:t>
      </w:r>
      <w:r>
        <w:rPr>
          <w:rFonts w:hint="eastAsia" w:ascii="宋体" w:hAnsi="宋体" w:cs="宋体"/>
          <w:color w:val="auto"/>
          <w:szCs w:val="21"/>
          <w:highlight w:val="none"/>
          <w:u w:val="single"/>
        </w:rPr>
        <w:t>月</w:t>
      </w:r>
      <w:r>
        <w:rPr>
          <w:rFonts w:hint="eastAsia" w:ascii="宋体" w:hAnsi="宋体" w:cs="宋体"/>
          <w:color w:val="auto"/>
          <w:szCs w:val="21"/>
          <w:highlight w:val="none"/>
          <w:u w:val="single"/>
          <w:lang w:val="en-US" w:eastAsia="zh-CN"/>
        </w:rPr>
        <w:t xml:space="preserve">  13</w:t>
      </w:r>
      <w:r>
        <w:rPr>
          <w:rFonts w:hint="eastAsia" w:ascii="宋体" w:hAnsi="宋体" w:cs="宋体"/>
          <w:color w:val="auto"/>
          <w:szCs w:val="21"/>
          <w:highlight w:val="none"/>
          <w:u w:val="single"/>
        </w:rPr>
        <w:t xml:space="preserve"> 日9点 00 分</w:t>
      </w:r>
      <w:r>
        <w:rPr>
          <w:rFonts w:hint="eastAsia" w:ascii="宋体" w:hAnsi="宋体" w:cs="宋体"/>
          <w:color w:val="auto"/>
          <w:szCs w:val="21"/>
          <w:highlight w:val="none"/>
        </w:rPr>
        <w:t>（北京时间）；</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地点：温县公共资源交易中心开标室（具体详见开标当日公示牌）。</w:t>
      </w:r>
    </w:p>
    <w:p>
      <w:pPr>
        <w:pageBreakBefore w:val="0"/>
        <w:widowControl w:val="0"/>
        <w:kinsoku/>
        <w:wordWrap/>
        <w:overflowPunct/>
        <w:topLinePunct w:val="0"/>
        <w:autoSpaceDE/>
        <w:autoSpaceDN/>
        <w:bidi w:val="0"/>
        <w:adjustRightInd/>
        <w:snapToGrid/>
        <w:spacing w:line="400" w:lineRule="exact"/>
        <w:ind w:firstLine="422" w:firstLineChars="200"/>
        <w:textAlignment w:val="auto"/>
        <w:rPr>
          <w:rFonts w:ascii="宋体" w:hAnsi="宋体" w:cs="宋体"/>
          <w:b/>
          <w:color w:val="auto"/>
          <w:szCs w:val="21"/>
          <w:highlight w:val="none"/>
        </w:rPr>
      </w:pPr>
      <w:r>
        <w:rPr>
          <w:rFonts w:hint="eastAsia" w:ascii="宋体" w:hAnsi="宋体" w:cs="宋体"/>
          <w:b/>
          <w:color w:val="auto"/>
          <w:szCs w:val="21"/>
          <w:highlight w:val="none"/>
        </w:rPr>
        <w:t>五、公告期限：自本公告发布之日起5个工作日。</w:t>
      </w:r>
    </w:p>
    <w:p>
      <w:pPr>
        <w:pageBreakBefore w:val="0"/>
        <w:widowControl w:val="0"/>
        <w:kinsoku/>
        <w:wordWrap/>
        <w:overflowPunct/>
        <w:topLinePunct w:val="0"/>
        <w:autoSpaceDE/>
        <w:autoSpaceDN/>
        <w:bidi w:val="0"/>
        <w:adjustRightInd/>
        <w:snapToGrid/>
        <w:spacing w:line="400" w:lineRule="exact"/>
        <w:ind w:firstLine="422" w:firstLineChars="200"/>
        <w:textAlignment w:val="auto"/>
        <w:rPr>
          <w:rFonts w:ascii="宋体" w:hAnsi="宋体" w:cs="宋体"/>
          <w:b/>
          <w:color w:val="auto"/>
          <w:szCs w:val="21"/>
          <w:highlight w:val="none"/>
        </w:rPr>
      </w:pPr>
      <w:r>
        <w:rPr>
          <w:rFonts w:hint="eastAsia" w:ascii="宋体" w:hAnsi="宋体" w:cs="宋体"/>
          <w:b/>
          <w:color w:val="auto"/>
          <w:szCs w:val="21"/>
          <w:highlight w:val="none"/>
        </w:rPr>
        <w:t>六、其他补充事宜：</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本项目采用“远程不见面”的开标方式，潜在</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可提前在焦作市交易中心官网首页---下载中心--下载《焦作市电子招投标系统操作手册》和《焦作市公共资源交易平台不见面开标操作手册》、《投标文件制作工作工具》等，查看操作说明，按要求进行</w:t>
      </w:r>
      <w:r>
        <w:rPr>
          <w:rFonts w:hint="eastAsia" w:ascii="宋体" w:hAnsi="宋体" w:cs="宋体"/>
          <w:color w:val="auto"/>
          <w:szCs w:val="21"/>
          <w:highlight w:val="none"/>
          <w:lang w:eastAsia="zh-CN"/>
        </w:rPr>
        <w:t>响应</w:t>
      </w:r>
      <w:r>
        <w:rPr>
          <w:rFonts w:hint="eastAsia" w:ascii="宋体" w:hAnsi="宋体" w:cs="宋体"/>
          <w:color w:val="auto"/>
          <w:szCs w:val="21"/>
          <w:highlight w:val="none"/>
        </w:rPr>
        <w:t>文件制作和上传等。为避免网络拥堵等不可控因素影响</w:t>
      </w:r>
      <w:r>
        <w:rPr>
          <w:rFonts w:hint="eastAsia" w:ascii="宋体" w:hAnsi="宋体" w:cs="宋体"/>
          <w:color w:val="auto"/>
          <w:szCs w:val="21"/>
          <w:highlight w:val="none"/>
          <w:lang w:eastAsia="zh-CN"/>
        </w:rPr>
        <w:t>响应</w:t>
      </w:r>
      <w:r>
        <w:rPr>
          <w:rFonts w:hint="eastAsia" w:ascii="宋体" w:hAnsi="宋体" w:cs="宋体"/>
          <w:color w:val="auto"/>
          <w:szCs w:val="21"/>
          <w:highlight w:val="none"/>
        </w:rPr>
        <w:t>文件的上传，请提前上传</w:t>
      </w:r>
      <w:r>
        <w:rPr>
          <w:rFonts w:hint="eastAsia" w:ascii="宋体" w:hAnsi="宋体" w:cs="宋体"/>
          <w:color w:val="auto"/>
          <w:szCs w:val="21"/>
          <w:highlight w:val="none"/>
          <w:lang w:eastAsia="zh-CN"/>
        </w:rPr>
        <w:t>电子响应</w:t>
      </w:r>
      <w:r>
        <w:rPr>
          <w:rFonts w:hint="eastAsia" w:ascii="宋体" w:hAnsi="宋体" w:cs="宋体"/>
          <w:color w:val="auto"/>
          <w:szCs w:val="21"/>
          <w:highlight w:val="none"/>
        </w:rPr>
        <w:t>文件，并在开标截止时间前登录不见面开标大厅（http://122.112.246.33/BidOpening/bidopeninghallaction/hall/login ）进行签到，按要求解密</w:t>
      </w:r>
      <w:r>
        <w:rPr>
          <w:rFonts w:hint="eastAsia" w:ascii="宋体" w:hAnsi="宋体" w:cs="宋体"/>
          <w:color w:val="auto"/>
          <w:szCs w:val="21"/>
          <w:highlight w:val="none"/>
          <w:lang w:eastAsia="zh-CN"/>
        </w:rPr>
        <w:t>响应</w:t>
      </w:r>
      <w:r>
        <w:rPr>
          <w:rFonts w:hint="eastAsia" w:ascii="宋体" w:hAnsi="宋体" w:cs="宋体"/>
          <w:color w:val="auto"/>
          <w:szCs w:val="21"/>
          <w:highlight w:val="none"/>
        </w:rPr>
        <w:t>文件。因文件未及时上传导致投标失败的责任由</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自行承担，具体要求详见</w:t>
      </w:r>
      <w:r>
        <w:rPr>
          <w:rFonts w:hint="eastAsia" w:ascii="宋体" w:hAnsi="宋体" w:cs="宋体"/>
          <w:color w:val="auto"/>
          <w:szCs w:val="21"/>
          <w:highlight w:val="none"/>
          <w:lang w:eastAsia="zh-CN"/>
        </w:rPr>
        <w:t>竞争性磋商</w:t>
      </w:r>
      <w:r>
        <w:rPr>
          <w:rFonts w:hint="eastAsia" w:ascii="宋体" w:hAnsi="宋体" w:cs="宋体"/>
          <w:color w:val="auto"/>
          <w:szCs w:val="21"/>
          <w:highlight w:val="none"/>
        </w:rPr>
        <w:t>文件。 平台统一技术服务电话：400-998-0000，服务 QQ：4008503300，服务时间：周一至周日 8：00-17：30。</w:t>
      </w:r>
    </w:p>
    <w:p>
      <w:pPr>
        <w:pageBreakBefore w:val="0"/>
        <w:widowControl w:val="0"/>
        <w:kinsoku/>
        <w:wordWrap/>
        <w:overflowPunct/>
        <w:topLinePunct w:val="0"/>
        <w:autoSpaceDE/>
        <w:autoSpaceDN/>
        <w:bidi w:val="0"/>
        <w:adjustRightInd/>
        <w:snapToGrid/>
        <w:spacing w:line="400" w:lineRule="exact"/>
        <w:ind w:firstLine="420" w:firstLineChars="200"/>
        <w:jc w:val="left"/>
        <w:textAlignment w:val="auto"/>
        <w:rPr>
          <w:rFonts w:hint="eastAsia" w:ascii="宋体" w:hAnsi="宋体" w:eastAsia="宋体" w:cs="宋体"/>
          <w:color w:val="auto"/>
          <w:szCs w:val="21"/>
          <w:highlight w:val="none"/>
        </w:rPr>
      </w:pPr>
      <w:r>
        <w:rPr>
          <w:rFonts w:hint="eastAsia" w:ascii="宋体" w:hAnsi="宋体" w:cs="宋体"/>
          <w:color w:val="auto"/>
          <w:szCs w:val="21"/>
          <w:highlight w:val="none"/>
        </w:rPr>
        <w:t>加密电子</w:t>
      </w:r>
      <w:r>
        <w:rPr>
          <w:rFonts w:hint="eastAsia" w:ascii="宋体" w:hAnsi="宋体" w:cs="宋体"/>
          <w:color w:val="auto"/>
          <w:szCs w:val="21"/>
          <w:highlight w:val="none"/>
          <w:lang w:eastAsia="zh-CN"/>
        </w:rPr>
        <w:t>响应</w:t>
      </w:r>
      <w:r>
        <w:rPr>
          <w:rFonts w:hint="eastAsia" w:ascii="宋体" w:hAnsi="宋体" w:cs="宋体"/>
          <w:color w:val="auto"/>
          <w:szCs w:val="21"/>
          <w:highlight w:val="none"/>
        </w:rPr>
        <w:t>文件须在焦作市公共资源交易中心电子交易平台中加密上传，上传时必须得到电脑“上传成功”的确认回复后方为上传成功。</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无需到现场参加开标会议，无需到达现场提交原件资料。</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应当在投标截止前，登录远程开标大厅</w:t>
      </w:r>
      <w:r>
        <w:rPr>
          <w:rFonts w:hint="eastAsia" w:ascii="宋体" w:hAnsi="宋体" w:cs="宋体"/>
          <w:color w:val="auto"/>
          <w:szCs w:val="21"/>
          <w:highlight w:val="none"/>
          <w:lang w:val="en-US" w:eastAsia="zh-CN"/>
        </w:rPr>
        <w:t>进行签到，</w:t>
      </w:r>
      <w:r>
        <w:rPr>
          <w:rFonts w:hint="eastAsia" w:ascii="宋体" w:hAnsi="宋体" w:cs="宋体"/>
          <w:color w:val="auto"/>
          <w:szCs w:val="21"/>
          <w:highlight w:val="none"/>
        </w:rPr>
        <w:t>在线准时参加开标活动并进行文件解密、答疑澄清等。</w:t>
      </w:r>
      <w:r>
        <w:rPr>
          <w:rFonts w:hint="eastAsia" w:ascii="宋体" w:hAnsi="宋体" w:eastAsia="宋体" w:cs="宋体"/>
          <w:color w:val="auto"/>
          <w:szCs w:val="21"/>
          <w:highlight w:val="none"/>
          <w:lang w:val="en-US" w:eastAsia="zh-CN"/>
        </w:rPr>
        <w:t>各潜在供应商因加密电子响应性文件未能成功上传，其投标将被拒绝。供应商需在响应文件提交截止时间后 30分钟内完成解密，未在规定时间内投标文件未解密的投标人，视为放弃投标</w:t>
      </w:r>
      <w:r>
        <w:rPr>
          <w:rFonts w:hint="eastAsia" w:ascii="宋体" w:hAnsi="宋体" w:eastAsia="宋体" w:cs="宋体"/>
          <w:color w:val="auto"/>
          <w:szCs w:val="21"/>
          <w:highlight w:val="none"/>
        </w:rPr>
        <w:t>。</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本次磋商公告同时在《河南省政府采购网》、《焦作市公共资源交易中心网》、《温县公共资源交易中心网》上发布。</w:t>
      </w:r>
    </w:p>
    <w:p>
      <w:pPr>
        <w:pageBreakBefore w:val="0"/>
        <w:widowControl w:val="0"/>
        <w:kinsoku/>
        <w:wordWrap/>
        <w:overflowPunct/>
        <w:topLinePunct w:val="0"/>
        <w:autoSpaceDE/>
        <w:autoSpaceDN/>
        <w:bidi w:val="0"/>
        <w:adjustRightInd/>
        <w:snapToGrid/>
        <w:spacing w:line="400" w:lineRule="exact"/>
        <w:ind w:firstLine="422" w:firstLineChars="200"/>
        <w:textAlignment w:val="auto"/>
        <w:rPr>
          <w:rFonts w:ascii="宋体" w:hAnsi="宋体" w:cs="宋体"/>
          <w:b/>
          <w:color w:val="auto"/>
          <w:szCs w:val="21"/>
          <w:highlight w:val="none"/>
        </w:rPr>
      </w:pPr>
      <w:r>
        <w:rPr>
          <w:rFonts w:hint="eastAsia" w:ascii="宋体" w:hAnsi="宋体" w:cs="宋体"/>
          <w:b/>
          <w:color w:val="auto"/>
          <w:szCs w:val="21"/>
          <w:highlight w:val="none"/>
        </w:rPr>
        <w:t>七、对本次招标提出询问，请按以下方式联系:</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1.采购人信息：</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名    称：</w:t>
      </w:r>
      <w:r>
        <w:rPr>
          <w:rFonts w:hint="eastAsia" w:ascii="宋体" w:hAnsi="宋体" w:cs="宋体"/>
          <w:color w:val="auto"/>
          <w:szCs w:val="21"/>
          <w:highlight w:val="none"/>
          <w:lang w:eastAsia="zh-CN"/>
        </w:rPr>
        <w:t>温县司法局</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rPr>
        <w:t>地    址：</w:t>
      </w:r>
      <w:r>
        <w:rPr>
          <w:rFonts w:hint="eastAsia" w:ascii="宋体" w:hAnsi="宋体" w:cs="宋体"/>
          <w:color w:val="auto"/>
          <w:szCs w:val="21"/>
          <w:highlight w:val="none"/>
          <w:lang w:val="en-US" w:eastAsia="zh-CN"/>
        </w:rPr>
        <w:t>温县新洛路</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联 系 人：</w:t>
      </w:r>
      <w:r>
        <w:rPr>
          <w:rFonts w:hint="eastAsia" w:ascii="宋体" w:hAnsi="宋体" w:cs="宋体"/>
          <w:color w:val="auto"/>
          <w:szCs w:val="21"/>
          <w:highlight w:val="none"/>
          <w:lang w:val="en-US" w:eastAsia="zh-CN"/>
        </w:rPr>
        <w:t>都</w:t>
      </w:r>
      <w:r>
        <w:rPr>
          <w:rFonts w:hint="eastAsia" w:ascii="宋体" w:hAnsi="宋体" w:eastAsia="宋体" w:cs="宋体"/>
          <w:color w:val="auto"/>
          <w:szCs w:val="21"/>
          <w:highlight w:val="none"/>
          <w:lang w:val="en-US" w:eastAsia="zh-CN"/>
        </w:rPr>
        <w:t>先生</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联系方式：</w:t>
      </w:r>
      <w:r>
        <w:rPr>
          <w:rFonts w:hint="eastAsia" w:ascii="宋体" w:hAnsi="宋体" w:cs="宋体"/>
          <w:color w:val="auto"/>
          <w:szCs w:val="21"/>
          <w:highlight w:val="none"/>
          <w:lang w:val="en-US" w:eastAsia="zh-CN"/>
        </w:rPr>
        <w:t>18339786550</w:t>
      </w:r>
      <w:r>
        <w:rPr>
          <w:rFonts w:hint="eastAsia" w:ascii="宋体" w:hAnsi="宋体" w:cs="宋体"/>
          <w:color w:val="auto"/>
          <w:szCs w:val="21"/>
          <w:highlight w:val="none"/>
        </w:rPr>
        <w:t xml:space="preserve">   </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2.采购代理机构信息</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名    称：</w:t>
      </w:r>
      <w:r>
        <w:rPr>
          <w:rFonts w:hint="eastAsia" w:ascii="宋体" w:hAnsi="宋体" w:eastAsia="宋体" w:cs="宋体"/>
          <w:color w:val="auto"/>
          <w:szCs w:val="21"/>
          <w:highlight w:val="none"/>
          <w:lang w:eastAsia="zh-CN"/>
        </w:rPr>
        <w:t>中瑞建园工程管理有限公司</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地    址：</w:t>
      </w:r>
      <w:r>
        <w:rPr>
          <w:rFonts w:hint="eastAsia" w:ascii="宋体" w:hAnsi="宋体" w:eastAsia="宋体" w:cs="宋体"/>
          <w:color w:val="auto"/>
          <w:szCs w:val="21"/>
          <w:highlight w:val="none"/>
          <w:lang w:eastAsia="zh-CN"/>
        </w:rPr>
        <w:t>温县古温大街中段</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联  系  人：</w:t>
      </w:r>
      <w:r>
        <w:rPr>
          <w:rFonts w:hint="eastAsia" w:ascii="宋体" w:hAnsi="宋体" w:eastAsia="宋体" w:cs="宋体"/>
          <w:color w:val="auto"/>
          <w:szCs w:val="21"/>
          <w:highlight w:val="none"/>
          <w:lang w:eastAsia="zh-CN"/>
        </w:rPr>
        <w:t>刘女士</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联系方式：</w:t>
      </w:r>
      <w:r>
        <w:rPr>
          <w:rFonts w:hint="eastAsia" w:ascii="宋体" w:hAnsi="宋体" w:eastAsia="宋体" w:cs="宋体"/>
          <w:color w:val="auto"/>
          <w:szCs w:val="21"/>
          <w:highlight w:val="none"/>
          <w:lang w:eastAsia="zh-CN"/>
        </w:rPr>
        <w:t>15938187677</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3.项目联系方式</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项目联系人：</w:t>
      </w:r>
      <w:r>
        <w:rPr>
          <w:rFonts w:hint="eastAsia" w:ascii="宋体" w:hAnsi="宋体" w:cs="宋体"/>
          <w:color w:val="auto"/>
          <w:szCs w:val="21"/>
          <w:highlight w:val="none"/>
          <w:lang w:eastAsia="zh-CN"/>
        </w:rPr>
        <w:t>刘女士</w:t>
      </w:r>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rPr>
        <w:t xml:space="preserve">电   </w:t>
      </w:r>
      <w:r>
        <w:rPr>
          <w:rFonts w:hint="eastAsia" w:ascii="宋体" w:hAnsi="宋体" w:eastAsia="宋体" w:cs="宋体"/>
          <w:color w:val="auto"/>
          <w:szCs w:val="21"/>
          <w:highlight w:val="none"/>
          <w:lang w:val="en-US" w:eastAsia="zh-CN"/>
        </w:rPr>
        <w:t xml:space="preserve"> </w:t>
      </w:r>
      <w:r>
        <w:rPr>
          <w:rFonts w:hint="eastAsia" w:ascii="宋体" w:hAnsi="宋体" w:eastAsia="宋体" w:cs="宋体"/>
          <w:color w:val="auto"/>
          <w:szCs w:val="21"/>
          <w:highlight w:val="none"/>
        </w:rPr>
        <w:t>话：</w:t>
      </w:r>
      <w:r>
        <w:rPr>
          <w:rFonts w:hint="eastAsia" w:ascii="宋体" w:hAnsi="宋体" w:cs="宋体"/>
          <w:color w:val="auto"/>
          <w:szCs w:val="21"/>
          <w:highlight w:val="none"/>
          <w:lang w:eastAsia="zh-CN"/>
        </w:rPr>
        <w:t>15938187677</w:t>
      </w:r>
    </w:p>
    <w:p>
      <w:pPr>
        <w:spacing w:line="440" w:lineRule="exact"/>
        <w:ind w:firstLine="420" w:firstLineChars="200"/>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 xml:space="preserve">                                                    </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rPr>
        <w:t xml:space="preserve">         </w:t>
      </w:r>
    </w:p>
    <w:p>
      <w:pPr>
        <w:spacing w:line="440" w:lineRule="exact"/>
        <w:ind w:firstLine="420" w:firstLineChars="200"/>
        <w:rPr>
          <w:rFonts w:ascii="宋体" w:hAnsi="宋体" w:cs="宋体"/>
          <w:b/>
          <w:bCs/>
          <w:color w:val="auto"/>
          <w:szCs w:val="21"/>
          <w:highlight w:val="none"/>
        </w:rPr>
      </w:pPr>
      <w:r>
        <w:rPr>
          <w:rFonts w:hint="eastAsia" w:ascii="宋体" w:hAnsi="宋体" w:cs="宋体"/>
          <w:color w:val="auto"/>
          <w:szCs w:val="21"/>
          <w:highlight w:val="none"/>
        </w:rPr>
        <w:t xml:space="preserve">                                    2022年 </w:t>
      </w:r>
      <w:r>
        <w:rPr>
          <w:rFonts w:hint="eastAsia" w:ascii="宋体" w:hAnsi="宋体" w:cs="宋体"/>
          <w:color w:val="auto"/>
          <w:szCs w:val="21"/>
          <w:highlight w:val="none"/>
          <w:lang w:val="en-US" w:eastAsia="zh-CN"/>
        </w:rPr>
        <w:t>5</w:t>
      </w:r>
      <w:r>
        <w:rPr>
          <w:rFonts w:hint="eastAsia" w:ascii="宋体" w:hAnsi="宋体" w:cs="宋体"/>
          <w:color w:val="auto"/>
          <w:szCs w:val="21"/>
          <w:highlight w:val="none"/>
        </w:rPr>
        <w:t xml:space="preserve"> 月</w:t>
      </w:r>
      <w:r>
        <w:rPr>
          <w:rFonts w:hint="eastAsia" w:ascii="宋体" w:hAnsi="宋体" w:cs="宋体"/>
          <w:color w:val="auto"/>
          <w:szCs w:val="21"/>
          <w:highlight w:val="none"/>
          <w:lang w:val="en-US" w:eastAsia="zh-CN"/>
        </w:rPr>
        <w:t>31</w:t>
      </w:r>
      <w:r>
        <w:rPr>
          <w:rFonts w:hint="eastAsia" w:ascii="宋体" w:hAnsi="宋体" w:cs="宋体"/>
          <w:color w:val="auto"/>
          <w:szCs w:val="21"/>
          <w:highlight w:val="none"/>
        </w:rPr>
        <w:t xml:space="preserve"> 日</w:t>
      </w:r>
    </w:p>
    <w:p>
      <w:pPr>
        <w:pStyle w:val="6"/>
        <w:rPr>
          <w:rFonts w:ascii="宋体" w:hAnsi="宋体" w:cs="宋体"/>
          <w:color w:val="auto"/>
          <w:szCs w:val="21"/>
          <w:highlight w:val="none"/>
        </w:rPr>
      </w:pPr>
    </w:p>
    <w:p>
      <w:pPr>
        <w:rPr>
          <w:color w:val="auto"/>
          <w:highlight w:val="none"/>
        </w:rPr>
      </w:pPr>
    </w:p>
    <w:p>
      <w:pPr>
        <w:rPr>
          <w:rFonts w:ascii="宋体" w:hAnsi="宋体" w:cs="宋体"/>
          <w:color w:val="auto"/>
          <w:szCs w:val="21"/>
          <w:highlight w:val="none"/>
        </w:rPr>
      </w:pPr>
    </w:p>
    <w:p>
      <w:pPr>
        <w:pStyle w:val="6"/>
        <w:rPr>
          <w:color w:val="auto"/>
          <w:highlight w:val="none"/>
        </w:rPr>
      </w:pPr>
    </w:p>
    <w:p>
      <w:pPr>
        <w:pStyle w:val="30"/>
        <w:rPr>
          <w:color w:val="auto"/>
          <w:highlight w:val="none"/>
        </w:rPr>
      </w:pPr>
    </w:p>
    <w:p>
      <w:pPr>
        <w:pStyle w:val="29"/>
        <w:rPr>
          <w:color w:val="auto"/>
          <w:highlight w:val="none"/>
        </w:rPr>
      </w:pPr>
    </w:p>
    <w:p>
      <w:pPr>
        <w:pStyle w:val="17"/>
        <w:spacing w:line="400" w:lineRule="exact"/>
        <w:outlineLvl w:val="0"/>
        <w:rPr>
          <w:rFonts w:ascii="宋体" w:cs="宋体"/>
          <w:color w:val="auto"/>
          <w:highlight w:val="none"/>
        </w:rPr>
      </w:pPr>
      <w:bookmarkStart w:id="1" w:name="_Toc5975"/>
      <w:r>
        <w:rPr>
          <w:rFonts w:hint="eastAsia" w:ascii="宋体" w:hAnsi="宋体" w:cs="宋体"/>
          <w:color w:val="auto"/>
          <w:highlight w:val="none"/>
        </w:rPr>
        <w:t>第二章</w:t>
      </w:r>
      <w:r>
        <w:rPr>
          <w:rFonts w:ascii="宋体" w:hAnsi="宋体" w:cs="宋体"/>
          <w:color w:val="auto"/>
          <w:highlight w:val="none"/>
        </w:rPr>
        <w:t xml:space="preserve"> </w:t>
      </w:r>
      <w:bookmarkStart w:id="2" w:name="_Toc152042304"/>
      <w:bookmarkStart w:id="3" w:name="_Toc144974496"/>
      <w:bookmarkStart w:id="4" w:name="_Toc5221"/>
      <w:bookmarkStart w:id="5" w:name="_Toc421284738"/>
      <w:bookmarkStart w:id="6" w:name="_Toc247513951"/>
      <w:bookmarkStart w:id="7" w:name="_Toc152045528"/>
      <w:bookmarkStart w:id="8" w:name="_Toc247527552"/>
      <w:r>
        <w:rPr>
          <w:rFonts w:hint="eastAsia" w:ascii="宋体" w:hAnsi="宋体" w:cs="宋体"/>
          <w:color w:val="auto"/>
          <w:highlight w:val="none"/>
        </w:rPr>
        <w:t>供应商须知前附表</w:t>
      </w:r>
      <w:bookmarkEnd w:id="1"/>
      <w:bookmarkEnd w:id="2"/>
      <w:bookmarkEnd w:id="3"/>
      <w:bookmarkEnd w:id="4"/>
      <w:bookmarkEnd w:id="5"/>
      <w:bookmarkEnd w:id="6"/>
      <w:bookmarkEnd w:id="7"/>
      <w:bookmarkEnd w:id="8"/>
    </w:p>
    <w:tbl>
      <w:tblPr>
        <w:tblStyle w:val="25"/>
        <w:tblW w:w="9744" w:type="dxa"/>
        <w:jc w:val="center"/>
        <w:tblLayout w:type="fixed"/>
        <w:tblCellMar>
          <w:top w:w="0" w:type="dxa"/>
          <w:left w:w="108" w:type="dxa"/>
          <w:bottom w:w="0" w:type="dxa"/>
          <w:right w:w="108" w:type="dxa"/>
        </w:tblCellMar>
      </w:tblPr>
      <w:tblGrid>
        <w:gridCol w:w="853"/>
        <w:gridCol w:w="2137"/>
        <w:gridCol w:w="6754"/>
      </w:tblGrid>
      <w:tr>
        <w:tblPrEx>
          <w:tblCellMar>
            <w:top w:w="0" w:type="dxa"/>
            <w:left w:w="108" w:type="dxa"/>
            <w:bottom w:w="0" w:type="dxa"/>
            <w:right w:w="108" w:type="dxa"/>
          </w:tblCellMar>
        </w:tblPrEx>
        <w:trPr>
          <w:trHeight w:val="334"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color w:val="auto"/>
                <w:szCs w:val="21"/>
                <w:highlight w:val="none"/>
              </w:rPr>
            </w:pPr>
            <w:r>
              <w:rPr>
                <w:rFonts w:hint="eastAsia" w:ascii="宋体" w:hAnsi="宋体" w:cs="宋体"/>
                <w:b/>
                <w:color w:val="auto"/>
                <w:szCs w:val="21"/>
                <w:highlight w:val="none"/>
              </w:rPr>
              <w:t>条款号</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color w:val="auto"/>
                <w:szCs w:val="21"/>
                <w:highlight w:val="none"/>
              </w:rPr>
            </w:pPr>
            <w:r>
              <w:rPr>
                <w:rFonts w:hint="eastAsia" w:ascii="宋体" w:hAnsi="宋体" w:cs="宋体"/>
                <w:b/>
                <w:color w:val="auto"/>
                <w:szCs w:val="21"/>
                <w:highlight w:val="none"/>
              </w:rPr>
              <w:t>条  款  名  称</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b/>
                <w:color w:val="auto"/>
                <w:szCs w:val="21"/>
                <w:highlight w:val="none"/>
              </w:rPr>
            </w:pPr>
            <w:r>
              <w:rPr>
                <w:rFonts w:hint="eastAsia" w:ascii="宋体" w:hAnsi="宋体" w:cs="宋体"/>
                <w:b/>
                <w:color w:val="auto"/>
                <w:szCs w:val="21"/>
                <w:highlight w:val="none"/>
              </w:rPr>
              <w:t>编  列  内  容</w:t>
            </w:r>
          </w:p>
        </w:tc>
      </w:tr>
      <w:tr>
        <w:tblPrEx>
          <w:tblCellMar>
            <w:top w:w="0" w:type="dxa"/>
            <w:left w:w="108" w:type="dxa"/>
            <w:bottom w:w="0" w:type="dxa"/>
            <w:right w:w="108" w:type="dxa"/>
          </w:tblCellMar>
        </w:tblPrEx>
        <w:trPr>
          <w:trHeight w:val="1575"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1.1.2</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采购人</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名    称：</w:t>
            </w:r>
            <w:r>
              <w:rPr>
                <w:rFonts w:hint="eastAsia" w:ascii="宋体" w:hAnsi="宋体" w:cs="宋体"/>
                <w:color w:val="auto"/>
                <w:szCs w:val="21"/>
                <w:highlight w:val="none"/>
                <w:lang w:eastAsia="zh-CN"/>
              </w:rPr>
              <w:t>温县司法局</w:t>
            </w:r>
            <w:r>
              <w:rPr>
                <w:rFonts w:hint="eastAsia" w:ascii="宋体" w:hAnsi="宋体" w:cs="宋体"/>
                <w:color w:val="auto"/>
                <w:szCs w:val="21"/>
                <w:highlight w:val="none"/>
              </w:rPr>
              <w:t xml:space="preserve"> </w:t>
            </w:r>
          </w:p>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地    址：</w:t>
            </w:r>
            <w:r>
              <w:rPr>
                <w:rFonts w:hint="eastAsia" w:ascii="宋体" w:hAnsi="宋体" w:cs="宋体"/>
                <w:color w:val="auto"/>
                <w:szCs w:val="21"/>
                <w:highlight w:val="none"/>
                <w:lang w:val="en-US" w:eastAsia="zh-CN"/>
              </w:rPr>
              <w:t>温县新洛路</w:t>
            </w:r>
          </w:p>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联 系 人：</w:t>
            </w:r>
            <w:r>
              <w:rPr>
                <w:rFonts w:hint="eastAsia" w:ascii="宋体" w:hAnsi="宋体" w:cs="宋体"/>
                <w:color w:val="auto"/>
                <w:szCs w:val="21"/>
                <w:highlight w:val="none"/>
                <w:lang w:val="en-US" w:eastAsia="zh-CN"/>
              </w:rPr>
              <w:t>都</w:t>
            </w:r>
            <w:r>
              <w:rPr>
                <w:rFonts w:hint="eastAsia" w:ascii="宋体" w:hAnsi="宋体" w:cs="宋体"/>
                <w:color w:val="auto"/>
                <w:szCs w:val="21"/>
                <w:highlight w:val="none"/>
                <w:lang w:eastAsia="zh-CN"/>
              </w:rPr>
              <w:t>先生</w:t>
            </w:r>
          </w:p>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联 系 方 式：</w:t>
            </w:r>
            <w:r>
              <w:rPr>
                <w:rFonts w:hint="eastAsia" w:ascii="宋体" w:hAnsi="宋体" w:cs="宋体"/>
                <w:color w:val="auto"/>
                <w:szCs w:val="21"/>
                <w:highlight w:val="none"/>
                <w:lang w:val="en-US" w:eastAsia="zh-CN"/>
              </w:rPr>
              <w:t>18339786550</w:t>
            </w:r>
            <w:r>
              <w:rPr>
                <w:rFonts w:hint="eastAsia" w:ascii="宋体" w:hAnsi="宋体" w:cs="宋体"/>
                <w:color w:val="auto"/>
                <w:szCs w:val="21"/>
                <w:highlight w:val="none"/>
              </w:rPr>
              <w:t xml:space="preserve">   </w:t>
            </w:r>
          </w:p>
        </w:tc>
      </w:tr>
      <w:tr>
        <w:tblPrEx>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1.1.3</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采购代理机构</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cs="宋体"/>
                <w:color w:val="auto"/>
                <w:szCs w:val="21"/>
                <w:highlight w:val="none"/>
              </w:rPr>
            </w:pPr>
            <w:r>
              <w:rPr>
                <w:rFonts w:hint="eastAsia" w:ascii="宋体" w:hAnsi="宋体" w:cs="宋体"/>
                <w:color w:val="auto"/>
                <w:szCs w:val="21"/>
                <w:highlight w:val="none"/>
              </w:rPr>
              <w:t>名    称：</w:t>
            </w:r>
            <w:r>
              <w:rPr>
                <w:rFonts w:hint="eastAsia" w:ascii="宋体" w:hAnsi="宋体" w:cs="Times New Roman"/>
                <w:color w:val="auto"/>
                <w:szCs w:val="21"/>
                <w:highlight w:val="none"/>
                <w:lang w:val="en-US" w:eastAsia="zh-CN"/>
              </w:rPr>
              <w:t>中瑞建园工程管理有限公司</w:t>
            </w:r>
          </w:p>
          <w:p>
            <w:pPr>
              <w:spacing w:line="400" w:lineRule="exact"/>
              <w:jc w:val="left"/>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地    址：</w:t>
            </w:r>
            <w:r>
              <w:rPr>
                <w:rFonts w:hint="eastAsia" w:ascii="宋体" w:hAnsi="宋体" w:cs="宋体"/>
                <w:color w:val="auto"/>
                <w:szCs w:val="21"/>
                <w:highlight w:val="none"/>
                <w:lang w:eastAsia="zh-CN"/>
              </w:rPr>
              <w:t>温县古温大街中段</w:t>
            </w:r>
          </w:p>
          <w:p>
            <w:pPr>
              <w:spacing w:line="400" w:lineRule="exact"/>
              <w:jc w:val="left"/>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联 系 人：</w:t>
            </w:r>
            <w:r>
              <w:rPr>
                <w:rFonts w:hint="eastAsia" w:ascii="宋体" w:hAnsi="宋体" w:cs="宋体"/>
                <w:color w:val="auto"/>
                <w:szCs w:val="21"/>
                <w:highlight w:val="none"/>
                <w:lang w:eastAsia="zh-CN"/>
              </w:rPr>
              <w:t>刘女士</w:t>
            </w:r>
          </w:p>
          <w:p>
            <w:pPr>
              <w:spacing w:line="400" w:lineRule="exact"/>
              <w:jc w:val="left"/>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联 系 方 式：</w:t>
            </w:r>
            <w:r>
              <w:rPr>
                <w:rFonts w:hint="eastAsia" w:ascii="宋体" w:hAnsi="宋体" w:cs="宋体"/>
                <w:color w:val="auto"/>
                <w:szCs w:val="21"/>
                <w:highlight w:val="none"/>
                <w:lang w:eastAsia="zh-CN"/>
              </w:rPr>
              <w:t>15938187677</w:t>
            </w:r>
          </w:p>
        </w:tc>
      </w:tr>
      <w:tr>
        <w:tblPrEx>
          <w:tblCellMar>
            <w:top w:w="0" w:type="dxa"/>
            <w:left w:w="108" w:type="dxa"/>
            <w:bottom w:w="0" w:type="dxa"/>
            <w:right w:w="108" w:type="dxa"/>
          </w:tblCellMar>
        </w:tblPrEx>
        <w:trPr>
          <w:trHeight w:val="537" w:hRule="exact"/>
          <w:jc w:val="center"/>
        </w:trPr>
        <w:tc>
          <w:tcPr>
            <w:tcW w:w="853"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1.1.4</w:t>
            </w:r>
          </w:p>
        </w:tc>
        <w:tc>
          <w:tcPr>
            <w:tcW w:w="2137"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项目名称及项目编号</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highlight w:val="none"/>
              </w:rPr>
            </w:pPr>
            <w:r>
              <w:rPr>
                <w:rFonts w:hint="eastAsia" w:ascii="宋体" w:hAnsi="宋体" w:cs="宋体"/>
                <w:color w:val="auto"/>
                <w:szCs w:val="21"/>
                <w:highlight w:val="none"/>
                <w:lang w:val="en-US" w:eastAsia="zh-CN"/>
              </w:rPr>
              <w:t>温县司法局创建国家级智慧矫正中心采购项目</w:t>
            </w:r>
          </w:p>
        </w:tc>
      </w:tr>
      <w:tr>
        <w:tblPrEx>
          <w:tblCellMar>
            <w:top w:w="0" w:type="dxa"/>
            <w:left w:w="108" w:type="dxa"/>
            <w:bottom w:w="0" w:type="dxa"/>
            <w:right w:w="108" w:type="dxa"/>
          </w:tblCellMar>
        </w:tblPrEx>
        <w:trPr>
          <w:trHeight w:val="703" w:hRule="exact"/>
          <w:jc w:val="center"/>
        </w:trPr>
        <w:tc>
          <w:tcPr>
            <w:tcW w:w="853"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p>
        </w:tc>
        <w:tc>
          <w:tcPr>
            <w:tcW w:w="2137"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Cs w:val="21"/>
                <w:highlight w:val="none"/>
              </w:rPr>
            </w:pP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项目编号：温交易【202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62</w:t>
            </w:r>
            <w:r>
              <w:rPr>
                <w:rFonts w:hint="eastAsia" w:ascii="宋体" w:hAnsi="宋体" w:cs="宋体"/>
                <w:color w:val="auto"/>
                <w:szCs w:val="21"/>
                <w:highlight w:val="none"/>
              </w:rPr>
              <w:t>号  采购编号：温政采【202</w:t>
            </w:r>
            <w:r>
              <w:rPr>
                <w:rFonts w:hint="eastAsia" w:ascii="宋体" w:hAnsi="宋体" w:cs="宋体"/>
                <w:color w:val="auto"/>
                <w:szCs w:val="21"/>
                <w:highlight w:val="none"/>
                <w:lang w:val="en-US" w:eastAsia="zh-CN"/>
              </w:rPr>
              <w:t>2</w:t>
            </w:r>
            <w:r>
              <w:rPr>
                <w:rFonts w:hint="eastAsia" w:ascii="宋体" w:hAnsi="宋体" w:cs="宋体"/>
                <w:color w:val="auto"/>
                <w:szCs w:val="21"/>
                <w:highlight w:val="none"/>
              </w:rPr>
              <w:t>】</w:t>
            </w:r>
            <w:r>
              <w:rPr>
                <w:rFonts w:hint="eastAsia" w:ascii="宋体" w:hAnsi="宋体" w:cs="宋体"/>
                <w:color w:val="auto"/>
                <w:szCs w:val="21"/>
                <w:highlight w:val="none"/>
                <w:lang w:val="en-US" w:eastAsia="zh-CN"/>
              </w:rPr>
              <w:t>65</w:t>
            </w:r>
            <w:r>
              <w:rPr>
                <w:rFonts w:hint="eastAsia" w:ascii="宋体" w:hAnsi="宋体" w:cs="宋体"/>
                <w:color w:val="auto"/>
                <w:szCs w:val="21"/>
                <w:highlight w:val="none"/>
              </w:rPr>
              <w:t>号</w:t>
            </w:r>
          </w:p>
        </w:tc>
      </w:tr>
      <w:tr>
        <w:tblPrEx>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1.2.1</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预算金额</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highlight w:val="none"/>
              </w:rPr>
            </w:pPr>
            <w:r>
              <w:rPr>
                <w:rFonts w:hint="default" w:ascii="宋体" w:hAnsi="宋体" w:cs="宋体"/>
                <w:color w:val="auto"/>
                <w:szCs w:val="21"/>
                <w:highlight w:val="none"/>
                <w:lang w:val="en-US" w:eastAsia="zh-CN"/>
              </w:rPr>
              <w:t>913920元</w:t>
            </w:r>
          </w:p>
        </w:tc>
      </w:tr>
      <w:tr>
        <w:tblPrEx>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1.2.2</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资金来源</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highlight w:val="none"/>
              </w:rPr>
            </w:pPr>
            <w:r>
              <w:rPr>
                <w:rFonts w:hint="eastAsia" w:ascii="宋体" w:hAnsi="宋体" w:cs="宋体"/>
                <w:color w:val="auto"/>
                <w:szCs w:val="21"/>
                <w:highlight w:val="none"/>
                <w:lang w:val="en-US" w:eastAsia="zh-CN"/>
              </w:rPr>
              <w:t>上级资金及县财政资金</w:t>
            </w:r>
          </w:p>
        </w:tc>
      </w:tr>
      <w:tr>
        <w:tblPrEx>
          <w:tblCellMar>
            <w:top w:w="0" w:type="dxa"/>
            <w:left w:w="108" w:type="dxa"/>
            <w:bottom w:w="0" w:type="dxa"/>
            <w:right w:w="108" w:type="dxa"/>
          </w:tblCellMar>
        </w:tblPrEx>
        <w:trPr>
          <w:trHeight w:val="669"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1.3.1</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采购（服务）范围</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highlight w:val="none"/>
              </w:rPr>
            </w:pPr>
            <w:r>
              <w:rPr>
                <w:rFonts w:hint="eastAsia" w:ascii="宋体" w:hAnsi="宋体" w:cs="宋体"/>
                <w:color w:val="auto"/>
                <w:szCs w:val="21"/>
                <w:highlight w:val="none"/>
                <w:lang w:val="en-US" w:eastAsia="zh-CN"/>
              </w:rPr>
              <w:t>采购创建国家级智慧矫正中心装备一批</w:t>
            </w:r>
            <w:r>
              <w:rPr>
                <w:rFonts w:hint="eastAsia" w:ascii="宋体" w:hAnsi="宋体" w:cs="宋体"/>
                <w:color w:val="auto"/>
                <w:szCs w:val="21"/>
                <w:highlight w:val="none"/>
              </w:rPr>
              <w:t>(具体内容详见竞争性磋商</w:t>
            </w:r>
            <w:r>
              <w:rPr>
                <w:rFonts w:hint="eastAsia" w:ascii="宋体" w:hAnsi="宋体" w:cs="宋体"/>
                <w:color w:val="auto"/>
                <w:szCs w:val="21"/>
                <w:highlight w:val="none"/>
                <w:lang w:val="en-US" w:eastAsia="zh-CN"/>
              </w:rPr>
              <w:t>文件</w:t>
            </w:r>
            <w:r>
              <w:rPr>
                <w:rFonts w:hint="eastAsia" w:ascii="宋体" w:hAnsi="宋体" w:cs="宋体"/>
                <w:color w:val="auto"/>
                <w:szCs w:val="21"/>
                <w:highlight w:val="none"/>
              </w:rPr>
              <w:t>)</w:t>
            </w:r>
          </w:p>
        </w:tc>
      </w:tr>
      <w:tr>
        <w:tblPrEx>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1.3.2</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合同履行期限</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default" w:ascii="宋体" w:hAnsi="宋体" w:cs="宋体"/>
                <w:color w:val="auto"/>
                <w:szCs w:val="21"/>
                <w:highlight w:val="none"/>
                <w:lang w:val="en-US"/>
              </w:rPr>
            </w:pPr>
            <w:r>
              <w:rPr>
                <w:rFonts w:hint="eastAsia" w:ascii="宋体" w:hAnsi="宋体" w:cs="宋体"/>
                <w:color w:val="auto"/>
                <w:szCs w:val="21"/>
                <w:highlight w:val="none"/>
                <w:lang w:val="en-US" w:eastAsia="zh-CN"/>
              </w:rPr>
              <w:t>30日历天</w:t>
            </w:r>
          </w:p>
        </w:tc>
      </w:tr>
      <w:tr>
        <w:tblPrEx>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1.3.4</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供应商资格条件</w:t>
            </w:r>
          </w:p>
        </w:tc>
        <w:tc>
          <w:tcPr>
            <w:tcW w:w="6754" w:type="dxa"/>
            <w:tcBorders>
              <w:top w:val="single" w:color="auto" w:sz="4" w:space="0"/>
              <w:left w:val="single" w:color="auto" w:sz="4" w:space="0"/>
              <w:bottom w:val="single" w:color="auto" w:sz="4" w:space="0"/>
              <w:right w:val="single" w:color="auto" w:sz="4" w:space="0"/>
            </w:tcBorders>
          </w:tcPr>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资格条件：</w:t>
            </w:r>
          </w:p>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1、符合《政府采购法》第二十二条规定的条件：</w:t>
            </w:r>
          </w:p>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（1）具有独立承担民事责任的能力；</w:t>
            </w:r>
          </w:p>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（2）具有良好的商业信誉和健全的财务会计制度；</w:t>
            </w:r>
          </w:p>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（3）具有履行合同所必需的设备和专业技术能力；</w:t>
            </w:r>
          </w:p>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（4）有依法缴纳税收和社会保障资金的良好记录；</w:t>
            </w:r>
          </w:p>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（5）参加政府采购活动前三年内，在经营活动中没有重大违法记录；</w:t>
            </w:r>
          </w:p>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（6）法律、行政法规规定的其他条件。</w:t>
            </w:r>
          </w:p>
          <w:p>
            <w:pPr>
              <w:pStyle w:val="8"/>
              <w:bidi w:val="0"/>
              <w:rPr>
                <w:b/>
                <w:bCs/>
                <w:color w:val="auto"/>
                <w:highlight w:val="none"/>
              </w:rPr>
            </w:pPr>
            <w:r>
              <w:rPr>
                <w:rFonts w:hint="eastAsia"/>
                <w:b/>
                <w:bCs/>
                <w:color w:val="auto"/>
                <w:highlight w:val="none"/>
              </w:rPr>
              <w:t>备注：供应商在投标（响应）时，按照规定提供相关信用承诺函，无需再提交1</w:t>
            </w:r>
            <w:r>
              <w:rPr>
                <w:b/>
                <w:bCs/>
                <w:color w:val="auto"/>
                <w:highlight w:val="none"/>
              </w:rPr>
              <w:t>.1-1.5</w:t>
            </w:r>
            <w:r>
              <w:rPr>
                <w:rFonts w:hint="eastAsia"/>
                <w:b/>
                <w:bCs/>
                <w:color w:val="auto"/>
                <w:highlight w:val="none"/>
              </w:rPr>
              <w:t>证明材料。</w:t>
            </w:r>
          </w:p>
          <w:p>
            <w:pPr>
              <w:jc w:val="left"/>
              <w:textAlignment w:val="baseline"/>
              <w:rPr>
                <w:color w:val="auto"/>
                <w:sz w:val="20"/>
                <w:szCs w:val="21"/>
                <w:highlight w:val="none"/>
              </w:rPr>
            </w:pPr>
            <w:r>
              <w:rPr>
                <w:rFonts w:hint="eastAsia"/>
                <w:color w:val="auto"/>
                <w:szCs w:val="21"/>
                <w:highlight w:val="none"/>
              </w:rPr>
              <w:t>2.落实政府采购政策需满足的资格要求：本项目执行促进中小企业发展政策（监狱企业、残疾人福利性企业视同小微企业）等政府采购政策；</w:t>
            </w:r>
          </w:p>
          <w:p>
            <w:pPr>
              <w:spacing w:line="360" w:lineRule="auto"/>
              <w:jc w:val="left"/>
              <w:rPr>
                <w:rFonts w:ascii="宋体" w:hAnsi="宋体" w:cs="宋体"/>
                <w:color w:val="auto"/>
                <w:szCs w:val="21"/>
                <w:highlight w:val="none"/>
              </w:rPr>
            </w:pPr>
            <w:r>
              <w:rPr>
                <w:rFonts w:hint="eastAsia" w:ascii="宋体" w:hAnsi="宋体" w:eastAsia="宋体" w:cs="宋体"/>
                <w:color w:val="auto"/>
                <w:szCs w:val="21"/>
                <w:highlight w:val="none"/>
              </w:rPr>
              <w:t>3、本项目的特定资格要求：</w:t>
            </w:r>
          </w:p>
          <w:p>
            <w:pPr>
              <w:spacing w:line="360" w:lineRule="auto"/>
              <w:jc w:val="left"/>
              <w:rPr>
                <w:rFonts w:ascii="宋体" w:hAnsi="宋体" w:cs="宋体"/>
                <w:color w:val="auto"/>
                <w:szCs w:val="21"/>
                <w:highlight w:val="none"/>
              </w:rPr>
            </w:pPr>
            <w:r>
              <w:rPr>
                <w:rFonts w:hint="eastAsia" w:ascii="宋体" w:hAnsi="宋体" w:cs="宋体"/>
                <w:color w:val="auto"/>
                <w:szCs w:val="21"/>
                <w:highlight w:val="none"/>
              </w:rPr>
              <w:t>3.1、</w:t>
            </w:r>
            <w:r>
              <w:rPr>
                <w:rFonts w:hint="eastAsia" w:ascii="宋体" w:hAnsi="宋体" w:cs="宋体"/>
                <w:b/>
                <w:bCs/>
                <w:color w:val="auto"/>
                <w:szCs w:val="21"/>
                <w:highlight w:val="none"/>
                <w:lang w:eastAsia="zh-CN"/>
              </w:rPr>
              <w:t>供应商应具有经营范围符合本项目要求且有效的营业执照等；并在人员、设备、资金等方面具有相应的施工及服务能力；</w:t>
            </w:r>
          </w:p>
          <w:p>
            <w:pPr>
              <w:spacing w:line="400" w:lineRule="exact"/>
              <w:jc w:val="left"/>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3.3供应商须提交具备中国人民银行征信业务备案资质的第三方信用服务机构出具的有效期内信用报告（未注明有效期的，自信用报告出具之日起有效期不得超过1年），且信用等级达到A级及以上，并附开标前7天内电子信用报告查询截图（与纸质版信用报告内容一致）。同时提供出具该信用报告的第三方信用服务机构在中国人民银行备案的证明材料。开标后采购人和代理机构在通过“信用中国”网站、中国政府采购网等渠道查询投标单位信用记录的基础上，负责查验第三方出具的信用报告，如未提交报告或报告弄虚作假的，一律取消投标资格。</w:t>
            </w:r>
          </w:p>
          <w:p>
            <w:pPr>
              <w:spacing w:line="400" w:lineRule="exact"/>
              <w:jc w:val="left"/>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信用报告出具方式：http://www.creditwx.gov.cn/cms/news/index/595547990899294208</w:t>
            </w:r>
          </w:p>
          <w:p>
            <w:pPr>
              <w:spacing w:line="400" w:lineRule="exact"/>
              <w:jc w:val="left"/>
              <w:rPr>
                <w:rFonts w:hint="eastAsia" w:ascii="宋体" w:hAnsi="宋体" w:cs="宋体"/>
                <w:color w:val="auto"/>
                <w:szCs w:val="21"/>
                <w:highlight w:val="none"/>
                <w:lang w:val="en-US" w:eastAsia="zh-CN"/>
              </w:rPr>
            </w:pPr>
            <w:r>
              <w:rPr>
                <w:rFonts w:hint="eastAsia" w:ascii="宋体" w:hAnsi="宋体" w:cs="宋体"/>
                <w:color w:val="auto"/>
                <w:szCs w:val="21"/>
                <w:highlight w:val="none"/>
                <w:lang w:val="en-US" w:eastAsia="zh-CN"/>
              </w:rPr>
              <w:t>3.4投标人必须提供无行贿犯罪记录承诺书，(出具由“中国裁判文书网”网站查询近三年来法人、法定代表人、法定代表人委托人无行贿犯罪记录网页截图)；若有行贿犯罪记录则取消其投标资格；</w:t>
            </w:r>
          </w:p>
          <w:p>
            <w:pPr>
              <w:spacing w:line="400" w:lineRule="exact"/>
              <w:jc w:val="left"/>
              <w:rPr>
                <w:rFonts w:hint="eastAsia" w:ascii="宋体" w:hAnsi="宋体" w:cs="宋体"/>
                <w:color w:val="auto"/>
                <w:szCs w:val="21"/>
                <w:highlight w:val="none"/>
              </w:rPr>
            </w:pPr>
            <w:r>
              <w:rPr>
                <w:rFonts w:hint="eastAsia" w:ascii="宋体" w:hAnsi="宋体" w:cs="宋体"/>
                <w:color w:val="auto"/>
                <w:szCs w:val="21"/>
                <w:highlight w:val="none"/>
                <w:lang w:val="en-US" w:eastAsia="zh-CN"/>
              </w:rPr>
              <w:t>3.5 投标单位必须提供投标承诺函。</w:t>
            </w:r>
          </w:p>
          <w:p>
            <w:pPr>
              <w:spacing w:line="400" w:lineRule="exact"/>
              <w:jc w:val="left"/>
              <w:rPr>
                <w:rFonts w:hint="eastAsia" w:ascii="宋体" w:hAnsi="宋体" w:cs="宋体"/>
                <w:color w:val="auto"/>
                <w:szCs w:val="21"/>
                <w:highlight w:val="none"/>
              </w:rPr>
            </w:pPr>
            <w:r>
              <w:rPr>
                <w:rFonts w:hint="eastAsia" w:ascii="宋体" w:hAnsi="宋体" w:cs="宋体"/>
                <w:color w:val="auto"/>
                <w:szCs w:val="21"/>
                <w:highlight w:val="none"/>
              </w:rPr>
              <w:t>4、本项目不接受联合体投标。</w:t>
            </w:r>
          </w:p>
          <w:p>
            <w:pPr>
              <w:spacing w:line="400" w:lineRule="exact"/>
              <w:jc w:val="left"/>
              <w:rPr>
                <w:rFonts w:ascii="宋体" w:hAnsi="宋体" w:cs="宋体"/>
                <w:color w:val="auto"/>
                <w:szCs w:val="21"/>
                <w:highlight w:val="none"/>
              </w:rPr>
            </w:pPr>
            <w:r>
              <w:rPr>
                <w:rFonts w:hint="eastAsia" w:ascii="宋体" w:hAnsi="宋体" w:eastAsia="宋体" w:cs="宋体"/>
                <w:b/>
                <w:color w:val="auto"/>
                <w:szCs w:val="21"/>
                <w:highlight w:val="none"/>
              </w:rPr>
              <w:t>备注：</w:t>
            </w:r>
            <w:r>
              <w:rPr>
                <w:rFonts w:hint="eastAsia" w:ascii="宋体" w:hAnsi="宋体" w:eastAsia="宋体" w:cs="宋体"/>
                <w:b/>
                <w:bCs/>
                <w:color w:val="auto"/>
                <w:szCs w:val="21"/>
                <w:highlight w:val="none"/>
              </w:rPr>
              <w:t>由于本项目为不见面开标，</w:t>
            </w:r>
            <w:r>
              <w:rPr>
                <w:rFonts w:hint="eastAsia" w:ascii="宋体" w:hAnsi="宋体" w:eastAsia="宋体" w:cs="宋体"/>
                <w:b/>
                <w:bCs/>
                <w:color w:val="auto"/>
                <w:szCs w:val="21"/>
                <w:highlight w:val="none"/>
                <w:lang w:eastAsia="zh-CN"/>
              </w:rPr>
              <w:t>供应商</w:t>
            </w:r>
            <w:r>
              <w:rPr>
                <w:rFonts w:hint="eastAsia" w:ascii="宋体" w:hAnsi="宋体" w:eastAsia="宋体" w:cs="宋体"/>
                <w:b/>
                <w:bCs/>
                <w:color w:val="auto"/>
                <w:szCs w:val="21"/>
                <w:highlight w:val="none"/>
              </w:rPr>
              <w:t>无需到开标现场参与投标签到，无需递交任何纸质资料或证明，无需交纳原件（</w:t>
            </w:r>
            <w:r>
              <w:rPr>
                <w:rFonts w:hint="eastAsia" w:ascii="宋体" w:hAnsi="宋体" w:eastAsia="宋体" w:cs="宋体"/>
                <w:b/>
                <w:bCs/>
                <w:color w:val="auto"/>
                <w:szCs w:val="21"/>
                <w:highlight w:val="none"/>
                <w:lang w:eastAsia="zh-CN"/>
              </w:rPr>
              <w:t>响应</w:t>
            </w:r>
            <w:r>
              <w:rPr>
                <w:rFonts w:hint="eastAsia" w:ascii="宋体" w:hAnsi="宋体" w:eastAsia="宋体" w:cs="宋体"/>
                <w:b/>
                <w:bCs/>
                <w:color w:val="auto"/>
                <w:szCs w:val="21"/>
                <w:highlight w:val="none"/>
              </w:rPr>
              <w:t>文件中应附清晰的复印件或扫描件，由于模糊不清导致评标委员会无法辨别的，后果由</w:t>
            </w:r>
            <w:r>
              <w:rPr>
                <w:rFonts w:hint="eastAsia" w:ascii="宋体" w:hAnsi="宋体" w:eastAsia="宋体" w:cs="宋体"/>
                <w:b/>
                <w:bCs/>
                <w:color w:val="auto"/>
                <w:szCs w:val="21"/>
                <w:highlight w:val="none"/>
                <w:lang w:eastAsia="zh-CN"/>
              </w:rPr>
              <w:t>供应商</w:t>
            </w:r>
            <w:r>
              <w:rPr>
                <w:rFonts w:hint="eastAsia" w:ascii="宋体" w:hAnsi="宋体" w:eastAsia="宋体" w:cs="宋体"/>
                <w:b/>
                <w:bCs/>
                <w:color w:val="auto"/>
                <w:szCs w:val="21"/>
                <w:highlight w:val="none"/>
              </w:rPr>
              <w:t>自行承担）。</w:t>
            </w:r>
          </w:p>
        </w:tc>
      </w:tr>
      <w:tr>
        <w:tblPrEx>
          <w:tblCellMar>
            <w:top w:w="0" w:type="dxa"/>
            <w:left w:w="108" w:type="dxa"/>
            <w:bottom w:w="0" w:type="dxa"/>
            <w:right w:w="108" w:type="dxa"/>
          </w:tblCellMar>
        </w:tblPrEx>
        <w:trPr>
          <w:trHeight w:val="742"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1.7.2</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采购人书面澄清的时间</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递交响应文件截止之日</w:t>
            </w:r>
            <w:r>
              <w:rPr>
                <w:rFonts w:hint="eastAsia" w:ascii="宋体" w:hAnsi="宋体" w:cs="宋体"/>
                <w:color w:val="auto"/>
                <w:szCs w:val="21"/>
                <w:highlight w:val="none"/>
                <w:u w:val="single"/>
              </w:rPr>
              <w:t>5</w:t>
            </w:r>
            <w:r>
              <w:rPr>
                <w:rFonts w:hint="eastAsia" w:ascii="宋体" w:hAnsi="宋体" w:cs="宋体"/>
                <w:color w:val="auto"/>
                <w:szCs w:val="21"/>
                <w:highlight w:val="none"/>
              </w:rPr>
              <w:t>天前</w:t>
            </w:r>
          </w:p>
        </w:tc>
      </w:tr>
      <w:tr>
        <w:tblPrEx>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3.2</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投标文件截止时间及地点</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Cs w:val="21"/>
                <w:highlight w:val="none"/>
              </w:rPr>
            </w:pPr>
            <w:r>
              <w:rPr>
                <w:rFonts w:hint="eastAsia" w:ascii="宋体" w:hAnsi="宋体" w:cs="宋体"/>
                <w:color w:val="auto"/>
                <w:szCs w:val="21"/>
                <w:highlight w:val="none"/>
              </w:rPr>
              <w:t>北京时间：</w:t>
            </w:r>
            <w:r>
              <w:rPr>
                <w:rFonts w:hint="eastAsia" w:ascii="宋体" w:hAnsi="宋体" w:cs="宋体"/>
                <w:b/>
                <w:bCs/>
                <w:color w:val="auto"/>
                <w:szCs w:val="21"/>
                <w:highlight w:val="none"/>
                <w:u w:val="single"/>
              </w:rPr>
              <w:t>2022年</w:t>
            </w:r>
            <w:r>
              <w:rPr>
                <w:rFonts w:hint="eastAsia" w:ascii="宋体" w:hAnsi="宋体" w:cs="宋体"/>
                <w:b/>
                <w:bCs/>
                <w:color w:val="auto"/>
                <w:szCs w:val="21"/>
                <w:highlight w:val="none"/>
                <w:u w:val="single"/>
                <w:lang w:val="en-US" w:eastAsia="zh-CN"/>
              </w:rPr>
              <w:t xml:space="preserve">6 </w:t>
            </w:r>
            <w:r>
              <w:rPr>
                <w:rFonts w:hint="eastAsia" w:ascii="宋体" w:hAnsi="宋体" w:cs="宋体"/>
                <w:b/>
                <w:bCs/>
                <w:color w:val="auto"/>
                <w:szCs w:val="21"/>
                <w:highlight w:val="none"/>
                <w:u w:val="single"/>
              </w:rPr>
              <w:t>月</w:t>
            </w:r>
            <w:r>
              <w:rPr>
                <w:rFonts w:hint="eastAsia" w:ascii="宋体" w:hAnsi="宋体" w:cs="宋体"/>
                <w:b/>
                <w:bCs/>
                <w:color w:val="auto"/>
                <w:szCs w:val="21"/>
                <w:highlight w:val="none"/>
                <w:u w:val="single"/>
                <w:lang w:val="en-US" w:eastAsia="zh-CN"/>
              </w:rPr>
              <w:t xml:space="preserve"> 13 </w:t>
            </w:r>
            <w:r>
              <w:rPr>
                <w:rFonts w:hint="eastAsia" w:ascii="宋体" w:hAnsi="宋体" w:cs="宋体"/>
                <w:b/>
                <w:bCs/>
                <w:color w:val="auto"/>
                <w:szCs w:val="21"/>
                <w:highlight w:val="none"/>
                <w:u w:val="single"/>
              </w:rPr>
              <w:t>日 9 时00分</w:t>
            </w:r>
          </w:p>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地点：温县公共资源交易中心开标厅（详见当天公示牌）</w:t>
            </w:r>
          </w:p>
        </w:tc>
      </w:tr>
      <w:tr>
        <w:tblPrEx>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3.4.1</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磋商有效期</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响应文件递交截止日起60日历天</w:t>
            </w:r>
          </w:p>
        </w:tc>
      </w:tr>
      <w:tr>
        <w:tblPrEx>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3.5.1</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磋商保证金</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无</w:t>
            </w:r>
          </w:p>
        </w:tc>
      </w:tr>
      <w:tr>
        <w:tblPrEx>
          <w:tblCellMar>
            <w:top w:w="0" w:type="dxa"/>
            <w:left w:w="108" w:type="dxa"/>
            <w:bottom w:w="0" w:type="dxa"/>
            <w:right w:w="108" w:type="dxa"/>
          </w:tblCellMar>
        </w:tblPrEx>
        <w:trPr>
          <w:trHeight w:val="2402"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3.7.4</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响应文件份数</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ind w:firstLine="420" w:firstLineChars="200"/>
              <w:rPr>
                <w:rFonts w:ascii="宋体" w:hAnsi="宋体" w:cs="宋体"/>
                <w:color w:val="auto"/>
                <w:szCs w:val="21"/>
                <w:highlight w:val="none"/>
              </w:rPr>
            </w:pPr>
            <w:r>
              <w:rPr>
                <w:rFonts w:hint="eastAsia" w:ascii="宋体" w:hAnsi="宋体" w:eastAsia="宋体" w:cs="宋体"/>
                <w:color w:val="auto"/>
                <w:szCs w:val="21"/>
                <w:highlight w:val="none"/>
              </w:rPr>
              <w:t>加密的电子</w:t>
            </w:r>
            <w:r>
              <w:rPr>
                <w:rFonts w:hint="eastAsia" w:ascii="宋体" w:hAnsi="宋体" w:eastAsia="宋体" w:cs="宋体"/>
                <w:color w:val="auto"/>
                <w:szCs w:val="21"/>
                <w:highlight w:val="none"/>
                <w:lang w:eastAsia="zh-CN"/>
              </w:rPr>
              <w:t>响应</w:t>
            </w:r>
            <w:r>
              <w:rPr>
                <w:rFonts w:hint="eastAsia" w:ascii="宋体" w:hAnsi="宋体" w:eastAsia="宋体" w:cs="宋体"/>
                <w:color w:val="auto"/>
                <w:szCs w:val="21"/>
                <w:highlight w:val="none"/>
              </w:rPr>
              <w:t>文件壹份（.jztf 格式在会员系统指定位置上传）；自备非加密的电子</w:t>
            </w:r>
            <w:r>
              <w:rPr>
                <w:rFonts w:hint="eastAsia" w:ascii="宋体" w:hAnsi="宋体" w:eastAsia="宋体" w:cs="宋体"/>
                <w:color w:val="auto"/>
                <w:szCs w:val="21"/>
                <w:highlight w:val="none"/>
                <w:lang w:eastAsia="zh-CN"/>
              </w:rPr>
              <w:t>响应</w:t>
            </w:r>
            <w:r>
              <w:rPr>
                <w:rFonts w:hint="eastAsia" w:ascii="宋体" w:hAnsi="宋体" w:eastAsia="宋体" w:cs="宋体"/>
                <w:color w:val="auto"/>
                <w:szCs w:val="21"/>
                <w:highlight w:val="none"/>
              </w:rPr>
              <w:t>文件一份，如有紧急情况，在不见面开标按要求上传。注：本项目投标时不需要提供纸质</w:t>
            </w:r>
            <w:r>
              <w:rPr>
                <w:rFonts w:hint="eastAsia" w:ascii="宋体" w:hAnsi="宋体" w:eastAsia="宋体" w:cs="宋体"/>
                <w:color w:val="auto"/>
                <w:szCs w:val="21"/>
                <w:highlight w:val="none"/>
                <w:lang w:eastAsia="zh-CN"/>
              </w:rPr>
              <w:t>响应</w:t>
            </w:r>
            <w:r>
              <w:rPr>
                <w:rFonts w:hint="eastAsia" w:ascii="宋体" w:hAnsi="宋体" w:eastAsia="宋体" w:cs="宋体"/>
                <w:color w:val="auto"/>
                <w:szCs w:val="21"/>
                <w:highlight w:val="none"/>
              </w:rPr>
              <w:t>文件。中标单位在确定中标后，领取中标通知书时需提供柒份使用CA系统打印出来的完整的</w:t>
            </w:r>
            <w:r>
              <w:rPr>
                <w:rFonts w:hint="eastAsia" w:ascii="宋体" w:hAnsi="宋体" w:eastAsia="宋体" w:cs="宋体"/>
                <w:color w:val="auto"/>
                <w:szCs w:val="21"/>
                <w:highlight w:val="none"/>
                <w:lang w:eastAsia="zh-CN"/>
              </w:rPr>
              <w:t>响应</w:t>
            </w:r>
            <w:r>
              <w:rPr>
                <w:rFonts w:hint="eastAsia" w:ascii="宋体" w:hAnsi="宋体" w:eastAsia="宋体" w:cs="宋体"/>
                <w:color w:val="auto"/>
                <w:szCs w:val="21"/>
                <w:highlight w:val="none"/>
              </w:rPr>
              <w:t>文件交</w:t>
            </w:r>
            <w:r>
              <w:rPr>
                <w:rFonts w:hint="eastAsia" w:ascii="宋体" w:hAnsi="宋体" w:eastAsia="宋体" w:cs="宋体"/>
                <w:color w:val="auto"/>
                <w:szCs w:val="21"/>
                <w:highlight w:val="none"/>
                <w:lang w:eastAsia="zh-CN"/>
              </w:rPr>
              <w:t>采购</w:t>
            </w:r>
            <w:r>
              <w:rPr>
                <w:rFonts w:hint="eastAsia" w:ascii="宋体" w:hAnsi="宋体" w:eastAsia="宋体" w:cs="宋体"/>
                <w:color w:val="auto"/>
                <w:szCs w:val="21"/>
                <w:highlight w:val="none"/>
              </w:rPr>
              <w:t>人或</w:t>
            </w:r>
            <w:r>
              <w:rPr>
                <w:rFonts w:hint="eastAsia" w:ascii="宋体" w:hAnsi="宋体" w:eastAsia="宋体" w:cs="宋体"/>
                <w:color w:val="auto"/>
                <w:szCs w:val="21"/>
                <w:highlight w:val="none"/>
                <w:lang w:eastAsia="zh-CN"/>
              </w:rPr>
              <w:t>采购</w:t>
            </w:r>
            <w:r>
              <w:rPr>
                <w:rFonts w:hint="eastAsia" w:ascii="宋体" w:hAnsi="宋体" w:eastAsia="宋体" w:cs="宋体"/>
                <w:color w:val="auto"/>
                <w:szCs w:val="21"/>
                <w:highlight w:val="none"/>
              </w:rPr>
              <w:t>代理（其中，正本壹份，副本陆份）及不加密格式电子文件一份。</w:t>
            </w:r>
          </w:p>
        </w:tc>
      </w:tr>
      <w:tr>
        <w:tblPrEx>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3.1.0</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踏勘现场</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不组织，自行踏勘。</w:t>
            </w:r>
          </w:p>
        </w:tc>
      </w:tr>
      <w:tr>
        <w:tblPrEx>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Cs w:val="21"/>
                <w:highlight w:val="none"/>
              </w:rPr>
            </w:pPr>
            <w:r>
              <w:rPr>
                <w:rFonts w:hint="eastAsia" w:ascii="宋体" w:hAnsi="宋体" w:cs="宋体"/>
                <w:color w:val="auto"/>
                <w:szCs w:val="21"/>
                <w:highlight w:val="none"/>
              </w:rPr>
              <w:t>4.1.1</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eastAsia="宋体" w:cs="宋体"/>
                <w:color w:val="auto"/>
                <w:szCs w:val="21"/>
                <w:highlight w:val="none"/>
              </w:rPr>
              <w:t>签字或盖章要求</w:t>
            </w:r>
          </w:p>
        </w:tc>
        <w:tc>
          <w:tcPr>
            <w:tcW w:w="67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60" w:lineRule="exact"/>
              <w:textAlignment w:val="auto"/>
              <w:rPr>
                <w:rFonts w:ascii="宋体" w:hAnsi="宋体" w:eastAsia="宋体" w:cs="宋体"/>
                <w:color w:val="auto"/>
                <w:szCs w:val="21"/>
                <w:highlight w:val="none"/>
              </w:rPr>
            </w:pPr>
            <w:r>
              <w:rPr>
                <w:rFonts w:hint="eastAsia" w:ascii="宋体" w:hAnsi="宋体" w:eastAsia="宋体" w:cs="宋体"/>
                <w:color w:val="auto"/>
                <w:szCs w:val="21"/>
                <w:highlight w:val="none"/>
              </w:rPr>
              <w:t>（1）所有要求</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加盖公章的地方都须加盖</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的CA印章。</w:t>
            </w:r>
          </w:p>
          <w:p>
            <w:pPr>
              <w:keepNext w:val="0"/>
              <w:keepLines w:val="0"/>
              <w:pageBreakBefore w:val="0"/>
              <w:kinsoku/>
              <w:wordWrap/>
              <w:overflowPunct/>
              <w:topLinePunct w:val="0"/>
              <w:autoSpaceDE/>
              <w:autoSpaceDN/>
              <w:bidi w:val="0"/>
              <w:adjustRightInd/>
              <w:snapToGrid/>
              <w:spacing w:line="360" w:lineRule="exact"/>
              <w:textAlignment w:val="auto"/>
              <w:rPr>
                <w:rFonts w:ascii="宋体" w:hAnsi="宋体" w:eastAsia="宋体" w:cs="宋体"/>
                <w:color w:val="auto"/>
                <w:szCs w:val="21"/>
                <w:highlight w:val="none"/>
              </w:rPr>
            </w:pPr>
            <w:r>
              <w:rPr>
                <w:rFonts w:hint="eastAsia" w:ascii="宋体" w:hAnsi="宋体" w:eastAsia="宋体" w:cs="宋体"/>
                <w:color w:val="auto"/>
                <w:szCs w:val="21"/>
                <w:highlight w:val="none"/>
              </w:rPr>
              <w:t>（2）所有要求法定代表人签字的地方都须加盖法定代表人CA印章</w:t>
            </w:r>
            <w:r>
              <w:rPr>
                <w:rFonts w:hint="eastAsia" w:ascii="宋体" w:hAnsi="宋体" w:eastAsia="宋体" w:cs="宋体"/>
                <w:color w:val="auto"/>
                <w:szCs w:val="21"/>
                <w:highlight w:val="none"/>
                <w:lang w:eastAsia="zh-CN"/>
              </w:rPr>
              <w:t>或</w:t>
            </w:r>
            <w:r>
              <w:rPr>
                <w:rFonts w:hint="eastAsia" w:ascii="宋体" w:hAnsi="宋体" w:eastAsia="宋体" w:cs="宋体"/>
                <w:color w:val="auto"/>
                <w:szCs w:val="21"/>
                <w:highlight w:val="none"/>
                <w:lang w:val="en-US" w:eastAsia="zh-CN"/>
              </w:rPr>
              <w:t>CA签字</w:t>
            </w:r>
            <w:r>
              <w:rPr>
                <w:rFonts w:hint="eastAsia" w:ascii="宋体" w:hAnsi="宋体" w:eastAsia="宋体" w:cs="宋体"/>
                <w:color w:val="auto"/>
                <w:szCs w:val="21"/>
                <w:highlight w:val="none"/>
              </w:rPr>
              <w:t>。</w:t>
            </w:r>
          </w:p>
          <w:p>
            <w:pPr>
              <w:spacing w:line="400" w:lineRule="exact"/>
              <w:jc w:val="left"/>
              <w:rPr>
                <w:rFonts w:ascii="宋体" w:hAnsi="宋体" w:cs="宋体"/>
                <w:color w:val="auto"/>
                <w:szCs w:val="21"/>
                <w:highlight w:val="none"/>
              </w:rPr>
            </w:pPr>
            <w:r>
              <w:rPr>
                <w:rFonts w:hint="eastAsia" w:ascii="宋体" w:hAnsi="宋体" w:eastAsia="宋体" w:cs="宋体"/>
                <w:color w:val="auto"/>
                <w:szCs w:val="21"/>
                <w:highlight w:val="none"/>
              </w:rPr>
              <w:t>（3）所有要求其委托代理人签字的地方可以用授权委托人手写签字的扫描件。</w:t>
            </w:r>
          </w:p>
        </w:tc>
      </w:tr>
      <w:tr>
        <w:tblPrEx>
          <w:tblCellMar>
            <w:top w:w="0" w:type="dxa"/>
            <w:left w:w="108" w:type="dxa"/>
            <w:bottom w:w="0" w:type="dxa"/>
            <w:right w:w="108" w:type="dxa"/>
          </w:tblCellMar>
        </w:tblPrEx>
        <w:trPr>
          <w:trHeight w:val="1972"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宋体" w:hAnsi="宋体" w:cs="宋体"/>
                <w:color w:val="auto"/>
                <w:szCs w:val="21"/>
                <w:highlight w:val="none"/>
              </w:rPr>
            </w:pPr>
            <w:r>
              <w:rPr>
                <w:rFonts w:hint="eastAsia" w:ascii="宋体" w:hAnsi="宋体" w:cs="宋体"/>
                <w:color w:val="auto"/>
                <w:szCs w:val="21"/>
                <w:highlight w:val="none"/>
              </w:rPr>
              <w:t>4.2.2</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响应文件</w:t>
            </w:r>
            <w:r>
              <w:rPr>
                <w:rFonts w:hint="eastAsia" w:ascii="宋体" w:hAnsi="宋体" w:cs="宋体"/>
                <w:color w:val="auto"/>
                <w:szCs w:val="21"/>
                <w:highlight w:val="none"/>
                <w:lang w:eastAsia="zh-CN"/>
              </w:rPr>
              <w:t>的</w:t>
            </w:r>
            <w:r>
              <w:rPr>
                <w:rFonts w:hint="eastAsia" w:ascii="宋体" w:hAnsi="宋体" w:cs="宋体"/>
                <w:color w:val="auto"/>
                <w:szCs w:val="21"/>
                <w:highlight w:val="none"/>
              </w:rPr>
              <w:t>递交</w:t>
            </w:r>
          </w:p>
        </w:tc>
        <w:tc>
          <w:tcPr>
            <w:tcW w:w="6754"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spacing w:line="360" w:lineRule="exact"/>
              <w:textAlignment w:val="auto"/>
              <w:rPr>
                <w:rFonts w:ascii="宋体" w:hAnsi="宋体" w:eastAsia="宋体" w:cs="宋体"/>
                <w:color w:val="auto"/>
                <w:szCs w:val="21"/>
                <w:highlight w:val="none"/>
              </w:rPr>
            </w:pPr>
            <w:r>
              <w:rPr>
                <w:rFonts w:hint="eastAsia" w:ascii="宋体" w:hAnsi="宋体" w:eastAsia="宋体" w:cs="宋体"/>
                <w:color w:val="auto"/>
                <w:szCs w:val="21"/>
                <w:highlight w:val="none"/>
              </w:rPr>
              <w:t>（1）各</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应在投标截至时间前上传加密的电子</w:t>
            </w:r>
            <w:r>
              <w:rPr>
                <w:rFonts w:hint="eastAsia" w:ascii="宋体" w:hAnsi="宋体" w:eastAsia="宋体" w:cs="宋体"/>
                <w:color w:val="auto"/>
                <w:szCs w:val="21"/>
                <w:highlight w:val="none"/>
                <w:lang w:eastAsia="zh-CN"/>
              </w:rPr>
              <w:t>响应</w:t>
            </w:r>
            <w:r>
              <w:rPr>
                <w:rFonts w:hint="eastAsia" w:ascii="宋体" w:hAnsi="宋体" w:eastAsia="宋体" w:cs="宋体"/>
                <w:color w:val="auto"/>
                <w:szCs w:val="21"/>
                <w:highlight w:val="none"/>
              </w:rPr>
              <w:t>文件（.jztf 格式）到会员系统的指定位置。上传时必须得到电脑“上传成功”的确认回复。请</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在上传时认真检查上传</w:t>
            </w:r>
            <w:r>
              <w:rPr>
                <w:rFonts w:hint="eastAsia" w:ascii="宋体" w:hAnsi="宋体" w:eastAsia="宋体" w:cs="宋体"/>
                <w:color w:val="auto"/>
                <w:szCs w:val="21"/>
                <w:highlight w:val="none"/>
                <w:lang w:eastAsia="zh-CN"/>
              </w:rPr>
              <w:t>响应</w:t>
            </w:r>
            <w:r>
              <w:rPr>
                <w:rFonts w:hint="eastAsia" w:ascii="宋体" w:hAnsi="宋体" w:eastAsia="宋体" w:cs="宋体"/>
                <w:color w:val="auto"/>
                <w:szCs w:val="21"/>
                <w:highlight w:val="none"/>
              </w:rPr>
              <w:t>文件是否完整、正确。</w:t>
            </w:r>
          </w:p>
          <w:p>
            <w:pPr>
              <w:spacing w:line="400" w:lineRule="exact"/>
              <w:jc w:val="left"/>
              <w:rPr>
                <w:rFonts w:ascii="宋体" w:hAnsi="宋体" w:cs="宋体"/>
                <w:color w:val="auto"/>
                <w:szCs w:val="21"/>
                <w:highlight w:val="none"/>
              </w:rPr>
            </w:pPr>
            <w:r>
              <w:rPr>
                <w:rFonts w:hint="eastAsia" w:ascii="宋体" w:hAnsi="宋体" w:eastAsia="宋体" w:cs="宋体"/>
                <w:color w:val="auto"/>
                <w:szCs w:val="21"/>
                <w:highlight w:val="none"/>
              </w:rPr>
              <w:t>（2）如系统故障需上传非加密文件时，</w:t>
            </w:r>
            <w:r>
              <w:rPr>
                <w:rFonts w:hint="eastAsia" w:ascii="宋体" w:hAnsi="宋体" w:eastAsia="宋体" w:cs="宋体"/>
                <w:color w:val="auto"/>
                <w:szCs w:val="21"/>
                <w:highlight w:val="none"/>
                <w:lang w:eastAsia="zh-CN"/>
              </w:rPr>
              <w:t>供应商</w:t>
            </w:r>
            <w:r>
              <w:rPr>
                <w:rFonts w:hint="eastAsia" w:ascii="宋体" w:hAnsi="宋体" w:eastAsia="宋体" w:cs="宋体"/>
                <w:color w:val="auto"/>
                <w:szCs w:val="21"/>
                <w:highlight w:val="none"/>
              </w:rPr>
              <w:t>应按照</w:t>
            </w:r>
            <w:r>
              <w:rPr>
                <w:rFonts w:hint="eastAsia" w:ascii="宋体" w:hAnsi="宋体" w:eastAsia="宋体" w:cs="宋体"/>
                <w:color w:val="auto"/>
                <w:szCs w:val="21"/>
                <w:highlight w:val="none"/>
                <w:lang w:eastAsia="zh-CN"/>
              </w:rPr>
              <w:t>采购</w:t>
            </w:r>
            <w:r>
              <w:rPr>
                <w:rFonts w:hint="eastAsia" w:ascii="宋体" w:hAnsi="宋体" w:eastAsia="宋体" w:cs="宋体"/>
                <w:color w:val="auto"/>
                <w:szCs w:val="21"/>
                <w:highlight w:val="none"/>
              </w:rPr>
              <w:t>人指示将非加密文件递交给</w:t>
            </w:r>
            <w:r>
              <w:rPr>
                <w:rFonts w:hint="eastAsia" w:ascii="宋体" w:hAnsi="宋体" w:eastAsia="宋体" w:cs="宋体"/>
                <w:color w:val="auto"/>
                <w:szCs w:val="21"/>
                <w:highlight w:val="none"/>
                <w:lang w:eastAsia="zh-CN"/>
              </w:rPr>
              <w:t>采购</w:t>
            </w:r>
            <w:r>
              <w:rPr>
                <w:rFonts w:hint="eastAsia" w:ascii="宋体" w:hAnsi="宋体" w:eastAsia="宋体" w:cs="宋体"/>
                <w:color w:val="auto"/>
                <w:szCs w:val="21"/>
                <w:highlight w:val="none"/>
              </w:rPr>
              <w:t>人。</w:t>
            </w:r>
          </w:p>
        </w:tc>
      </w:tr>
      <w:tr>
        <w:tblPrEx>
          <w:tblCellMar>
            <w:top w:w="0" w:type="dxa"/>
            <w:left w:w="108" w:type="dxa"/>
            <w:bottom w:w="0" w:type="dxa"/>
            <w:right w:w="108" w:type="dxa"/>
          </w:tblCellMar>
        </w:tblPrEx>
        <w:trPr>
          <w:trHeight w:val="90" w:hRule="atLeas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5.1.</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cs="宋体"/>
                <w:color w:val="auto"/>
                <w:szCs w:val="21"/>
                <w:highlight w:val="none"/>
              </w:rPr>
            </w:pPr>
            <w:r>
              <w:rPr>
                <w:rFonts w:hint="eastAsia" w:ascii="宋体" w:hAnsi="宋体" w:cs="宋体"/>
                <w:color w:val="auto"/>
                <w:szCs w:val="21"/>
                <w:highlight w:val="none"/>
              </w:rPr>
              <w:t>递交</w:t>
            </w:r>
            <w:r>
              <w:rPr>
                <w:rFonts w:hint="eastAsia" w:ascii="宋体" w:hAnsi="宋体" w:cs="宋体"/>
                <w:color w:val="auto"/>
                <w:szCs w:val="21"/>
                <w:highlight w:val="none"/>
                <w:lang w:eastAsia="zh-CN"/>
              </w:rPr>
              <w:t>响应</w:t>
            </w:r>
            <w:r>
              <w:rPr>
                <w:rFonts w:hint="eastAsia" w:ascii="宋体" w:hAnsi="宋体" w:cs="宋体"/>
                <w:color w:val="auto"/>
                <w:szCs w:val="21"/>
                <w:highlight w:val="none"/>
              </w:rPr>
              <w:t>文件方式和地点</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hint="eastAsia" w:ascii="宋体" w:hAnsi="宋体" w:cs="宋体"/>
                <w:color w:val="auto"/>
                <w:szCs w:val="21"/>
                <w:highlight w:val="none"/>
              </w:rPr>
            </w:pPr>
            <w:r>
              <w:rPr>
                <w:rFonts w:hint="eastAsia" w:ascii="宋体" w:hAnsi="宋体" w:cs="宋体"/>
                <w:color w:val="auto"/>
                <w:szCs w:val="21"/>
                <w:highlight w:val="none"/>
              </w:rPr>
              <w:t>1、加密的电子投标文件壹份（*.jztf 格式，在会员系统指定位置上传）</w:t>
            </w:r>
          </w:p>
          <w:p>
            <w:pPr>
              <w:spacing w:line="400" w:lineRule="exact"/>
              <w:jc w:val="left"/>
              <w:rPr>
                <w:rFonts w:hint="eastAsia" w:ascii="宋体" w:hAnsi="宋体" w:cs="宋体"/>
                <w:color w:val="auto"/>
                <w:szCs w:val="21"/>
                <w:highlight w:val="none"/>
              </w:rPr>
            </w:pPr>
            <w:r>
              <w:rPr>
                <w:rFonts w:hint="eastAsia" w:ascii="宋体" w:hAnsi="宋体" w:cs="宋体"/>
                <w:color w:val="auto"/>
                <w:szCs w:val="21"/>
                <w:highlight w:val="none"/>
              </w:rPr>
              <w:t>2、本项目采用“远程不见面”的开标方式,远程开标大厅网址（http://122.112.246.33/BidOpening/bidopeninghallaction/hall/login ）。特别提醒：本项目采用远程不见面开标和全程电子评标方式，潜在投标人可提前在焦作市交易中心官网首页---下载中心--下载</w:t>
            </w:r>
            <w:r>
              <w:rPr>
                <w:rFonts w:hint="eastAsia" w:ascii="宋体" w:hAnsi="宋体" w:cs="宋体"/>
                <w:color w:val="auto"/>
                <w:szCs w:val="21"/>
                <w:highlight w:val="none"/>
              </w:rPr>
              <w:fldChar w:fldCharType="begin"/>
            </w:r>
            <w:r>
              <w:rPr>
                <w:rFonts w:hint="eastAsia" w:ascii="宋体" w:hAnsi="宋体" w:cs="宋体"/>
                <w:color w:val="auto"/>
                <w:szCs w:val="21"/>
                <w:highlight w:val="none"/>
              </w:rPr>
              <w:instrText xml:space="preserve"> HYPERLINK "http://www.jzggzy.cn/TPFront/InfoDetail/Default.aspx?InfoID=b5d977f8-bf6f-4349-9275-63a47a0979b9&amp;CategoryNum=069006002" </w:instrText>
            </w:r>
            <w:r>
              <w:rPr>
                <w:rFonts w:hint="eastAsia" w:ascii="宋体" w:hAnsi="宋体" w:cs="宋体"/>
                <w:color w:val="auto"/>
                <w:szCs w:val="21"/>
                <w:highlight w:val="none"/>
              </w:rPr>
              <w:fldChar w:fldCharType="separate"/>
            </w:r>
            <w:r>
              <w:rPr>
                <w:rFonts w:hint="eastAsia" w:ascii="宋体" w:hAnsi="宋体" w:cs="宋体"/>
                <w:color w:val="auto"/>
                <w:szCs w:val="21"/>
                <w:highlight w:val="none"/>
              </w:rPr>
              <w:t>《焦作市电子招投标系统操作手册》</w:t>
            </w:r>
            <w:r>
              <w:rPr>
                <w:rFonts w:hint="eastAsia" w:ascii="宋体" w:hAnsi="宋体" w:cs="宋体"/>
                <w:color w:val="auto"/>
                <w:szCs w:val="21"/>
                <w:highlight w:val="none"/>
              </w:rPr>
              <w:fldChar w:fldCharType="end"/>
            </w:r>
            <w:r>
              <w:rPr>
                <w:rFonts w:hint="eastAsia" w:ascii="宋体" w:hAnsi="宋体" w:cs="宋体"/>
                <w:color w:val="auto"/>
                <w:szCs w:val="21"/>
                <w:highlight w:val="none"/>
              </w:rPr>
              <w:t>和</w:t>
            </w:r>
            <w:r>
              <w:rPr>
                <w:rFonts w:hint="eastAsia" w:ascii="宋体" w:hAnsi="宋体" w:cs="宋体"/>
                <w:color w:val="auto"/>
                <w:szCs w:val="21"/>
                <w:highlight w:val="none"/>
              </w:rPr>
              <w:fldChar w:fldCharType="begin"/>
            </w:r>
            <w:r>
              <w:rPr>
                <w:rFonts w:hint="eastAsia" w:ascii="宋体" w:hAnsi="宋体" w:cs="宋体"/>
                <w:color w:val="auto"/>
                <w:szCs w:val="21"/>
                <w:highlight w:val="none"/>
              </w:rPr>
              <w:instrText xml:space="preserve"> HYPERLINK "http://www.jzggzy.cn/TPFront/InfoDetail/Default.aspx?InfoID=a8241ffd-c295-4d39-b832-840e402553df&amp;CategoryNum=069006002" </w:instrText>
            </w:r>
            <w:r>
              <w:rPr>
                <w:rFonts w:hint="eastAsia" w:ascii="宋体" w:hAnsi="宋体" w:cs="宋体"/>
                <w:color w:val="auto"/>
                <w:szCs w:val="21"/>
                <w:highlight w:val="none"/>
              </w:rPr>
              <w:fldChar w:fldCharType="separate"/>
            </w:r>
            <w:r>
              <w:rPr>
                <w:rFonts w:hint="eastAsia" w:ascii="宋体" w:hAnsi="宋体" w:cs="宋体"/>
                <w:color w:val="auto"/>
                <w:szCs w:val="21"/>
                <w:highlight w:val="none"/>
              </w:rPr>
              <w:t>《焦作市公共资源交易平台不见面开标操作手册》</w:t>
            </w:r>
            <w:r>
              <w:rPr>
                <w:rFonts w:hint="eastAsia" w:ascii="宋体" w:hAnsi="宋体" w:cs="宋体"/>
                <w:color w:val="auto"/>
                <w:szCs w:val="21"/>
                <w:highlight w:val="none"/>
              </w:rPr>
              <w:fldChar w:fldCharType="end"/>
            </w:r>
            <w:r>
              <w:rPr>
                <w:rFonts w:hint="eastAsia" w:ascii="宋体" w:hAnsi="宋体" w:cs="宋体"/>
                <w:color w:val="auto"/>
                <w:szCs w:val="21"/>
                <w:highlight w:val="none"/>
              </w:rPr>
              <w:t>、</w:t>
            </w:r>
            <w:r>
              <w:rPr>
                <w:rFonts w:hint="eastAsia" w:ascii="宋体" w:hAnsi="宋体" w:cs="宋体"/>
                <w:color w:val="auto"/>
                <w:szCs w:val="21"/>
                <w:highlight w:val="none"/>
              </w:rPr>
              <w:fldChar w:fldCharType="begin"/>
            </w:r>
            <w:r>
              <w:rPr>
                <w:rFonts w:hint="eastAsia" w:ascii="宋体" w:hAnsi="宋体" w:cs="宋体"/>
                <w:color w:val="auto"/>
                <w:szCs w:val="21"/>
                <w:highlight w:val="none"/>
              </w:rPr>
              <w:instrText xml:space="preserve"> HYPERLINK "https://download.bqpoint.com/download/downloaddetail.html?SourceFrom=Ztb&amp;ZtbSoftXiaQuCode=1505&amp;ZtbSoftType=tballinclusive" </w:instrText>
            </w:r>
            <w:r>
              <w:rPr>
                <w:rFonts w:hint="eastAsia" w:ascii="宋体" w:hAnsi="宋体" w:cs="宋体"/>
                <w:color w:val="auto"/>
                <w:szCs w:val="21"/>
                <w:highlight w:val="none"/>
              </w:rPr>
              <w:fldChar w:fldCharType="separate"/>
            </w:r>
            <w:r>
              <w:rPr>
                <w:rFonts w:hint="eastAsia" w:ascii="宋体" w:hAnsi="宋体" w:cs="宋体"/>
                <w:color w:val="auto"/>
                <w:szCs w:val="21"/>
                <w:highlight w:val="none"/>
              </w:rPr>
              <w:t>《投标文件制作工作工具》</w:t>
            </w:r>
            <w:r>
              <w:rPr>
                <w:rFonts w:hint="eastAsia" w:ascii="宋体" w:hAnsi="宋体" w:cs="宋体"/>
                <w:color w:val="auto"/>
                <w:szCs w:val="21"/>
                <w:highlight w:val="none"/>
              </w:rPr>
              <w:fldChar w:fldCharType="end"/>
            </w:r>
            <w:r>
              <w:rPr>
                <w:rFonts w:hint="eastAsia" w:ascii="宋体" w:hAnsi="宋体" w:cs="宋体"/>
                <w:color w:val="auto"/>
                <w:szCs w:val="21"/>
                <w:highlight w:val="none"/>
              </w:rPr>
              <w:t>等，查看操作说明，按要求进行投标文件制作和上传等。为避免网络拥堵等不可控因素影响投标文件的上传，请提前上传投标文件，并在开标截止时间前登录不见面开标大厅进行签到，逾期或未按规定时间进行签到的，投标文件不予受理；并按要求解密投标文件</w:t>
            </w:r>
            <w:r>
              <w:rPr>
                <w:rFonts w:hint="eastAsia" w:ascii="宋体" w:hAnsi="宋体" w:cs="宋体"/>
                <w:color w:val="auto"/>
                <w:szCs w:val="21"/>
                <w:highlight w:val="none"/>
                <w:lang w:val="en-US" w:eastAsia="zh-CN"/>
              </w:rPr>
              <w:t>,</w:t>
            </w:r>
            <w:r>
              <w:rPr>
                <w:rFonts w:hint="eastAsia" w:ascii="宋体" w:hAnsi="宋体" w:cs="宋体"/>
                <w:color w:val="auto"/>
                <w:szCs w:val="21"/>
                <w:highlight w:val="none"/>
              </w:rPr>
              <w:t>解密时间为</w:t>
            </w:r>
            <w:r>
              <w:rPr>
                <w:rFonts w:hint="eastAsia" w:ascii="宋体" w:hAnsi="宋体" w:cs="宋体"/>
                <w:color w:val="auto"/>
                <w:szCs w:val="21"/>
                <w:highlight w:val="none"/>
                <w:lang w:eastAsia="zh-CN"/>
              </w:rPr>
              <w:t>响应文件提交</w:t>
            </w:r>
            <w:r>
              <w:rPr>
                <w:rFonts w:hint="eastAsia" w:ascii="宋体" w:hAnsi="宋体" w:cs="宋体"/>
                <w:color w:val="auto"/>
                <w:szCs w:val="21"/>
                <w:highlight w:val="none"/>
              </w:rPr>
              <w:t>截止时后30分钟内。因文件未及时上传导致投标失败的责任由投标人自行承担。</w:t>
            </w:r>
          </w:p>
          <w:p>
            <w:pPr>
              <w:spacing w:line="400" w:lineRule="exact"/>
              <w:jc w:val="left"/>
              <w:rPr>
                <w:rFonts w:hint="eastAsia" w:ascii="宋体" w:hAnsi="宋体" w:cs="宋体"/>
                <w:color w:val="auto"/>
                <w:szCs w:val="21"/>
                <w:highlight w:val="none"/>
              </w:rPr>
            </w:pPr>
            <w:r>
              <w:rPr>
                <w:rFonts w:hint="eastAsia" w:ascii="宋体" w:hAnsi="宋体" w:cs="宋体"/>
                <w:color w:val="auto"/>
                <w:szCs w:val="21"/>
                <w:highlight w:val="none"/>
              </w:rPr>
              <w:t>技术支持请联系：平台统一技术服务电话为：400-998-0000</w:t>
            </w:r>
          </w:p>
          <w:p>
            <w:pPr>
              <w:spacing w:line="400" w:lineRule="exact"/>
              <w:jc w:val="left"/>
              <w:rPr>
                <w:rFonts w:hint="eastAsia" w:ascii="宋体" w:hAnsi="宋体" w:cs="宋体"/>
                <w:color w:val="auto"/>
                <w:szCs w:val="21"/>
                <w:highlight w:val="none"/>
              </w:rPr>
            </w:pPr>
            <w:r>
              <w:rPr>
                <w:rFonts w:hint="eastAsia" w:ascii="宋体" w:hAnsi="宋体" w:cs="宋体"/>
                <w:color w:val="auto"/>
                <w:szCs w:val="21"/>
                <w:highlight w:val="none"/>
              </w:rPr>
              <w:t>清单造价技术问题请联系：石工：15239953020</w:t>
            </w:r>
          </w:p>
          <w:p>
            <w:pPr>
              <w:spacing w:line="400" w:lineRule="exact"/>
              <w:jc w:val="left"/>
              <w:rPr>
                <w:rFonts w:hint="eastAsia" w:ascii="宋体" w:hAnsi="宋体" w:cs="宋体"/>
                <w:color w:val="auto"/>
                <w:szCs w:val="21"/>
                <w:highlight w:val="none"/>
              </w:rPr>
            </w:pPr>
            <w:r>
              <w:rPr>
                <w:rFonts w:hint="eastAsia" w:ascii="宋体" w:hAnsi="宋体" w:cs="宋体"/>
                <w:color w:val="auto"/>
                <w:szCs w:val="21"/>
                <w:highlight w:val="none"/>
              </w:rPr>
              <w:t>服务时间：周一至周日8：00-17：30</w:t>
            </w:r>
          </w:p>
        </w:tc>
      </w:tr>
      <w:tr>
        <w:tblPrEx>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6.1</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磋商小组的组建</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由采购人代表1人，技术、经济等专家2人，共3人组成。</w:t>
            </w:r>
          </w:p>
        </w:tc>
      </w:tr>
      <w:tr>
        <w:tblPrEx>
          <w:tblCellMar>
            <w:top w:w="0" w:type="dxa"/>
            <w:left w:w="108" w:type="dxa"/>
            <w:bottom w:w="0" w:type="dxa"/>
            <w:right w:w="108" w:type="dxa"/>
          </w:tblCellMar>
        </w:tblPrEx>
        <w:trPr>
          <w:trHeight w:val="567"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6.3</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评标办法</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highlight w:val="none"/>
              </w:rPr>
            </w:pPr>
            <w:r>
              <w:rPr>
                <w:rFonts w:hint="eastAsia" w:ascii="宋体" w:hAnsi="宋体" w:cs="宋体"/>
                <w:color w:val="auto"/>
                <w:szCs w:val="21"/>
                <w:highlight w:val="none"/>
              </w:rPr>
              <w:t>综合评标法</w:t>
            </w:r>
          </w:p>
        </w:tc>
      </w:tr>
      <w:tr>
        <w:tblPrEx>
          <w:tblCellMar>
            <w:top w:w="0" w:type="dxa"/>
            <w:left w:w="108" w:type="dxa"/>
            <w:bottom w:w="0" w:type="dxa"/>
            <w:right w:w="108" w:type="dxa"/>
          </w:tblCellMar>
        </w:tblPrEx>
        <w:trPr>
          <w:trHeight w:val="1262"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11</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eastAsia="宋体" w:cs="宋体"/>
                <w:color w:val="auto"/>
                <w:szCs w:val="21"/>
                <w:highlight w:val="none"/>
              </w:rPr>
              <w:t>需要落实的政策</w:t>
            </w:r>
          </w:p>
        </w:tc>
        <w:tc>
          <w:tcPr>
            <w:tcW w:w="6754" w:type="dxa"/>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highlight w:val="none"/>
              </w:rPr>
            </w:pPr>
            <w:r>
              <w:rPr>
                <w:rFonts w:hint="eastAsia" w:ascii="宋体" w:hAnsi="宋体" w:eastAsia="宋体" w:cs="宋体"/>
                <w:color w:val="auto"/>
                <w:szCs w:val="21"/>
                <w:highlight w:val="none"/>
              </w:rPr>
              <w:t>本项目执行促进中小型企业发展政策（监狱企业、残疾人福利性企业视同小微企业）、强制采购节能产品、优先采购节能环保产品等政府采购政策。</w:t>
            </w:r>
          </w:p>
        </w:tc>
      </w:tr>
      <w:tr>
        <w:tblPrEx>
          <w:tblCellMar>
            <w:top w:w="0" w:type="dxa"/>
            <w:left w:w="108" w:type="dxa"/>
            <w:bottom w:w="0" w:type="dxa"/>
            <w:right w:w="108" w:type="dxa"/>
          </w:tblCellMar>
        </w:tblPrEx>
        <w:trPr>
          <w:trHeight w:val="2458"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cs="宋体"/>
                <w:color w:val="auto"/>
                <w:szCs w:val="21"/>
                <w:highlight w:val="none"/>
              </w:rPr>
              <w:t>12</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color w:val="auto"/>
                <w:szCs w:val="21"/>
                <w:highlight w:val="none"/>
              </w:rPr>
            </w:pPr>
            <w:r>
              <w:rPr>
                <w:rFonts w:hint="eastAsia" w:ascii="宋体" w:hAnsi="宋体" w:eastAsia="宋体" w:cs="宋体"/>
                <w:color w:val="auto"/>
                <w:szCs w:val="21"/>
                <w:highlight w:val="none"/>
              </w:rPr>
              <w:t>其他补充内容</w:t>
            </w:r>
          </w:p>
        </w:tc>
        <w:tc>
          <w:tcPr>
            <w:tcW w:w="6754" w:type="dxa"/>
            <w:tcBorders>
              <w:top w:val="single" w:color="auto" w:sz="4" w:space="0"/>
              <w:left w:val="single" w:color="auto" w:sz="4" w:space="0"/>
              <w:bottom w:val="single" w:color="auto" w:sz="4" w:space="0"/>
              <w:right w:val="single" w:color="auto" w:sz="4" w:space="0"/>
            </w:tcBorders>
            <w:vAlign w:val="center"/>
          </w:tcPr>
          <w:p>
            <w:pPr>
              <w:numPr>
                <w:ilvl w:val="0"/>
                <w:numId w:val="0"/>
              </w:numPr>
              <w:spacing w:line="400" w:lineRule="exact"/>
              <w:jc w:val="left"/>
              <w:rPr>
                <w:rFonts w:hint="eastAsia"/>
                <w:color w:val="auto"/>
                <w:highlight w:val="none"/>
                <w:lang w:val="en-US" w:eastAsia="zh-CN"/>
              </w:rPr>
            </w:pPr>
            <w:r>
              <w:rPr>
                <w:rFonts w:hint="eastAsia"/>
                <w:color w:val="auto"/>
                <w:highlight w:val="none"/>
                <w:lang w:val="en-US" w:eastAsia="zh-CN"/>
              </w:rPr>
              <w:t>1、</w:t>
            </w:r>
            <w:r>
              <w:rPr>
                <w:rFonts w:hint="eastAsia"/>
                <w:color w:val="auto"/>
                <w:highlight w:val="none"/>
              </w:rPr>
              <w:t>代理服务费的收取标准：参照计价格【2002】1980号、发改办价格【2003】857号、发改价格【2011】534号文件收取，由中标人支付代理</w:t>
            </w:r>
            <w:r>
              <w:rPr>
                <w:rFonts w:hint="eastAsia"/>
                <w:color w:val="auto"/>
                <w:highlight w:val="none"/>
                <w:lang w:val="en-US" w:eastAsia="zh-CN"/>
              </w:rPr>
              <w:t>服务费。</w:t>
            </w:r>
          </w:p>
          <w:p>
            <w:pPr>
              <w:numPr>
                <w:ilvl w:val="0"/>
                <w:numId w:val="0"/>
              </w:numPr>
              <w:spacing w:line="400" w:lineRule="exact"/>
              <w:jc w:val="left"/>
              <w:rPr>
                <w:rFonts w:hint="eastAsia"/>
                <w:color w:val="auto"/>
                <w:highlight w:val="none"/>
                <w:lang w:val="en-US" w:eastAsia="zh-CN"/>
              </w:rPr>
            </w:pPr>
            <w:r>
              <w:rPr>
                <w:rFonts w:hint="eastAsia"/>
                <w:color w:val="auto"/>
                <w:highlight w:val="none"/>
                <w:lang w:val="en-US" w:eastAsia="zh-CN"/>
              </w:rPr>
              <w:t>2、本项目招标活动中禁止关联企业同时投标，一经发现按无效标处理。</w:t>
            </w:r>
          </w:p>
          <w:p>
            <w:pPr>
              <w:numPr>
                <w:ilvl w:val="0"/>
                <w:numId w:val="0"/>
              </w:numPr>
              <w:spacing w:line="400" w:lineRule="exact"/>
              <w:jc w:val="left"/>
              <w:rPr>
                <w:rFonts w:hint="eastAsia"/>
                <w:color w:val="auto"/>
                <w:highlight w:val="none"/>
                <w:lang w:val="en-US" w:eastAsia="zh-CN"/>
              </w:rPr>
            </w:pPr>
            <w:r>
              <w:rPr>
                <w:rFonts w:hint="eastAsia"/>
                <w:color w:val="auto"/>
                <w:highlight w:val="none"/>
                <w:lang w:val="en-US" w:eastAsia="zh-CN"/>
              </w:rPr>
              <w:t>3、发现串标、围标行为的供应商，即纳入失信供应商名单，并对其依法进行追责。</w:t>
            </w:r>
          </w:p>
          <w:p>
            <w:pPr>
              <w:pStyle w:val="8"/>
              <w:rPr>
                <w:color w:val="auto"/>
                <w:highlight w:val="none"/>
              </w:rPr>
            </w:pPr>
          </w:p>
          <w:p>
            <w:pPr>
              <w:rPr>
                <w:color w:val="auto"/>
                <w:highlight w:val="none"/>
              </w:rPr>
            </w:pPr>
          </w:p>
          <w:p>
            <w:pPr>
              <w:pStyle w:val="30"/>
              <w:rPr>
                <w:color w:val="auto"/>
                <w:highlight w:val="none"/>
              </w:rPr>
            </w:pPr>
          </w:p>
        </w:tc>
      </w:tr>
      <w:tr>
        <w:tblPrEx>
          <w:tblCellMar>
            <w:top w:w="0" w:type="dxa"/>
            <w:left w:w="108" w:type="dxa"/>
            <w:bottom w:w="0" w:type="dxa"/>
            <w:right w:w="108" w:type="dxa"/>
          </w:tblCellMar>
        </w:tblPrEx>
        <w:trPr>
          <w:trHeight w:val="998" w:hRule="exact"/>
          <w:jc w:val="center"/>
        </w:trPr>
        <w:tc>
          <w:tcPr>
            <w:tcW w:w="85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default" w:ascii="宋体" w:hAnsi="宋体" w:eastAsia="宋体" w:cs="宋体"/>
                <w:color w:val="auto"/>
                <w:szCs w:val="21"/>
                <w:highlight w:val="none"/>
                <w:lang w:val="en-US" w:eastAsia="zh-CN"/>
              </w:rPr>
            </w:pPr>
            <w:r>
              <w:rPr>
                <w:rFonts w:hint="eastAsia" w:ascii="宋体" w:hAnsi="宋体" w:cs="宋体"/>
                <w:color w:val="auto"/>
                <w:szCs w:val="21"/>
                <w:highlight w:val="none"/>
                <w:lang w:val="en-US" w:eastAsia="zh-CN"/>
              </w:rPr>
              <w:t>13</w:t>
            </w:r>
          </w:p>
        </w:tc>
        <w:tc>
          <w:tcPr>
            <w:tcW w:w="213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履约保证金</w:t>
            </w:r>
          </w:p>
        </w:tc>
        <w:tc>
          <w:tcPr>
            <w:tcW w:w="6754" w:type="dxa"/>
            <w:tcBorders>
              <w:top w:val="single" w:color="auto" w:sz="4" w:space="0"/>
              <w:left w:val="single" w:color="auto" w:sz="4" w:space="0"/>
              <w:bottom w:val="single" w:color="auto" w:sz="4" w:space="0"/>
              <w:right w:val="single" w:color="auto" w:sz="4" w:space="0"/>
            </w:tcBorders>
            <w:vAlign w:val="center"/>
          </w:tcPr>
          <w:p>
            <w:pPr>
              <w:pStyle w:val="30"/>
              <w:rPr>
                <w:rFonts w:hint="eastAsia" w:eastAsia="宋体"/>
                <w:color w:val="auto"/>
                <w:highlight w:val="none"/>
                <w:lang w:eastAsia="zh-CN"/>
              </w:rPr>
            </w:pPr>
            <w:r>
              <w:rPr>
                <w:rFonts w:hint="eastAsia" w:ascii="宋体" w:hAnsi="宋体" w:eastAsia="宋体" w:cs="宋体"/>
                <w:color w:val="auto"/>
                <w:kern w:val="2"/>
                <w:sz w:val="21"/>
                <w:szCs w:val="21"/>
                <w:highlight w:val="none"/>
                <w:lang w:val="en-US" w:eastAsia="zh-CN" w:bidi="ar-SA"/>
              </w:rPr>
              <w:t>履约保证金免收</w:t>
            </w:r>
          </w:p>
        </w:tc>
      </w:tr>
      <w:tr>
        <w:tblPrEx>
          <w:tblCellMar>
            <w:top w:w="0" w:type="dxa"/>
            <w:left w:w="108" w:type="dxa"/>
            <w:bottom w:w="0" w:type="dxa"/>
            <w:right w:w="108" w:type="dxa"/>
          </w:tblCellMar>
        </w:tblPrEx>
        <w:trPr>
          <w:trHeight w:val="861" w:hRule="exact"/>
          <w:jc w:val="center"/>
        </w:trPr>
        <w:tc>
          <w:tcPr>
            <w:tcW w:w="9744" w:type="dxa"/>
            <w:gridSpan w:val="3"/>
            <w:tcBorders>
              <w:top w:val="single" w:color="auto" w:sz="4" w:space="0"/>
              <w:left w:val="single" w:color="auto" w:sz="4" w:space="0"/>
              <w:bottom w:val="single" w:color="auto" w:sz="4" w:space="0"/>
              <w:right w:val="single" w:color="auto" w:sz="4" w:space="0"/>
            </w:tcBorders>
            <w:vAlign w:val="center"/>
          </w:tcPr>
          <w:p>
            <w:pPr>
              <w:spacing w:line="400" w:lineRule="exact"/>
              <w:jc w:val="left"/>
              <w:rPr>
                <w:rFonts w:ascii="宋体" w:hAnsi="宋体" w:cs="宋体"/>
                <w:color w:val="auto"/>
                <w:szCs w:val="21"/>
                <w:highlight w:val="none"/>
              </w:rPr>
            </w:pPr>
            <w:r>
              <w:rPr>
                <w:rFonts w:hint="eastAsia" w:ascii="宋体" w:hAnsi="宋体" w:cs="宋体"/>
                <w:color w:val="auto"/>
                <w:kern w:val="0"/>
                <w:szCs w:val="21"/>
                <w:highlight w:val="none"/>
              </w:rPr>
              <w:t>本磋商文件未尽事宜，按《中华人民共和国政府采购法》等法律法规的有关规定执行。</w:t>
            </w:r>
          </w:p>
        </w:tc>
      </w:tr>
    </w:tbl>
    <w:p>
      <w:pPr>
        <w:pStyle w:val="29"/>
        <w:rPr>
          <w:color w:val="auto"/>
          <w:highlight w:val="none"/>
        </w:rPr>
      </w:pPr>
      <w:bookmarkStart w:id="9" w:name="_Toc12291"/>
      <w:bookmarkStart w:id="10" w:name="_Toc421284740"/>
      <w:bookmarkStart w:id="11" w:name="_Toc28006"/>
      <w:bookmarkStart w:id="12" w:name="_Toc175644026"/>
    </w:p>
    <w:p>
      <w:pPr>
        <w:pStyle w:val="4"/>
        <w:numPr>
          <w:ilvl w:val="0"/>
          <w:numId w:val="1"/>
        </w:numPr>
        <w:spacing w:before="0" w:after="0" w:line="440" w:lineRule="exact"/>
        <w:jc w:val="left"/>
        <w:rPr>
          <w:rStyle w:val="36"/>
          <w:rFonts w:ascii="宋体" w:hAnsi="宋体" w:eastAsia="宋体" w:cs="宋体"/>
          <w:b/>
          <w:bCs/>
          <w:color w:val="auto"/>
          <w:highlight w:val="none"/>
        </w:rPr>
      </w:pPr>
      <w:bookmarkStart w:id="13" w:name="_Toc14155"/>
      <w:r>
        <w:rPr>
          <w:rStyle w:val="36"/>
          <w:rFonts w:hint="eastAsia" w:ascii="宋体" w:hAnsi="宋体" w:eastAsia="宋体" w:cs="宋体"/>
          <w:b/>
          <w:bCs/>
          <w:color w:val="auto"/>
          <w:highlight w:val="none"/>
        </w:rPr>
        <w:t>总则</w:t>
      </w:r>
      <w:bookmarkEnd w:id="9"/>
      <w:bookmarkEnd w:id="10"/>
      <w:bookmarkEnd w:id="13"/>
    </w:p>
    <w:p>
      <w:pPr>
        <w:numPr>
          <w:ilvl w:val="0"/>
          <w:numId w:val="2"/>
        </w:numPr>
        <w:tabs>
          <w:tab w:val="left" w:pos="0"/>
        </w:tabs>
        <w:spacing w:line="360" w:lineRule="auto"/>
        <w:ind w:left="0" w:firstLine="424" w:firstLineChars="176"/>
        <w:rPr>
          <w:rFonts w:ascii="Times New Roman" w:hAnsi="Times New Roman"/>
          <w:b/>
          <w:color w:val="auto"/>
          <w:sz w:val="24"/>
          <w:szCs w:val="24"/>
          <w:highlight w:val="none"/>
        </w:rPr>
      </w:pPr>
      <w:r>
        <w:rPr>
          <w:rFonts w:ascii="Times New Roman" w:hAnsi="Times New Roman"/>
          <w:b/>
          <w:color w:val="auto"/>
          <w:sz w:val="24"/>
          <w:szCs w:val="24"/>
          <w:highlight w:val="none"/>
        </w:rPr>
        <w:t>适用范围</w:t>
      </w:r>
    </w:p>
    <w:p>
      <w:pPr>
        <w:tabs>
          <w:tab w:val="left" w:pos="0"/>
          <w:tab w:val="left" w:pos="720"/>
        </w:tabs>
        <w:spacing w:line="360" w:lineRule="auto"/>
        <w:ind w:firstLine="369" w:firstLineChars="176"/>
        <w:rPr>
          <w:rFonts w:ascii="Times New Roman" w:hAnsi="Times New Roman"/>
          <w:color w:val="auto"/>
          <w:szCs w:val="21"/>
          <w:highlight w:val="none"/>
        </w:rPr>
      </w:pPr>
      <w:r>
        <w:rPr>
          <w:rFonts w:ascii="Times New Roman" w:hAnsi="Times New Roman"/>
          <w:color w:val="auto"/>
          <w:szCs w:val="21"/>
          <w:highlight w:val="none"/>
        </w:rPr>
        <w:t>1.1本范本是根据《中华人民共和国政府采购法》、《中华人民共和国政府采购法实施条例》、《</w:t>
      </w:r>
      <w:r>
        <w:rPr>
          <w:rFonts w:ascii="Times New Roman" w:hAnsi="Times New Roman"/>
          <w:snapToGrid w:val="0"/>
          <w:color w:val="auto"/>
          <w:kern w:val="0"/>
          <w:szCs w:val="21"/>
          <w:highlight w:val="none"/>
        </w:rPr>
        <w:t>政府采购竞争性磋商采购方式管理暂行办法</w:t>
      </w:r>
      <w:r>
        <w:rPr>
          <w:rFonts w:ascii="Times New Roman" w:hAnsi="Times New Roman"/>
          <w:color w:val="auto"/>
          <w:szCs w:val="21"/>
          <w:highlight w:val="none"/>
        </w:rPr>
        <w:t>》、</w:t>
      </w:r>
      <w:r>
        <w:rPr>
          <w:rFonts w:ascii="Times New Roman" w:hAnsi="Times New Roman"/>
          <w:color w:val="auto"/>
          <w:szCs w:val="21"/>
          <w:highlight w:val="none"/>
          <w:shd w:val="clear" w:color="auto" w:fill="FFFFFF"/>
        </w:rPr>
        <w:t>《政府采购非招标采购方式管理办法》、</w:t>
      </w:r>
      <w:r>
        <w:rPr>
          <w:rFonts w:ascii="Times New Roman" w:hAnsi="Times New Roman"/>
          <w:color w:val="auto"/>
          <w:kern w:val="0"/>
          <w:szCs w:val="21"/>
          <w:highlight w:val="none"/>
        </w:rPr>
        <w:t>《政府采购货物和服务招标投标管理办法》</w:t>
      </w:r>
      <w:r>
        <w:rPr>
          <w:rFonts w:ascii="Times New Roman" w:hAnsi="Times New Roman"/>
          <w:color w:val="auto"/>
          <w:szCs w:val="21"/>
          <w:highlight w:val="none"/>
        </w:rPr>
        <w:t>等相关法律法规、部门规章制订。</w:t>
      </w:r>
    </w:p>
    <w:p>
      <w:pPr>
        <w:tabs>
          <w:tab w:val="left" w:pos="0"/>
          <w:tab w:val="left" w:pos="720"/>
        </w:tabs>
        <w:spacing w:line="360" w:lineRule="auto"/>
        <w:ind w:firstLine="369" w:firstLineChars="176"/>
        <w:rPr>
          <w:rFonts w:ascii="Times New Roman" w:hAnsi="Times New Roman"/>
          <w:color w:val="auto"/>
          <w:szCs w:val="21"/>
          <w:highlight w:val="none"/>
        </w:rPr>
      </w:pPr>
      <w:r>
        <w:rPr>
          <w:rFonts w:ascii="Times New Roman" w:hAnsi="Times New Roman"/>
          <w:color w:val="auto"/>
          <w:szCs w:val="21"/>
          <w:highlight w:val="none"/>
        </w:rPr>
        <w:t>1.2本磋商文件仅适用于本次竞争性磋商采购所叙述的采购项目。</w:t>
      </w:r>
      <w:r>
        <w:rPr>
          <w:rFonts w:ascii="Times New Roman" w:hAnsi="Times New Roman"/>
          <w:color w:val="auto"/>
          <w:szCs w:val="21"/>
          <w:highlight w:val="none"/>
          <w:shd w:val="clear" w:color="auto" w:fill="FFFFFF"/>
        </w:rPr>
        <w:t>供应商应当按照磋商文件的要求编制响应文件。</w:t>
      </w:r>
      <w:r>
        <w:rPr>
          <w:rFonts w:ascii="Times New Roman" w:hAnsi="Times New Roman"/>
          <w:color w:val="auto"/>
          <w:kern w:val="0"/>
          <w:szCs w:val="21"/>
          <w:highlight w:val="none"/>
        </w:rPr>
        <w:t>供应商编制响应文件时，不得向采购人提出任何磋商文件要求（规定的条件）之外的附加条件，</w:t>
      </w:r>
      <w:r>
        <w:rPr>
          <w:rFonts w:ascii="Times New Roman" w:hAnsi="Times New Roman"/>
          <w:color w:val="auto"/>
          <w:szCs w:val="21"/>
          <w:highlight w:val="none"/>
          <w:shd w:val="clear" w:color="auto" w:fill="FFFFFF"/>
        </w:rPr>
        <w:t>并对其提交的响应文件的真实性、合法性承担法律责任。</w:t>
      </w:r>
    </w:p>
    <w:p>
      <w:pPr>
        <w:numPr>
          <w:ilvl w:val="0"/>
          <w:numId w:val="2"/>
        </w:numPr>
        <w:tabs>
          <w:tab w:val="left" w:pos="0"/>
        </w:tabs>
        <w:spacing w:line="360" w:lineRule="auto"/>
        <w:ind w:left="0" w:firstLine="371" w:firstLineChars="176"/>
        <w:rPr>
          <w:rFonts w:ascii="Times New Roman" w:hAnsi="Times New Roman"/>
          <w:b/>
          <w:color w:val="auto"/>
          <w:szCs w:val="21"/>
          <w:highlight w:val="none"/>
        </w:rPr>
      </w:pPr>
      <w:r>
        <w:rPr>
          <w:rFonts w:ascii="Times New Roman" w:hAnsi="Times New Roman"/>
          <w:b/>
          <w:color w:val="auto"/>
          <w:szCs w:val="21"/>
          <w:highlight w:val="none"/>
        </w:rPr>
        <w:t>定义</w:t>
      </w:r>
    </w:p>
    <w:p>
      <w:pPr>
        <w:tabs>
          <w:tab w:val="left" w:pos="0"/>
          <w:tab w:val="left" w:pos="720"/>
        </w:tabs>
        <w:spacing w:line="360" w:lineRule="auto"/>
        <w:ind w:firstLine="369" w:firstLineChars="176"/>
        <w:rPr>
          <w:rFonts w:ascii="Times New Roman" w:hAnsi="Times New Roman"/>
          <w:color w:val="auto"/>
          <w:szCs w:val="21"/>
          <w:highlight w:val="none"/>
        </w:rPr>
      </w:pPr>
      <w:r>
        <w:rPr>
          <w:rFonts w:ascii="Times New Roman" w:hAnsi="Times New Roman"/>
          <w:color w:val="auto"/>
          <w:szCs w:val="21"/>
          <w:highlight w:val="none"/>
        </w:rPr>
        <w:t>2.1服务：</w:t>
      </w:r>
      <w:r>
        <w:rPr>
          <w:rFonts w:ascii="Times New Roman" w:hAnsi="Times New Roman"/>
          <w:color w:val="auto"/>
          <w:kern w:val="0"/>
          <w:szCs w:val="21"/>
          <w:highlight w:val="none"/>
          <w:shd w:val="clear" w:color="auto" w:fill="FFFFFF"/>
        </w:rPr>
        <w:t>是指除货物和工程以外的其他政府采购对象，</w:t>
      </w:r>
      <w:r>
        <w:rPr>
          <w:rFonts w:ascii="Times New Roman" w:hAnsi="Times New Roman"/>
          <w:color w:val="auto"/>
          <w:szCs w:val="21"/>
          <w:highlight w:val="none"/>
        </w:rPr>
        <w:t>包括政府自身需要的服务和政府向社会公众提供的公共服务。</w:t>
      </w:r>
    </w:p>
    <w:p>
      <w:pPr>
        <w:tabs>
          <w:tab w:val="left" w:pos="0"/>
          <w:tab w:val="left" w:pos="720"/>
        </w:tabs>
        <w:spacing w:line="360" w:lineRule="auto"/>
        <w:ind w:firstLine="369" w:firstLineChars="176"/>
        <w:rPr>
          <w:rFonts w:ascii="Times New Roman" w:hAnsi="Times New Roman"/>
          <w:color w:val="auto"/>
          <w:szCs w:val="21"/>
          <w:highlight w:val="none"/>
        </w:rPr>
      </w:pPr>
      <w:r>
        <w:rPr>
          <w:rFonts w:ascii="Times New Roman" w:hAnsi="Times New Roman"/>
          <w:color w:val="auto"/>
          <w:szCs w:val="21"/>
          <w:highlight w:val="none"/>
        </w:rPr>
        <w:t>2.2采购代理机构：是指接受采购人委托，代理政府采购项目的集中采购机构、社会中介采购代理机构的总称。具体项目的采购代理机构，在供应商须知前附表序号</w:t>
      </w:r>
      <w:r>
        <w:rPr>
          <w:rFonts w:hint="eastAsia" w:ascii="Times New Roman" w:hAnsi="Times New Roman"/>
          <w:color w:val="auto"/>
          <w:szCs w:val="21"/>
          <w:highlight w:val="none"/>
        </w:rPr>
        <w:t>1.1.</w:t>
      </w:r>
      <w:r>
        <w:rPr>
          <w:rFonts w:ascii="Times New Roman" w:hAnsi="Times New Roman"/>
          <w:color w:val="auto"/>
          <w:szCs w:val="21"/>
          <w:highlight w:val="none"/>
        </w:rPr>
        <w:t>3中规定。</w:t>
      </w:r>
    </w:p>
    <w:p>
      <w:pPr>
        <w:tabs>
          <w:tab w:val="left" w:pos="0"/>
        </w:tabs>
        <w:spacing w:line="360" w:lineRule="auto"/>
        <w:ind w:left="181" w:leftChars="86" w:firstLine="210" w:firstLineChars="100"/>
        <w:rPr>
          <w:rFonts w:ascii="Times New Roman" w:hAnsi="Times New Roman"/>
          <w:color w:val="auto"/>
          <w:szCs w:val="21"/>
          <w:highlight w:val="none"/>
        </w:rPr>
      </w:pPr>
      <w:r>
        <w:rPr>
          <w:rFonts w:ascii="Times New Roman" w:hAnsi="Times New Roman"/>
          <w:color w:val="auto"/>
          <w:szCs w:val="21"/>
          <w:highlight w:val="none"/>
        </w:rPr>
        <w:t>2.3采购人: 是指依法进行政府采购的国家机关、事业单位、团体组织。既本次采购项目的业主方。</w:t>
      </w:r>
    </w:p>
    <w:p>
      <w:pPr>
        <w:tabs>
          <w:tab w:val="left" w:pos="0"/>
        </w:tabs>
        <w:spacing w:line="360" w:lineRule="auto"/>
        <w:ind w:left="178" w:leftChars="85" w:firstLine="210" w:firstLineChars="100"/>
        <w:rPr>
          <w:rFonts w:ascii="Times New Roman" w:hAnsi="Times New Roman"/>
          <w:color w:val="auto"/>
          <w:szCs w:val="21"/>
          <w:highlight w:val="none"/>
        </w:rPr>
      </w:pPr>
      <w:r>
        <w:rPr>
          <w:rFonts w:ascii="Times New Roman" w:hAnsi="Times New Roman"/>
          <w:color w:val="auto"/>
          <w:szCs w:val="21"/>
          <w:highlight w:val="none"/>
        </w:rPr>
        <w:t>2.4供应商：是指向采购人提供货物、工程或者服务的法人、其他组织或者自然人。即对“供应商须知前附表”</w:t>
      </w:r>
      <w:r>
        <w:rPr>
          <w:rFonts w:hint="eastAsia" w:ascii="Times New Roman" w:hAnsi="Times New Roman"/>
          <w:color w:val="auto"/>
          <w:szCs w:val="21"/>
          <w:highlight w:val="none"/>
        </w:rPr>
        <w:t>1.1.4</w:t>
      </w:r>
      <w:r>
        <w:rPr>
          <w:rFonts w:ascii="Times New Roman" w:hAnsi="Times New Roman"/>
          <w:color w:val="auto"/>
          <w:szCs w:val="21"/>
          <w:highlight w:val="none"/>
        </w:rPr>
        <w:t>所指称项目表现出兴趣，并有可能实际参与该项目竞争的法人、其他组织或者自然人。</w:t>
      </w:r>
    </w:p>
    <w:p>
      <w:pPr>
        <w:tabs>
          <w:tab w:val="left" w:pos="0"/>
        </w:tabs>
        <w:spacing w:line="360" w:lineRule="auto"/>
        <w:ind w:left="178" w:leftChars="85" w:firstLine="210" w:firstLineChars="100"/>
        <w:rPr>
          <w:rFonts w:ascii="Times New Roman" w:hAnsi="Times New Roman"/>
          <w:color w:val="auto"/>
          <w:kern w:val="0"/>
          <w:szCs w:val="21"/>
          <w:highlight w:val="none"/>
        </w:rPr>
      </w:pPr>
      <w:r>
        <w:rPr>
          <w:rFonts w:ascii="Times New Roman" w:hAnsi="Times New Roman"/>
          <w:color w:val="auto"/>
          <w:szCs w:val="21"/>
          <w:highlight w:val="none"/>
        </w:rPr>
        <w:t>2.5 磋商小组：是指</w:t>
      </w:r>
      <w:r>
        <w:rPr>
          <w:rFonts w:ascii="Times New Roman" w:hAnsi="Times New Roman"/>
          <w:color w:val="auto"/>
          <w:kern w:val="0"/>
          <w:szCs w:val="21"/>
          <w:highlight w:val="none"/>
        </w:rPr>
        <w:t>依据《中华人民共和国政府采购法》、</w:t>
      </w:r>
      <w:r>
        <w:rPr>
          <w:rFonts w:ascii="Times New Roman" w:hAnsi="Times New Roman"/>
          <w:color w:val="auto"/>
          <w:szCs w:val="21"/>
          <w:highlight w:val="none"/>
        </w:rPr>
        <w:t>《中华人民共和国政府采购法实施条例》</w:t>
      </w:r>
      <w:r>
        <w:rPr>
          <w:rFonts w:ascii="Times New Roman" w:hAnsi="Times New Roman"/>
          <w:color w:val="auto"/>
          <w:kern w:val="0"/>
          <w:szCs w:val="21"/>
          <w:highlight w:val="none"/>
        </w:rPr>
        <w:t>和财政部</w:t>
      </w:r>
      <w:r>
        <w:rPr>
          <w:rFonts w:ascii="Times New Roman" w:hAnsi="Times New Roman"/>
          <w:color w:val="auto"/>
          <w:szCs w:val="21"/>
          <w:highlight w:val="none"/>
        </w:rPr>
        <w:t>《</w:t>
      </w:r>
      <w:r>
        <w:rPr>
          <w:rFonts w:ascii="Times New Roman" w:hAnsi="Times New Roman"/>
          <w:snapToGrid w:val="0"/>
          <w:color w:val="auto"/>
          <w:kern w:val="0"/>
          <w:szCs w:val="21"/>
          <w:highlight w:val="none"/>
        </w:rPr>
        <w:t>政府采购竞争性磋商采购方式管理暂行办法</w:t>
      </w:r>
      <w:r>
        <w:rPr>
          <w:rFonts w:ascii="Times New Roman" w:hAnsi="Times New Roman"/>
          <w:color w:val="auto"/>
          <w:szCs w:val="21"/>
          <w:highlight w:val="none"/>
        </w:rPr>
        <w:t>》</w:t>
      </w:r>
      <w:r>
        <w:rPr>
          <w:rFonts w:ascii="Times New Roman" w:hAnsi="Times New Roman"/>
          <w:bCs/>
          <w:color w:val="auto"/>
          <w:kern w:val="36"/>
          <w:szCs w:val="21"/>
          <w:highlight w:val="none"/>
        </w:rPr>
        <w:t>有关规定组建，依法依规</w:t>
      </w:r>
      <w:r>
        <w:rPr>
          <w:rFonts w:ascii="Times New Roman" w:hAnsi="Times New Roman"/>
          <w:color w:val="auto"/>
          <w:kern w:val="0"/>
          <w:szCs w:val="21"/>
          <w:highlight w:val="none"/>
        </w:rPr>
        <w:t>履行其职责和义务的机构。</w:t>
      </w:r>
    </w:p>
    <w:p>
      <w:pPr>
        <w:numPr>
          <w:ilvl w:val="0"/>
          <w:numId w:val="2"/>
        </w:numPr>
        <w:tabs>
          <w:tab w:val="left" w:pos="0"/>
        </w:tabs>
        <w:spacing w:line="360" w:lineRule="auto"/>
        <w:ind w:left="0" w:firstLine="371" w:firstLineChars="176"/>
        <w:rPr>
          <w:rFonts w:ascii="Times New Roman" w:hAnsi="Times New Roman"/>
          <w:b/>
          <w:color w:val="auto"/>
          <w:szCs w:val="21"/>
          <w:highlight w:val="none"/>
        </w:rPr>
      </w:pPr>
      <w:r>
        <w:rPr>
          <w:rFonts w:ascii="Times New Roman" w:hAnsi="Times New Roman"/>
          <w:b/>
          <w:color w:val="auto"/>
          <w:szCs w:val="21"/>
          <w:highlight w:val="none"/>
        </w:rPr>
        <w:t>合格的供应商</w:t>
      </w:r>
    </w:p>
    <w:p>
      <w:pPr>
        <w:tabs>
          <w:tab w:val="left" w:pos="0"/>
          <w:tab w:val="left" w:pos="720"/>
        </w:tabs>
        <w:spacing w:line="360" w:lineRule="auto"/>
        <w:ind w:firstLine="369" w:firstLineChars="176"/>
        <w:rPr>
          <w:rFonts w:ascii="Times New Roman" w:hAnsi="Times New Roman"/>
          <w:color w:val="auto"/>
          <w:szCs w:val="21"/>
          <w:highlight w:val="none"/>
        </w:rPr>
      </w:pPr>
      <w:r>
        <w:rPr>
          <w:rFonts w:ascii="Times New Roman" w:hAnsi="Times New Roman"/>
          <w:color w:val="auto"/>
          <w:szCs w:val="21"/>
          <w:highlight w:val="none"/>
        </w:rPr>
        <w:t>3.1根据政府采购法的规定，参与政府采购活动的供应商必须是满足</w:t>
      </w:r>
      <w:r>
        <w:rPr>
          <w:rFonts w:ascii="Times New Roman" w:hAnsi="Times New Roman"/>
          <w:color w:val="auto"/>
          <w:kern w:val="0"/>
          <w:szCs w:val="21"/>
          <w:highlight w:val="none"/>
        </w:rPr>
        <w:t>《政府采购法》第二十二条规定的全部条件</w:t>
      </w:r>
      <w:r>
        <w:rPr>
          <w:rFonts w:ascii="Times New Roman" w:hAnsi="Times New Roman"/>
          <w:color w:val="auto"/>
          <w:szCs w:val="21"/>
          <w:highlight w:val="none"/>
        </w:rPr>
        <w:t>的法人、其他组织或者自然人：</w:t>
      </w:r>
    </w:p>
    <w:p>
      <w:pPr>
        <w:adjustRightInd w:val="0"/>
        <w:snapToGrid w:val="0"/>
        <w:spacing w:line="360" w:lineRule="auto"/>
        <w:ind w:firstLine="480"/>
        <w:rPr>
          <w:rFonts w:ascii="Times New Roman" w:hAnsi="Times New Roman"/>
          <w:color w:val="auto"/>
          <w:szCs w:val="21"/>
          <w:highlight w:val="none"/>
        </w:rPr>
      </w:pPr>
      <w:r>
        <w:rPr>
          <w:rFonts w:hint="eastAsia" w:ascii="Times New Roman" w:hAnsi="Times New Roman"/>
          <w:color w:val="auto"/>
          <w:szCs w:val="21"/>
          <w:highlight w:val="none"/>
        </w:rPr>
        <w:t>3.1.1</w:t>
      </w:r>
      <w:r>
        <w:rPr>
          <w:rFonts w:hint="eastAsia" w:ascii="Times New Roman" w:hAnsi="Times New Roman"/>
          <w:color w:val="auto"/>
          <w:szCs w:val="21"/>
          <w:highlight w:val="none"/>
          <w:lang w:eastAsia="zh-CN"/>
        </w:rPr>
        <w:t>供应商应具有经营范围符合本项目要求且有效的营业执照等；并在人员、设备、资金等方面具有相应的施工及服务能力；</w:t>
      </w:r>
    </w:p>
    <w:p>
      <w:pPr>
        <w:adjustRightInd w:val="0"/>
        <w:snapToGrid w:val="0"/>
        <w:spacing w:line="360" w:lineRule="auto"/>
        <w:ind w:firstLine="480"/>
        <w:rPr>
          <w:rFonts w:hint="default" w:eastAsia="黑体"/>
          <w:color w:val="auto"/>
          <w:highlight w:val="none"/>
          <w:lang w:val="en-US" w:eastAsia="zh-CN"/>
        </w:rPr>
      </w:pPr>
      <w:r>
        <w:rPr>
          <w:rFonts w:hint="eastAsia" w:ascii="Times New Roman" w:hAnsi="Times New Roman"/>
          <w:color w:val="auto"/>
          <w:szCs w:val="21"/>
          <w:highlight w:val="none"/>
        </w:rPr>
        <w:t>3.1.2</w:t>
      </w:r>
      <w:r>
        <w:rPr>
          <w:rFonts w:ascii="Times New Roman" w:hAnsi="Times New Roman"/>
          <w:color w:val="auto"/>
          <w:szCs w:val="21"/>
          <w:highlight w:val="none"/>
        </w:rPr>
        <w:t xml:space="preserve"> </w:t>
      </w:r>
      <w:r>
        <w:rPr>
          <w:rFonts w:hint="eastAsia" w:ascii="Times New Roman" w:hAnsi="Times New Roman"/>
          <w:color w:val="auto"/>
          <w:szCs w:val="21"/>
          <w:highlight w:val="none"/>
        </w:rPr>
        <w:t>供应商需提供提供无行贿犯罪记录承诺书原件（内容包括：企业法人、法定代表人、法定代表授权委托人）</w:t>
      </w:r>
    </w:p>
    <w:p>
      <w:pPr>
        <w:adjustRightInd w:val="0"/>
        <w:snapToGrid w:val="0"/>
        <w:spacing w:line="360" w:lineRule="auto"/>
        <w:ind w:firstLine="420" w:firstLineChars="200"/>
        <w:rPr>
          <w:rFonts w:ascii="Times New Roman" w:hAnsi="Times New Roman"/>
          <w:color w:val="auto"/>
          <w:szCs w:val="21"/>
          <w:highlight w:val="none"/>
        </w:rPr>
      </w:pPr>
      <w:r>
        <w:rPr>
          <w:rFonts w:hint="eastAsia" w:ascii="Times New Roman" w:hAnsi="Times New Roman"/>
          <w:color w:val="auto"/>
          <w:szCs w:val="21"/>
          <w:highlight w:val="none"/>
        </w:rPr>
        <w:t>3.1.</w:t>
      </w:r>
      <w:r>
        <w:rPr>
          <w:rFonts w:hint="eastAsia" w:ascii="Times New Roman" w:hAnsi="Times New Roman"/>
          <w:color w:val="auto"/>
          <w:szCs w:val="21"/>
          <w:highlight w:val="none"/>
          <w:lang w:val="en-US" w:eastAsia="zh-CN"/>
        </w:rPr>
        <w:t>4</w:t>
      </w:r>
      <w:r>
        <w:rPr>
          <w:rFonts w:ascii="Times New Roman" w:hAnsi="Times New Roman"/>
          <w:color w:val="auto"/>
          <w:szCs w:val="21"/>
          <w:highlight w:val="none"/>
        </w:rPr>
        <w:t>本项目不接受联合体投标。</w:t>
      </w:r>
    </w:p>
    <w:p>
      <w:pPr>
        <w:tabs>
          <w:tab w:val="left" w:pos="0"/>
          <w:tab w:val="left" w:pos="720"/>
        </w:tabs>
        <w:spacing w:line="360" w:lineRule="auto"/>
        <w:ind w:left="267" w:leftChars="127"/>
        <w:rPr>
          <w:rFonts w:ascii="Times New Roman" w:hAnsi="Times New Roman"/>
          <w:color w:val="auto"/>
          <w:szCs w:val="21"/>
          <w:highlight w:val="none"/>
        </w:rPr>
      </w:pPr>
      <w:r>
        <w:rPr>
          <w:rFonts w:ascii="Times New Roman" w:hAnsi="Times New Roman"/>
          <w:color w:val="auto"/>
          <w:szCs w:val="21"/>
          <w:highlight w:val="none"/>
        </w:rPr>
        <w:t>3.2由于政府采购项目的差异性，供应商在参与具体政府采购项目活动时，还要仔细阅读该项目（或包）的资质及相关要求。</w:t>
      </w:r>
    </w:p>
    <w:p>
      <w:pPr>
        <w:tabs>
          <w:tab w:val="left" w:pos="0"/>
          <w:tab w:val="left" w:pos="720"/>
        </w:tabs>
        <w:spacing w:line="360" w:lineRule="auto"/>
        <w:ind w:firstLine="371" w:firstLineChars="176"/>
        <w:rPr>
          <w:rFonts w:ascii="Times New Roman" w:hAnsi="Times New Roman"/>
          <w:b/>
          <w:color w:val="auto"/>
          <w:szCs w:val="21"/>
          <w:highlight w:val="none"/>
        </w:rPr>
      </w:pPr>
      <w:r>
        <w:rPr>
          <w:rFonts w:ascii="Times New Roman" w:hAnsi="Times New Roman"/>
          <w:b/>
          <w:color w:val="auto"/>
          <w:szCs w:val="21"/>
          <w:highlight w:val="none"/>
        </w:rPr>
        <w:t>4、供应商参与磋商活动的费用以及风险</w:t>
      </w:r>
    </w:p>
    <w:p>
      <w:pPr>
        <w:tabs>
          <w:tab w:val="left" w:pos="0"/>
          <w:tab w:val="left" w:pos="720"/>
        </w:tabs>
        <w:spacing w:line="360" w:lineRule="auto"/>
        <w:ind w:left="359" w:leftChars="171" w:firstLine="369" w:firstLineChars="176"/>
        <w:rPr>
          <w:rFonts w:ascii="Times New Roman" w:hAnsi="Times New Roman"/>
          <w:color w:val="auto"/>
          <w:szCs w:val="21"/>
          <w:highlight w:val="none"/>
        </w:rPr>
      </w:pPr>
      <w:r>
        <w:rPr>
          <w:rFonts w:ascii="Times New Roman" w:hAnsi="Times New Roman"/>
          <w:color w:val="auto"/>
          <w:szCs w:val="21"/>
          <w:highlight w:val="none"/>
        </w:rPr>
        <w:t>4.1供应商必须自行承担所有与参加政府采购活动的有关费用。不论结果如何，采购代理机构在任何情况下均无义务和责任承担这些费用。</w:t>
      </w:r>
    </w:p>
    <w:p>
      <w:pPr>
        <w:tabs>
          <w:tab w:val="left" w:pos="0"/>
        </w:tabs>
        <w:spacing w:line="360" w:lineRule="auto"/>
        <w:ind w:left="315" w:leftChars="150" w:firstLine="369" w:firstLineChars="176"/>
        <w:rPr>
          <w:rFonts w:ascii="Times New Roman" w:hAnsi="Times New Roman"/>
          <w:color w:val="auto"/>
          <w:szCs w:val="21"/>
          <w:highlight w:val="none"/>
        </w:rPr>
      </w:pPr>
      <w:r>
        <w:rPr>
          <w:rFonts w:ascii="Times New Roman" w:hAnsi="Times New Roman"/>
          <w:color w:val="auto"/>
          <w:szCs w:val="21"/>
          <w:highlight w:val="none"/>
        </w:rPr>
        <w:t>4.2供应商一旦购买了磋商文件并参加本次政府采购活动，即被认为接受了磋商文件中的所有条件和规定。</w:t>
      </w:r>
    </w:p>
    <w:p>
      <w:pPr>
        <w:tabs>
          <w:tab w:val="left" w:pos="0"/>
        </w:tabs>
        <w:spacing w:line="360" w:lineRule="auto"/>
        <w:ind w:left="315" w:leftChars="150" w:firstLine="369" w:firstLineChars="176"/>
        <w:rPr>
          <w:rFonts w:ascii="Times New Roman" w:hAnsi="Times New Roman"/>
          <w:color w:val="auto"/>
          <w:szCs w:val="21"/>
          <w:highlight w:val="none"/>
        </w:rPr>
      </w:pPr>
      <w:r>
        <w:rPr>
          <w:rFonts w:ascii="Times New Roman" w:hAnsi="Times New Roman"/>
          <w:color w:val="auto"/>
          <w:szCs w:val="21"/>
          <w:highlight w:val="none"/>
        </w:rPr>
        <w:t>4.3供应商应认真阅读磋商文件中所有的事项、格式、条款和规范等要求。如果没有按照磋商文件要求提交全部资料，或没有对磋商文件做出实质性响应，其风险应由供应商自行承担。</w:t>
      </w:r>
    </w:p>
    <w:p>
      <w:pPr>
        <w:tabs>
          <w:tab w:val="left" w:pos="0"/>
        </w:tabs>
        <w:spacing w:line="360" w:lineRule="auto"/>
        <w:ind w:left="271" w:leftChars="129" w:firstLine="369" w:firstLineChars="176"/>
        <w:rPr>
          <w:rFonts w:ascii="Times New Roman" w:hAnsi="Times New Roman"/>
          <w:color w:val="auto"/>
          <w:szCs w:val="21"/>
          <w:highlight w:val="none"/>
        </w:rPr>
      </w:pPr>
      <w:r>
        <w:rPr>
          <w:rFonts w:ascii="Times New Roman" w:hAnsi="Times New Roman"/>
          <w:color w:val="auto"/>
          <w:szCs w:val="21"/>
          <w:highlight w:val="none"/>
        </w:rPr>
        <w:t>4.4供应商所提供的所有资料（包括</w:t>
      </w:r>
      <w:r>
        <w:rPr>
          <w:rFonts w:ascii="Times New Roman" w:hAnsi="Times New Roman"/>
          <w:bCs/>
          <w:color w:val="auto"/>
          <w:szCs w:val="21"/>
          <w:highlight w:val="none"/>
        </w:rPr>
        <w:t>彩色扫描件、</w:t>
      </w:r>
      <w:r>
        <w:rPr>
          <w:rFonts w:ascii="Times New Roman" w:hAnsi="Times New Roman"/>
          <w:color w:val="auto"/>
          <w:szCs w:val="21"/>
          <w:highlight w:val="none"/>
        </w:rPr>
        <w:t>复印件、影印打印件等）必须清晰，如因提供的资料难以辨认，其风险由供应商自行承担。</w:t>
      </w:r>
    </w:p>
    <w:p>
      <w:pPr>
        <w:tabs>
          <w:tab w:val="left" w:pos="0"/>
        </w:tabs>
        <w:spacing w:line="360" w:lineRule="auto"/>
        <w:ind w:left="271" w:leftChars="129" w:firstLine="369" w:firstLineChars="176"/>
        <w:rPr>
          <w:rFonts w:ascii="Times New Roman" w:hAnsi="Times New Roman"/>
          <w:color w:val="auto"/>
          <w:szCs w:val="21"/>
          <w:highlight w:val="none"/>
        </w:rPr>
      </w:pPr>
      <w:r>
        <w:rPr>
          <w:rFonts w:ascii="Times New Roman" w:hAnsi="Times New Roman"/>
          <w:color w:val="auto"/>
          <w:szCs w:val="21"/>
          <w:highlight w:val="none"/>
        </w:rPr>
        <w:t>4.5供应商必须保证采购人使用货物、资料、技术、服务或其任何一部分时，享有不受限制的无偿使用权，不会产生因第三方提出侵犯其专利权、商标权或其它知识产权而引起的法律或经济纠纷。如供应商不拥有相应的知识产权，则在报价中必须包括合法获取该知识产权的一切相关费用，若因供应商提供的货物、资料、技术、服务或其任何一部分侵犯第三方的专利权、商标权或其它知识产权而引起的法律或经济纠纷，导致采购人损失，一切赔偿费用由供应商承担。</w:t>
      </w:r>
    </w:p>
    <w:bookmarkEnd w:id="11"/>
    <w:p>
      <w:pPr>
        <w:pStyle w:val="4"/>
        <w:spacing w:before="0" w:after="0" w:line="440" w:lineRule="exact"/>
        <w:ind w:left="468" w:firstLine="0"/>
        <w:jc w:val="left"/>
        <w:rPr>
          <w:rStyle w:val="36"/>
          <w:rFonts w:ascii="宋体" w:hAnsi="宋体" w:eastAsia="宋体" w:cs="宋体"/>
          <w:b/>
          <w:bCs/>
          <w:color w:val="auto"/>
          <w:highlight w:val="none"/>
        </w:rPr>
      </w:pPr>
      <w:bookmarkStart w:id="14" w:name="_Toc5706"/>
      <w:bookmarkStart w:id="15" w:name="_Toc421284742"/>
      <w:bookmarkStart w:id="16" w:name="_Toc1866"/>
      <w:bookmarkStart w:id="17" w:name="_Toc5872"/>
      <w:r>
        <w:rPr>
          <w:rStyle w:val="36"/>
          <w:rFonts w:ascii="宋体" w:hAnsi="宋体" w:eastAsia="宋体" w:cs="宋体"/>
          <w:b/>
          <w:bCs/>
          <w:color w:val="auto"/>
          <w:highlight w:val="none"/>
        </w:rPr>
        <w:t>2.</w:t>
      </w:r>
      <w:r>
        <w:rPr>
          <w:rStyle w:val="36"/>
          <w:rFonts w:hint="eastAsia" w:ascii="宋体" w:hAnsi="宋体" w:eastAsia="宋体" w:cs="宋体"/>
          <w:b/>
          <w:bCs/>
          <w:color w:val="auto"/>
          <w:highlight w:val="none"/>
        </w:rPr>
        <w:t>磋商文件</w:t>
      </w:r>
      <w:bookmarkEnd w:id="14"/>
      <w:bookmarkEnd w:id="15"/>
      <w:bookmarkEnd w:id="16"/>
      <w:bookmarkEnd w:id="17"/>
    </w:p>
    <w:p>
      <w:pPr>
        <w:autoSpaceDE w:val="0"/>
        <w:autoSpaceDN w:val="0"/>
        <w:adjustRightInd w:val="0"/>
        <w:spacing w:line="440" w:lineRule="exact"/>
        <w:ind w:firstLine="482" w:firstLineChars="200"/>
        <w:jc w:val="left"/>
        <w:rPr>
          <w:rFonts w:ascii="宋体" w:cs="宋体"/>
          <w:b/>
          <w:color w:val="auto"/>
          <w:kern w:val="0"/>
          <w:sz w:val="24"/>
          <w:highlight w:val="none"/>
        </w:rPr>
      </w:pPr>
      <w:r>
        <w:rPr>
          <w:rFonts w:ascii="宋体" w:hAnsi="宋体" w:cs="宋体"/>
          <w:b/>
          <w:color w:val="auto"/>
          <w:kern w:val="0"/>
          <w:sz w:val="24"/>
          <w:highlight w:val="none"/>
        </w:rPr>
        <w:t xml:space="preserve">2.1 </w:t>
      </w:r>
      <w:r>
        <w:rPr>
          <w:rFonts w:hint="eastAsia" w:ascii="宋体" w:hAnsi="宋体" w:cs="宋体"/>
          <w:b/>
          <w:color w:val="auto"/>
          <w:kern w:val="0"/>
          <w:sz w:val="24"/>
          <w:highlight w:val="none"/>
        </w:rPr>
        <w:t>磋商文件的组成</w:t>
      </w:r>
    </w:p>
    <w:p>
      <w:pPr>
        <w:autoSpaceDE w:val="0"/>
        <w:autoSpaceDN w:val="0"/>
        <w:adjustRightInd w:val="0"/>
        <w:spacing w:line="440" w:lineRule="exact"/>
        <w:ind w:firstLine="420" w:firstLineChars="200"/>
        <w:jc w:val="left"/>
        <w:rPr>
          <w:rFonts w:ascii="宋体" w:cs="宋体"/>
          <w:color w:val="auto"/>
          <w:kern w:val="0"/>
          <w:szCs w:val="21"/>
          <w:highlight w:val="none"/>
        </w:rPr>
      </w:pPr>
      <w:r>
        <w:rPr>
          <w:rFonts w:hint="eastAsia" w:ascii="宋体" w:hAnsi="宋体" w:cs="宋体"/>
          <w:color w:val="auto"/>
          <w:kern w:val="0"/>
          <w:szCs w:val="21"/>
          <w:highlight w:val="none"/>
        </w:rPr>
        <w:t>本磋商文件包括：</w:t>
      </w:r>
    </w:p>
    <w:p>
      <w:pPr>
        <w:autoSpaceDE w:val="0"/>
        <w:autoSpaceDN w:val="0"/>
        <w:adjustRightInd w:val="0"/>
        <w:spacing w:line="440" w:lineRule="exact"/>
        <w:ind w:firstLine="420" w:firstLineChars="200"/>
        <w:jc w:val="left"/>
        <w:rPr>
          <w:rFonts w:ascii="宋体" w:cs="宋体"/>
          <w:color w:val="auto"/>
          <w:kern w:val="0"/>
          <w:szCs w:val="21"/>
          <w:highlight w:val="none"/>
        </w:rPr>
      </w:pPr>
      <w:r>
        <w:rPr>
          <w:rFonts w:hint="eastAsia" w:ascii="宋体" w:hAnsi="宋体" w:cs="宋体"/>
          <w:color w:val="auto"/>
          <w:kern w:val="0"/>
          <w:szCs w:val="21"/>
          <w:highlight w:val="none"/>
        </w:rPr>
        <w:t>（</w:t>
      </w:r>
      <w:r>
        <w:rPr>
          <w:rFonts w:ascii="宋体" w:hAnsi="宋体" w:cs="宋体"/>
          <w:color w:val="auto"/>
          <w:kern w:val="0"/>
          <w:szCs w:val="21"/>
          <w:highlight w:val="none"/>
        </w:rPr>
        <w:t>1</w:t>
      </w:r>
      <w:r>
        <w:rPr>
          <w:rFonts w:hint="eastAsia" w:ascii="宋体" w:hAnsi="宋体" w:cs="宋体"/>
          <w:color w:val="auto"/>
          <w:kern w:val="0"/>
          <w:szCs w:val="21"/>
          <w:highlight w:val="none"/>
        </w:rPr>
        <w:t>）竞争性磋商公告；</w:t>
      </w:r>
    </w:p>
    <w:p>
      <w:pPr>
        <w:numPr>
          <w:ilvl w:val="0"/>
          <w:numId w:val="3"/>
        </w:numPr>
        <w:autoSpaceDE w:val="0"/>
        <w:autoSpaceDN w:val="0"/>
        <w:adjustRightInd w:val="0"/>
        <w:spacing w:line="440" w:lineRule="exact"/>
        <w:ind w:firstLine="420" w:firstLineChars="200"/>
        <w:jc w:val="left"/>
        <w:rPr>
          <w:rFonts w:ascii="宋体" w:cs="宋体"/>
          <w:color w:val="auto"/>
          <w:kern w:val="0"/>
          <w:szCs w:val="21"/>
          <w:highlight w:val="none"/>
        </w:rPr>
      </w:pPr>
      <w:r>
        <w:rPr>
          <w:rFonts w:hint="eastAsia" w:ascii="宋体" w:hAnsi="宋体" w:cs="宋体"/>
          <w:color w:val="auto"/>
          <w:highlight w:val="none"/>
        </w:rPr>
        <w:t>供应商</w:t>
      </w:r>
      <w:r>
        <w:rPr>
          <w:rFonts w:hint="eastAsia" w:ascii="宋体" w:hAnsi="宋体" w:cs="宋体"/>
          <w:color w:val="auto"/>
          <w:kern w:val="0"/>
          <w:szCs w:val="21"/>
          <w:highlight w:val="none"/>
        </w:rPr>
        <w:t>须知及供应商须知前附表；</w:t>
      </w:r>
    </w:p>
    <w:p>
      <w:pPr>
        <w:numPr>
          <w:ilvl w:val="0"/>
          <w:numId w:val="3"/>
        </w:numPr>
        <w:autoSpaceDE w:val="0"/>
        <w:autoSpaceDN w:val="0"/>
        <w:adjustRightInd w:val="0"/>
        <w:spacing w:line="440" w:lineRule="exact"/>
        <w:ind w:firstLine="420" w:firstLineChars="200"/>
        <w:jc w:val="left"/>
        <w:rPr>
          <w:rFonts w:ascii="宋体" w:cs="宋体"/>
          <w:color w:val="auto"/>
          <w:kern w:val="0"/>
          <w:szCs w:val="21"/>
          <w:highlight w:val="none"/>
        </w:rPr>
      </w:pPr>
      <w:r>
        <w:rPr>
          <w:rFonts w:hint="eastAsia" w:ascii="宋体" w:hAnsi="宋体" w:cs="宋体"/>
          <w:color w:val="auto"/>
          <w:kern w:val="0"/>
          <w:szCs w:val="21"/>
          <w:highlight w:val="none"/>
        </w:rPr>
        <w:t>评标办法；</w:t>
      </w:r>
    </w:p>
    <w:p>
      <w:pPr>
        <w:numPr>
          <w:ilvl w:val="0"/>
          <w:numId w:val="3"/>
        </w:numPr>
        <w:autoSpaceDE w:val="0"/>
        <w:autoSpaceDN w:val="0"/>
        <w:adjustRightInd w:val="0"/>
        <w:spacing w:line="440" w:lineRule="exact"/>
        <w:ind w:firstLine="420" w:firstLineChars="200"/>
        <w:jc w:val="left"/>
        <w:rPr>
          <w:rFonts w:ascii="宋体" w:cs="宋体"/>
          <w:color w:val="auto"/>
          <w:kern w:val="0"/>
          <w:szCs w:val="21"/>
          <w:highlight w:val="none"/>
        </w:rPr>
      </w:pPr>
      <w:r>
        <w:rPr>
          <w:rFonts w:hint="eastAsia" w:ascii="宋体" w:hAnsi="宋体" w:cs="宋体"/>
          <w:color w:val="auto"/>
          <w:kern w:val="0"/>
          <w:szCs w:val="21"/>
          <w:highlight w:val="none"/>
        </w:rPr>
        <w:t>服务项目内容及要求</w:t>
      </w:r>
    </w:p>
    <w:p>
      <w:pPr>
        <w:numPr>
          <w:ilvl w:val="0"/>
          <w:numId w:val="3"/>
        </w:numPr>
        <w:autoSpaceDE w:val="0"/>
        <w:autoSpaceDN w:val="0"/>
        <w:adjustRightInd w:val="0"/>
        <w:spacing w:line="440" w:lineRule="exact"/>
        <w:ind w:firstLine="420" w:firstLineChars="200"/>
        <w:jc w:val="left"/>
        <w:rPr>
          <w:rFonts w:ascii="宋体" w:cs="宋体"/>
          <w:color w:val="auto"/>
          <w:kern w:val="0"/>
          <w:szCs w:val="21"/>
          <w:highlight w:val="none"/>
        </w:rPr>
      </w:pPr>
      <w:r>
        <w:rPr>
          <w:rFonts w:hint="eastAsia" w:ascii="宋体" w:hAnsi="宋体" w:cs="宋体"/>
          <w:color w:val="auto"/>
          <w:kern w:val="0"/>
          <w:szCs w:val="21"/>
          <w:highlight w:val="none"/>
        </w:rPr>
        <w:t>合同条款及格式</w:t>
      </w:r>
    </w:p>
    <w:p>
      <w:pPr>
        <w:numPr>
          <w:ilvl w:val="0"/>
          <w:numId w:val="3"/>
        </w:numPr>
        <w:autoSpaceDE w:val="0"/>
        <w:autoSpaceDN w:val="0"/>
        <w:adjustRightInd w:val="0"/>
        <w:spacing w:line="440" w:lineRule="exact"/>
        <w:ind w:firstLine="420" w:firstLineChars="200"/>
        <w:jc w:val="left"/>
        <w:rPr>
          <w:rFonts w:ascii="宋体" w:cs="宋体"/>
          <w:color w:val="auto"/>
          <w:kern w:val="0"/>
          <w:szCs w:val="21"/>
          <w:highlight w:val="none"/>
        </w:rPr>
      </w:pPr>
      <w:r>
        <w:rPr>
          <w:rFonts w:hint="eastAsia" w:ascii="宋体" w:hAnsi="宋体" w:cs="宋体"/>
          <w:color w:val="auto"/>
          <w:kern w:val="0"/>
          <w:szCs w:val="21"/>
          <w:highlight w:val="none"/>
        </w:rPr>
        <w:t>响应文件格式</w:t>
      </w:r>
    </w:p>
    <w:p>
      <w:pPr>
        <w:autoSpaceDE w:val="0"/>
        <w:autoSpaceDN w:val="0"/>
        <w:adjustRightInd w:val="0"/>
        <w:spacing w:line="440" w:lineRule="exact"/>
        <w:ind w:firstLine="420" w:firstLineChars="200"/>
        <w:jc w:val="left"/>
        <w:rPr>
          <w:rFonts w:ascii="宋体" w:cs="宋体"/>
          <w:color w:val="auto"/>
          <w:kern w:val="0"/>
          <w:szCs w:val="21"/>
          <w:highlight w:val="none"/>
        </w:rPr>
      </w:pPr>
      <w:r>
        <w:rPr>
          <w:rFonts w:hint="eastAsia" w:ascii="宋体" w:hAnsi="宋体" w:cs="宋体"/>
          <w:color w:val="auto"/>
          <w:kern w:val="0"/>
          <w:szCs w:val="21"/>
          <w:highlight w:val="none"/>
        </w:rPr>
        <w:t>（</w:t>
      </w:r>
      <w:r>
        <w:rPr>
          <w:rFonts w:ascii="宋体" w:hAnsi="宋体" w:cs="宋体"/>
          <w:color w:val="auto"/>
          <w:kern w:val="0"/>
          <w:szCs w:val="21"/>
          <w:highlight w:val="none"/>
        </w:rPr>
        <w:t>7</w:t>
      </w:r>
      <w:r>
        <w:rPr>
          <w:rFonts w:hint="eastAsia" w:ascii="宋体" w:hAnsi="宋体" w:cs="宋体"/>
          <w:color w:val="auto"/>
          <w:kern w:val="0"/>
          <w:szCs w:val="21"/>
          <w:highlight w:val="none"/>
        </w:rPr>
        <w:t>）其</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他</w:t>
      </w:r>
    </w:p>
    <w:p>
      <w:pPr>
        <w:autoSpaceDE w:val="0"/>
        <w:autoSpaceDN w:val="0"/>
        <w:adjustRightInd w:val="0"/>
        <w:spacing w:line="440" w:lineRule="exact"/>
        <w:jc w:val="left"/>
        <w:rPr>
          <w:rFonts w:ascii="宋体" w:cs="宋体"/>
          <w:b/>
          <w:color w:val="auto"/>
          <w:kern w:val="0"/>
          <w:sz w:val="24"/>
          <w:highlight w:val="none"/>
        </w:rPr>
      </w:pPr>
      <w:r>
        <w:rPr>
          <w:rFonts w:ascii="宋体" w:hAnsi="宋体" w:cs="宋体"/>
          <w:b/>
          <w:color w:val="auto"/>
          <w:kern w:val="0"/>
          <w:sz w:val="24"/>
          <w:highlight w:val="none"/>
        </w:rPr>
        <w:t xml:space="preserve">    2.2 </w:t>
      </w:r>
      <w:r>
        <w:rPr>
          <w:rFonts w:hint="eastAsia" w:ascii="宋体" w:hAnsi="宋体" w:cs="宋体"/>
          <w:b/>
          <w:color w:val="auto"/>
          <w:kern w:val="0"/>
          <w:sz w:val="24"/>
          <w:highlight w:val="none"/>
        </w:rPr>
        <w:t>磋商文件的澄清</w:t>
      </w:r>
    </w:p>
    <w:p>
      <w:pPr>
        <w:spacing w:line="440" w:lineRule="exact"/>
        <w:ind w:firstLine="420" w:firstLineChars="200"/>
        <w:rPr>
          <w:rFonts w:ascii="宋体" w:cs="宋体"/>
          <w:color w:val="auto"/>
          <w:highlight w:val="none"/>
        </w:rPr>
      </w:pPr>
      <w:r>
        <w:rPr>
          <w:rFonts w:ascii="宋体" w:hAnsi="宋体" w:cs="宋体"/>
          <w:color w:val="auto"/>
          <w:highlight w:val="none"/>
        </w:rPr>
        <w:t xml:space="preserve">2.2.1 </w:t>
      </w:r>
      <w:r>
        <w:rPr>
          <w:rFonts w:hint="eastAsia" w:ascii="宋体" w:hAnsi="宋体" w:cs="宋体"/>
          <w:color w:val="auto"/>
          <w:highlight w:val="none"/>
        </w:rPr>
        <w:t>供应商应仔细阅读和检查磋商文件的全部内容。如发现缺页或附件不全，应及时向采购人提出，以便补齐。如有疑问，应在供应商须知前附表规定的时间前以书面形式（包括信函、电报、传真等可以有形地表现所载内容的形式，下同），要求采购人对磋商文件予以澄清。否则由此引起的任何后果均由供应商自己承担，采购人与采购代理机构均不承担任何责任。</w:t>
      </w:r>
    </w:p>
    <w:p>
      <w:pPr>
        <w:spacing w:line="440" w:lineRule="exact"/>
        <w:ind w:firstLine="420" w:firstLineChars="200"/>
        <w:rPr>
          <w:rFonts w:ascii="宋体" w:cs="宋体"/>
          <w:color w:val="auto"/>
          <w:sz w:val="32"/>
          <w:szCs w:val="32"/>
          <w:highlight w:val="none"/>
        </w:rPr>
      </w:pPr>
      <w:r>
        <w:rPr>
          <w:rFonts w:ascii="宋体" w:hAnsi="宋体" w:cs="宋体"/>
          <w:color w:val="auto"/>
          <w:highlight w:val="none"/>
        </w:rPr>
        <w:t xml:space="preserve">2.2.2 </w:t>
      </w:r>
      <w:r>
        <w:rPr>
          <w:rFonts w:hint="eastAsia" w:ascii="宋体" w:hAnsi="宋体" w:cs="宋体"/>
          <w:color w:val="auto"/>
          <w:highlight w:val="none"/>
        </w:rPr>
        <w:t>磋商文件的澄清将在供应商须知前附表规定的磋商截止时间</w:t>
      </w:r>
      <w:r>
        <w:rPr>
          <w:rFonts w:ascii="宋体" w:hAnsi="宋体" w:cs="宋体"/>
          <w:color w:val="auto"/>
          <w:highlight w:val="none"/>
        </w:rPr>
        <w:t>5</w:t>
      </w:r>
      <w:r>
        <w:rPr>
          <w:rFonts w:hint="eastAsia" w:ascii="宋体" w:hAnsi="宋体" w:cs="宋体"/>
          <w:color w:val="auto"/>
          <w:highlight w:val="none"/>
        </w:rPr>
        <w:t>天前以书面形式发给所有购买磋商文件的供应商，但不指明澄清问题的来源。如果澄清发出的时间距提交响应文件截止时间不足</w:t>
      </w:r>
      <w:r>
        <w:rPr>
          <w:rFonts w:ascii="宋体" w:hAnsi="宋体" w:cs="宋体"/>
          <w:color w:val="auto"/>
          <w:highlight w:val="none"/>
        </w:rPr>
        <w:t>5</w:t>
      </w:r>
      <w:r>
        <w:rPr>
          <w:rFonts w:hint="eastAsia" w:ascii="宋体" w:hAnsi="宋体" w:cs="宋体"/>
          <w:color w:val="auto"/>
          <w:highlight w:val="none"/>
        </w:rPr>
        <w:t>天，相应延长提交响应文件截止时间。</w:t>
      </w:r>
      <w:r>
        <w:rPr>
          <w:rFonts w:ascii="宋体" w:hAnsi="宋体" w:cs="宋体"/>
          <w:color w:val="auto"/>
          <w:highlight w:val="none"/>
        </w:rPr>
        <w:t xml:space="preserve"> </w:t>
      </w:r>
    </w:p>
    <w:p>
      <w:pPr>
        <w:autoSpaceDE w:val="0"/>
        <w:autoSpaceDN w:val="0"/>
        <w:adjustRightInd w:val="0"/>
        <w:spacing w:line="440" w:lineRule="exact"/>
        <w:ind w:firstLine="420" w:firstLineChars="200"/>
        <w:jc w:val="left"/>
        <w:rPr>
          <w:rFonts w:ascii="宋体" w:cs="宋体"/>
          <w:color w:val="auto"/>
          <w:kern w:val="0"/>
          <w:szCs w:val="21"/>
          <w:highlight w:val="none"/>
        </w:rPr>
      </w:pPr>
      <w:r>
        <w:rPr>
          <w:rFonts w:ascii="宋体" w:hAnsi="宋体" w:cs="宋体"/>
          <w:color w:val="auto"/>
          <w:highlight w:val="none"/>
        </w:rPr>
        <w:t xml:space="preserve">2.2.3 </w:t>
      </w:r>
      <w:r>
        <w:rPr>
          <w:rFonts w:hint="eastAsia" w:ascii="宋体" w:hAnsi="宋体" w:cs="宋体"/>
          <w:color w:val="auto"/>
          <w:highlight w:val="none"/>
        </w:rPr>
        <w:t>供应商在收到澄清后，应在供应商须知前附表规定的时间内以书面形式通知采购人，确认已收到该澄清。</w:t>
      </w:r>
    </w:p>
    <w:p>
      <w:pPr>
        <w:autoSpaceDE w:val="0"/>
        <w:autoSpaceDN w:val="0"/>
        <w:adjustRightInd w:val="0"/>
        <w:spacing w:line="440" w:lineRule="exact"/>
        <w:ind w:firstLine="482" w:firstLineChars="200"/>
        <w:jc w:val="left"/>
        <w:rPr>
          <w:rFonts w:ascii="宋体" w:cs="宋体"/>
          <w:b/>
          <w:color w:val="auto"/>
          <w:kern w:val="0"/>
          <w:sz w:val="24"/>
          <w:highlight w:val="none"/>
        </w:rPr>
      </w:pPr>
      <w:r>
        <w:rPr>
          <w:rFonts w:ascii="宋体" w:hAnsi="宋体" w:cs="宋体"/>
          <w:b/>
          <w:color w:val="auto"/>
          <w:kern w:val="0"/>
          <w:sz w:val="24"/>
          <w:highlight w:val="none"/>
        </w:rPr>
        <w:t xml:space="preserve">2.3 </w:t>
      </w:r>
      <w:r>
        <w:rPr>
          <w:rFonts w:hint="eastAsia" w:ascii="宋体" w:hAnsi="宋体" w:cs="宋体"/>
          <w:b/>
          <w:color w:val="auto"/>
          <w:kern w:val="0"/>
          <w:sz w:val="24"/>
          <w:highlight w:val="none"/>
        </w:rPr>
        <w:t>磋商文件的修改</w:t>
      </w:r>
    </w:p>
    <w:p>
      <w:pPr>
        <w:spacing w:line="440" w:lineRule="exact"/>
        <w:ind w:firstLine="420" w:firstLineChars="200"/>
        <w:rPr>
          <w:rFonts w:ascii="宋体" w:cs="宋体"/>
          <w:color w:val="auto"/>
          <w:highlight w:val="none"/>
        </w:rPr>
      </w:pPr>
      <w:r>
        <w:rPr>
          <w:rFonts w:ascii="宋体" w:hAnsi="宋体" w:cs="宋体"/>
          <w:color w:val="auto"/>
          <w:highlight w:val="none"/>
        </w:rPr>
        <w:t xml:space="preserve">2.3.1 </w:t>
      </w:r>
      <w:r>
        <w:rPr>
          <w:rFonts w:hint="eastAsia" w:ascii="宋体" w:hAnsi="宋体" w:cs="宋体"/>
          <w:color w:val="auto"/>
          <w:highlight w:val="none"/>
        </w:rPr>
        <w:t>在提交响应文件截止</w:t>
      </w:r>
      <w:r>
        <w:rPr>
          <w:rFonts w:ascii="宋体" w:hAnsi="宋体" w:cs="宋体"/>
          <w:color w:val="auto"/>
          <w:highlight w:val="none"/>
        </w:rPr>
        <w:t>5</w:t>
      </w:r>
      <w:r>
        <w:rPr>
          <w:rFonts w:hint="eastAsia" w:ascii="宋体" w:hAnsi="宋体" w:cs="宋体"/>
          <w:color w:val="auto"/>
          <w:highlight w:val="none"/>
        </w:rPr>
        <w:t>天前，采购人可以书面形式修改磋商文件，并通知所有已购买磋商文件的供应商。如果修改磋商文件的时间距提交响应文件截止时间不足</w:t>
      </w:r>
      <w:r>
        <w:rPr>
          <w:rFonts w:ascii="宋体" w:hAnsi="宋体" w:cs="宋体"/>
          <w:color w:val="auto"/>
          <w:highlight w:val="none"/>
        </w:rPr>
        <w:t>5</w:t>
      </w:r>
      <w:r>
        <w:rPr>
          <w:rFonts w:hint="eastAsia" w:ascii="宋体" w:hAnsi="宋体" w:cs="宋体"/>
          <w:color w:val="auto"/>
          <w:highlight w:val="none"/>
        </w:rPr>
        <w:t>天，相应延长提交响应文件截止时间。</w:t>
      </w:r>
    </w:p>
    <w:p>
      <w:pPr>
        <w:autoSpaceDE w:val="0"/>
        <w:autoSpaceDN w:val="0"/>
        <w:adjustRightInd w:val="0"/>
        <w:spacing w:line="440" w:lineRule="exact"/>
        <w:ind w:firstLine="420" w:firstLineChars="200"/>
        <w:jc w:val="left"/>
        <w:rPr>
          <w:rFonts w:ascii="宋体" w:cs="宋体"/>
          <w:color w:val="auto"/>
          <w:kern w:val="0"/>
          <w:szCs w:val="21"/>
          <w:highlight w:val="none"/>
        </w:rPr>
      </w:pPr>
      <w:r>
        <w:rPr>
          <w:rFonts w:ascii="宋体" w:hAnsi="宋体" w:cs="宋体"/>
          <w:color w:val="auto"/>
          <w:highlight w:val="none"/>
        </w:rPr>
        <w:t xml:space="preserve">2.3.2 </w:t>
      </w:r>
      <w:r>
        <w:rPr>
          <w:rFonts w:hint="eastAsia" w:ascii="宋体" w:hAnsi="宋体" w:cs="宋体"/>
          <w:color w:val="auto"/>
          <w:highlight w:val="none"/>
        </w:rPr>
        <w:t>供应商收到修改内容后，应在供应商须知前附表规定的时间内以书面形式通知采购人，确认已收到该修改。</w:t>
      </w:r>
    </w:p>
    <w:p>
      <w:pPr>
        <w:pStyle w:val="4"/>
        <w:spacing w:before="0" w:after="0" w:line="440" w:lineRule="exact"/>
        <w:ind w:left="468" w:firstLine="0"/>
        <w:jc w:val="left"/>
        <w:rPr>
          <w:rStyle w:val="36"/>
          <w:rFonts w:ascii="宋体" w:hAnsi="宋体" w:eastAsia="宋体" w:cs="宋体"/>
          <w:b/>
          <w:bCs/>
          <w:color w:val="auto"/>
          <w:highlight w:val="none"/>
        </w:rPr>
      </w:pPr>
      <w:bookmarkStart w:id="18" w:name="_Toc23887"/>
      <w:bookmarkStart w:id="19" w:name="_Toc421284743"/>
      <w:bookmarkStart w:id="20" w:name="_Toc24882"/>
      <w:bookmarkStart w:id="21" w:name="_Toc6571"/>
      <w:r>
        <w:rPr>
          <w:rStyle w:val="36"/>
          <w:rFonts w:ascii="宋体" w:hAnsi="宋体" w:eastAsia="宋体" w:cs="宋体"/>
          <w:b/>
          <w:bCs/>
          <w:color w:val="auto"/>
          <w:highlight w:val="none"/>
        </w:rPr>
        <w:t>3.</w:t>
      </w:r>
      <w:r>
        <w:rPr>
          <w:rStyle w:val="36"/>
          <w:rFonts w:hint="eastAsia" w:ascii="宋体" w:hAnsi="宋体" w:eastAsia="宋体" w:cs="宋体"/>
          <w:b/>
          <w:bCs/>
          <w:color w:val="auto"/>
          <w:highlight w:val="none"/>
        </w:rPr>
        <w:t>响应文件</w:t>
      </w:r>
      <w:bookmarkEnd w:id="18"/>
      <w:bookmarkEnd w:id="19"/>
      <w:bookmarkEnd w:id="20"/>
      <w:bookmarkEnd w:id="21"/>
    </w:p>
    <w:p>
      <w:pPr>
        <w:autoSpaceDE w:val="0"/>
        <w:autoSpaceDN w:val="0"/>
        <w:adjustRightInd w:val="0"/>
        <w:spacing w:line="440" w:lineRule="exact"/>
        <w:ind w:firstLine="482" w:firstLineChars="200"/>
        <w:jc w:val="left"/>
        <w:rPr>
          <w:rFonts w:ascii="宋体" w:cs="宋体"/>
          <w:b/>
          <w:color w:val="auto"/>
          <w:kern w:val="0"/>
          <w:sz w:val="24"/>
          <w:highlight w:val="none"/>
        </w:rPr>
      </w:pPr>
      <w:r>
        <w:rPr>
          <w:rFonts w:ascii="宋体" w:hAnsi="宋体" w:cs="宋体"/>
          <w:b/>
          <w:color w:val="auto"/>
          <w:kern w:val="0"/>
          <w:sz w:val="24"/>
          <w:highlight w:val="none"/>
        </w:rPr>
        <w:t xml:space="preserve">3.1 </w:t>
      </w:r>
      <w:r>
        <w:rPr>
          <w:rFonts w:hint="eastAsia" w:ascii="宋体" w:hAnsi="宋体" w:cs="宋体"/>
          <w:b/>
          <w:color w:val="auto"/>
          <w:kern w:val="0"/>
          <w:sz w:val="24"/>
          <w:highlight w:val="none"/>
        </w:rPr>
        <w:t>响应文件的组成</w:t>
      </w:r>
    </w:p>
    <w:p>
      <w:pPr>
        <w:autoSpaceDE w:val="0"/>
        <w:autoSpaceDN w:val="0"/>
        <w:adjustRightInd w:val="0"/>
        <w:spacing w:line="440" w:lineRule="exact"/>
        <w:ind w:firstLine="420" w:firstLineChars="200"/>
        <w:jc w:val="left"/>
        <w:rPr>
          <w:rFonts w:ascii="宋体" w:cs="宋体"/>
          <w:color w:val="auto"/>
          <w:kern w:val="0"/>
          <w:szCs w:val="21"/>
          <w:highlight w:val="none"/>
        </w:rPr>
      </w:pPr>
      <w:r>
        <w:rPr>
          <w:rFonts w:hint="eastAsia" w:ascii="宋体" w:hAnsi="宋体" w:cs="宋体"/>
          <w:color w:val="auto"/>
          <w:kern w:val="0"/>
          <w:szCs w:val="21"/>
          <w:highlight w:val="none"/>
        </w:rPr>
        <w:t>详见第六章“响应文件格式”</w:t>
      </w:r>
    </w:p>
    <w:p>
      <w:pPr>
        <w:autoSpaceDE w:val="0"/>
        <w:autoSpaceDN w:val="0"/>
        <w:adjustRightInd w:val="0"/>
        <w:spacing w:line="440" w:lineRule="exact"/>
        <w:ind w:firstLine="482" w:firstLineChars="200"/>
        <w:jc w:val="left"/>
        <w:rPr>
          <w:rFonts w:ascii="宋体" w:cs="宋体"/>
          <w:b/>
          <w:color w:val="auto"/>
          <w:kern w:val="0"/>
          <w:sz w:val="24"/>
          <w:highlight w:val="none"/>
        </w:rPr>
      </w:pPr>
      <w:r>
        <w:rPr>
          <w:rFonts w:ascii="宋体" w:hAnsi="宋体" w:cs="宋体"/>
          <w:b/>
          <w:color w:val="auto"/>
          <w:kern w:val="0"/>
          <w:sz w:val="24"/>
          <w:highlight w:val="none"/>
        </w:rPr>
        <w:t xml:space="preserve">3.2 </w:t>
      </w:r>
      <w:r>
        <w:rPr>
          <w:rFonts w:hint="eastAsia" w:ascii="宋体" w:hAnsi="宋体" w:cs="宋体"/>
          <w:b/>
          <w:color w:val="auto"/>
          <w:kern w:val="0"/>
          <w:sz w:val="24"/>
          <w:highlight w:val="none"/>
        </w:rPr>
        <w:t>磋商截止时间和地点</w:t>
      </w:r>
    </w:p>
    <w:p>
      <w:pPr>
        <w:autoSpaceDE w:val="0"/>
        <w:autoSpaceDN w:val="0"/>
        <w:adjustRightInd w:val="0"/>
        <w:spacing w:line="440" w:lineRule="exact"/>
        <w:ind w:firstLine="420" w:firstLineChars="200"/>
        <w:jc w:val="left"/>
        <w:rPr>
          <w:rFonts w:ascii="宋体" w:cs="宋体"/>
          <w:color w:val="auto"/>
          <w:kern w:val="0"/>
          <w:szCs w:val="21"/>
          <w:highlight w:val="none"/>
        </w:rPr>
      </w:pPr>
      <w:r>
        <w:rPr>
          <w:rFonts w:hint="eastAsia" w:ascii="宋体" w:hAnsi="宋体" w:cs="宋体"/>
          <w:color w:val="auto"/>
          <w:kern w:val="0"/>
          <w:szCs w:val="21"/>
          <w:highlight w:val="none"/>
        </w:rPr>
        <w:t>磋商截止时间和地点：见供应商须知前附表。</w:t>
      </w:r>
    </w:p>
    <w:p>
      <w:pPr>
        <w:autoSpaceDE w:val="0"/>
        <w:autoSpaceDN w:val="0"/>
        <w:adjustRightInd w:val="0"/>
        <w:spacing w:line="440" w:lineRule="exact"/>
        <w:ind w:firstLine="482" w:firstLineChars="200"/>
        <w:jc w:val="left"/>
        <w:rPr>
          <w:rFonts w:ascii="宋体" w:cs="宋体"/>
          <w:b/>
          <w:color w:val="auto"/>
          <w:kern w:val="0"/>
          <w:sz w:val="24"/>
          <w:highlight w:val="none"/>
        </w:rPr>
      </w:pPr>
      <w:r>
        <w:rPr>
          <w:rFonts w:ascii="宋体" w:hAnsi="宋体" w:cs="宋体"/>
          <w:b/>
          <w:color w:val="auto"/>
          <w:kern w:val="0"/>
          <w:sz w:val="24"/>
          <w:highlight w:val="none"/>
        </w:rPr>
        <w:t xml:space="preserve">3.3 </w:t>
      </w:r>
      <w:r>
        <w:rPr>
          <w:rFonts w:hint="eastAsia" w:ascii="宋体" w:hAnsi="宋体" w:cs="宋体"/>
          <w:b/>
          <w:color w:val="auto"/>
          <w:kern w:val="0"/>
          <w:sz w:val="24"/>
          <w:highlight w:val="none"/>
        </w:rPr>
        <w:t>磋商报价</w:t>
      </w:r>
    </w:p>
    <w:p>
      <w:pPr>
        <w:autoSpaceDE w:val="0"/>
        <w:autoSpaceDN w:val="0"/>
        <w:adjustRightInd w:val="0"/>
        <w:spacing w:line="440" w:lineRule="exact"/>
        <w:ind w:firstLine="420" w:firstLineChars="200"/>
        <w:jc w:val="left"/>
        <w:rPr>
          <w:rFonts w:ascii="宋体" w:cs="宋体"/>
          <w:color w:val="auto"/>
          <w:kern w:val="0"/>
          <w:szCs w:val="21"/>
          <w:highlight w:val="none"/>
        </w:rPr>
      </w:pPr>
      <w:r>
        <w:rPr>
          <w:rFonts w:ascii="宋体" w:hAnsi="宋体" w:cs="宋体"/>
          <w:color w:val="auto"/>
          <w:kern w:val="0"/>
          <w:szCs w:val="21"/>
          <w:highlight w:val="none"/>
        </w:rPr>
        <w:t xml:space="preserve">3.3.1 </w:t>
      </w:r>
      <w:r>
        <w:rPr>
          <w:rFonts w:hint="eastAsia" w:ascii="宋体" w:hAnsi="宋体" w:cs="宋体"/>
          <w:color w:val="auto"/>
          <w:kern w:val="0"/>
          <w:szCs w:val="21"/>
          <w:highlight w:val="none"/>
        </w:rPr>
        <w:t>磋商报价由供应商根据市场行情结合本项目实际情况及本项目特殊性自行报价，一旦中标，不因任何原因的变化而调整。</w:t>
      </w:r>
    </w:p>
    <w:p>
      <w:pPr>
        <w:autoSpaceDE w:val="0"/>
        <w:autoSpaceDN w:val="0"/>
        <w:adjustRightInd w:val="0"/>
        <w:spacing w:line="440" w:lineRule="exact"/>
        <w:ind w:firstLine="420" w:firstLineChars="200"/>
        <w:jc w:val="left"/>
        <w:rPr>
          <w:rFonts w:ascii="宋体" w:cs="宋体"/>
          <w:color w:val="auto"/>
          <w:kern w:val="0"/>
          <w:szCs w:val="21"/>
          <w:highlight w:val="none"/>
        </w:rPr>
      </w:pPr>
      <w:r>
        <w:rPr>
          <w:rFonts w:ascii="宋体" w:hAnsi="宋体" w:cs="宋体"/>
          <w:color w:val="auto"/>
          <w:kern w:val="0"/>
          <w:szCs w:val="21"/>
          <w:highlight w:val="none"/>
        </w:rPr>
        <w:t>3.2.2</w:t>
      </w:r>
      <w:r>
        <w:rPr>
          <w:rFonts w:hint="eastAsia" w:ascii="宋体" w:hAnsi="宋体" w:cs="宋体"/>
          <w:color w:val="auto"/>
          <w:kern w:val="0"/>
          <w:szCs w:val="21"/>
          <w:highlight w:val="none"/>
        </w:rPr>
        <w:t>供应商不得以任何理由对最后磋商报价予以修改，最后磋商报价在磋商有效期内是固定的，不因任何原因而改变。任何原因包含价格调整要求和条件的磋商，将被视为非实质性响应而予与拒绝。</w:t>
      </w:r>
    </w:p>
    <w:p>
      <w:pPr>
        <w:autoSpaceDE w:val="0"/>
        <w:autoSpaceDN w:val="0"/>
        <w:adjustRightInd w:val="0"/>
        <w:spacing w:line="440" w:lineRule="exact"/>
        <w:ind w:firstLine="420" w:firstLineChars="200"/>
        <w:jc w:val="left"/>
        <w:rPr>
          <w:rFonts w:ascii="宋体" w:cs="宋体"/>
          <w:color w:val="auto"/>
          <w:kern w:val="0"/>
          <w:szCs w:val="21"/>
          <w:highlight w:val="none"/>
        </w:rPr>
      </w:pPr>
      <w:r>
        <w:rPr>
          <w:rFonts w:ascii="宋体" w:hAnsi="宋体" w:cs="宋体"/>
          <w:color w:val="auto"/>
          <w:kern w:val="0"/>
          <w:szCs w:val="21"/>
          <w:highlight w:val="none"/>
        </w:rPr>
        <w:t>3.2.3</w:t>
      </w:r>
      <w:r>
        <w:rPr>
          <w:rFonts w:hint="eastAsia" w:ascii="宋体" w:hAnsi="宋体" w:cs="宋体"/>
          <w:color w:val="auto"/>
          <w:kern w:val="0"/>
          <w:szCs w:val="21"/>
          <w:highlight w:val="none"/>
        </w:rPr>
        <w:t>首次提交响应性文件上的报价为磋商时的参考价格，磋商小组以供应商</w:t>
      </w:r>
      <w:r>
        <w:rPr>
          <w:rFonts w:hint="eastAsia" w:ascii="宋体" w:hAnsi="宋体" w:cs="宋体"/>
          <w:color w:val="auto"/>
          <w:kern w:val="0"/>
          <w:szCs w:val="21"/>
          <w:highlight w:val="none"/>
          <w:lang w:eastAsia="zh-CN"/>
        </w:rPr>
        <w:t>提交</w:t>
      </w:r>
      <w:r>
        <w:rPr>
          <w:rFonts w:hint="eastAsia" w:ascii="宋体" w:hAnsi="宋体" w:cs="宋体"/>
          <w:color w:val="auto"/>
          <w:kern w:val="0"/>
          <w:szCs w:val="21"/>
          <w:highlight w:val="none"/>
        </w:rPr>
        <w:t>的最后报价确定成交供应商的成交价格。</w:t>
      </w:r>
    </w:p>
    <w:p>
      <w:pPr>
        <w:autoSpaceDE w:val="0"/>
        <w:autoSpaceDN w:val="0"/>
        <w:adjustRightInd w:val="0"/>
        <w:spacing w:line="400" w:lineRule="exact"/>
        <w:ind w:firstLine="482" w:firstLineChars="200"/>
        <w:jc w:val="left"/>
        <w:rPr>
          <w:rFonts w:ascii="宋体" w:cs="宋体"/>
          <w:b/>
          <w:color w:val="auto"/>
          <w:kern w:val="0"/>
          <w:sz w:val="24"/>
          <w:highlight w:val="none"/>
        </w:rPr>
      </w:pPr>
      <w:r>
        <w:rPr>
          <w:rFonts w:ascii="宋体" w:hAnsi="宋体" w:cs="宋体"/>
          <w:b/>
          <w:color w:val="auto"/>
          <w:kern w:val="0"/>
          <w:sz w:val="24"/>
          <w:highlight w:val="none"/>
        </w:rPr>
        <w:t xml:space="preserve">3.4 </w:t>
      </w:r>
      <w:r>
        <w:rPr>
          <w:rFonts w:hint="eastAsia" w:ascii="宋体" w:hAnsi="宋体" w:cs="宋体"/>
          <w:b/>
          <w:color w:val="auto"/>
          <w:kern w:val="0"/>
          <w:sz w:val="24"/>
          <w:highlight w:val="none"/>
        </w:rPr>
        <w:t>磋商有效期</w:t>
      </w:r>
    </w:p>
    <w:p>
      <w:pPr>
        <w:autoSpaceDE w:val="0"/>
        <w:autoSpaceDN w:val="0"/>
        <w:adjustRightInd w:val="0"/>
        <w:spacing w:line="400" w:lineRule="exact"/>
        <w:ind w:firstLine="420" w:firstLineChars="200"/>
        <w:jc w:val="left"/>
        <w:rPr>
          <w:rFonts w:ascii="宋体" w:cs="宋体"/>
          <w:color w:val="auto"/>
          <w:kern w:val="0"/>
          <w:szCs w:val="21"/>
          <w:highlight w:val="none"/>
        </w:rPr>
      </w:pPr>
      <w:r>
        <w:rPr>
          <w:rFonts w:ascii="宋体" w:hAnsi="宋体" w:cs="宋体"/>
          <w:color w:val="auto"/>
          <w:kern w:val="0"/>
          <w:szCs w:val="21"/>
          <w:highlight w:val="none"/>
        </w:rPr>
        <w:t xml:space="preserve">3.4.1 </w:t>
      </w:r>
      <w:r>
        <w:rPr>
          <w:rFonts w:hint="eastAsia" w:ascii="宋体" w:hAnsi="宋体" w:cs="宋体"/>
          <w:color w:val="auto"/>
          <w:kern w:val="0"/>
          <w:szCs w:val="21"/>
          <w:highlight w:val="none"/>
        </w:rPr>
        <w:t>磋商有效期见供应商须知前附表。</w:t>
      </w:r>
    </w:p>
    <w:p>
      <w:pPr>
        <w:autoSpaceDE w:val="0"/>
        <w:autoSpaceDN w:val="0"/>
        <w:adjustRightInd w:val="0"/>
        <w:spacing w:line="400" w:lineRule="exact"/>
        <w:ind w:firstLine="420" w:firstLineChars="200"/>
        <w:jc w:val="left"/>
        <w:rPr>
          <w:rFonts w:ascii="宋体" w:cs="宋体"/>
          <w:color w:val="auto"/>
          <w:kern w:val="0"/>
          <w:szCs w:val="21"/>
          <w:highlight w:val="none"/>
        </w:rPr>
      </w:pPr>
      <w:r>
        <w:rPr>
          <w:rFonts w:ascii="宋体" w:hAnsi="宋体" w:cs="宋体"/>
          <w:color w:val="auto"/>
          <w:kern w:val="0"/>
          <w:szCs w:val="21"/>
          <w:highlight w:val="none"/>
        </w:rPr>
        <w:t xml:space="preserve">3.4.2 </w:t>
      </w:r>
      <w:r>
        <w:rPr>
          <w:rFonts w:hint="eastAsia" w:ascii="宋体" w:hAnsi="宋体" w:cs="宋体"/>
          <w:color w:val="auto"/>
          <w:kern w:val="0"/>
          <w:szCs w:val="21"/>
          <w:highlight w:val="none"/>
        </w:rPr>
        <w:t>在磋商有效期内，除磋商小组提出实质性变动采购需求中的技术、服务要求以及合同草案条款外，供应商不得要求撤销或修改其响应文件。</w:t>
      </w:r>
    </w:p>
    <w:p>
      <w:pPr>
        <w:autoSpaceDE w:val="0"/>
        <w:autoSpaceDN w:val="0"/>
        <w:adjustRightInd w:val="0"/>
        <w:spacing w:line="400" w:lineRule="exact"/>
        <w:ind w:firstLine="420" w:firstLineChars="200"/>
        <w:jc w:val="left"/>
        <w:rPr>
          <w:rFonts w:ascii="宋体" w:cs="宋体"/>
          <w:color w:val="auto"/>
          <w:kern w:val="0"/>
          <w:szCs w:val="21"/>
          <w:highlight w:val="none"/>
        </w:rPr>
      </w:pPr>
      <w:r>
        <w:rPr>
          <w:rFonts w:ascii="宋体" w:hAnsi="宋体" w:cs="宋体"/>
          <w:color w:val="auto"/>
          <w:kern w:val="0"/>
          <w:szCs w:val="21"/>
          <w:highlight w:val="none"/>
        </w:rPr>
        <w:t xml:space="preserve">3.4.3 </w:t>
      </w:r>
      <w:r>
        <w:rPr>
          <w:rFonts w:hint="eastAsia" w:ascii="宋体" w:hAnsi="宋体" w:cs="宋体"/>
          <w:color w:val="auto"/>
          <w:kern w:val="0"/>
          <w:szCs w:val="21"/>
          <w:highlight w:val="none"/>
        </w:rPr>
        <w:t>出现特殊情况需要延长磋商有效期的，采购人以书面形式通知所有供应商延长磋商有效期。供应商同意延长的，应相应延长其磋商保证金(如有)的有效期，但不得要求或被允许修改或撤销其响应文件；供应商拒绝延长的，其响应性文件失效，但供应商有权无息收回其磋商保证金(如有)。</w:t>
      </w:r>
    </w:p>
    <w:p>
      <w:pPr>
        <w:autoSpaceDE w:val="0"/>
        <w:autoSpaceDN w:val="0"/>
        <w:adjustRightInd w:val="0"/>
        <w:spacing w:line="400" w:lineRule="exact"/>
        <w:ind w:firstLine="482" w:firstLineChars="200"/>
        <w:jc w:val="left"/>
        <w:rPr>
          <w:rFonts w:ascii="宋体" w:cs="宋体"/>
          <w:color w:val="auto"/>
          <w:kern w:val="0"/>
          <w:szCs w:val="21"/>
          <w:highlight w:val="none"/>
        </w:rPr>
      </w:pPr>
      <w:r>
        <w:rPr>
          <w:rFonts w:ascii="宋体" w:hAnsi="宋体" w:cs="宋体"/>
          <w:b/>
          <w:color w:val="auto"/>
          <w:kern w:val="0"/>
          <w:sz w:val="24"/>
          <w:highlight w:val="none"/>
        </w:rPr>
        <w:t xml:space="preserve">3.5 </w:t>
      </w:r>
      <w:r>
        <w:rPr>
          <w:rFonts w:hint="eastAsia" w:ascii="宋体" w:hAnsi="宋体" w:cs="宋体"/>
          <w:b/>
          <w:color w:val="auto"/>
          <w:kern w:val="0"/>
          <w:sz w:val="24"/>
          <w:highlight w:val="none"/>
        </w:rPr>
        <w:t>磋商保证金（无）</w:t>
      </w:r>
    </w:p>
    <w:p>
      <w:pPr>
        <w:autoSpaceDE w:val="0"/>
        <w:autoSpaceDN w:val="0"/>
        <w:adjustRightInd w:val="0"/>
        <w:spacing w:line="400" w:lineRule="exact"/>
        <w:ind w:firstLine="482" w:firstLineChars="200"/>
        <w:jc w:val="left"/>
        <w:rPr>
          <w:rFonts w:ascii="宋体" w:cs="宋体"/>
          <w:b/>
          <w:color w:val="auto"/>
          <w:kern w:val="0"/>
          <w:sz w:val="24"/>
          <w:highlight w:val="none"/>
        </w:rPr>
      </w:pPr>
      <w:r>
        <w:rPr>
          <w:rFonts w:ascii="宋体" w:hAnsi="宋体" w:cs="宋体"/>
          <w:b/>
          <w:color w:val="auto"/>
          <w:kern w:val="0"/>
          <w:sz w:val="24"/>
          <w:highlight w:val="none"/>
        </w:rPr>
        <w:t xml:space="preserve">3.6 </w:t>
      </w:r>
      <w:r>
        <w:rPr>
          <w:rFonts w:hint="eastAsia" w:ascii="宋体" w:hAnsi="宋体" w:cs="宋体"/>
          <w:b/>
          <w:color w:val="auto"/>
          <w:kern w:val="0"/>
          <w:sz w:val="24"/>
          <w:highlight w:val="none"/>
        </w:rPr>
        <w:t>资格审查资料</w:t>
      </w:r>
    </w:p>
    <w:p>
      <w:pPr>
        <w:autoSpaceDE w:val="0"/>
        <w:autoSpaceDN w:val="0"/>
        <w:adjustRightInd w:val="0"/>
        <w:spacing w:line="380" w:lineRule="exact"/>
        <w:ind w:firstLine="420" w:firstLineChars="200"/>
        <w:jc w:val="left"/>
        <w:rPr>
          <w:rFonts w:ascii="宋体" w:cs="宋体"/>
          <w:color w:val="auto"/>
          <w:kern w:val="0"/>
          <w:szCs w:val="21"/>
          <w:highlight w:val="none"/>
        </w:rPr>
      </w:pPr>
      <w:r>
        <w:rPr>
          <w:rFonts w:ascii="宋体" w:hAnsi="宋体" w:cs="宋体"/>
          <w:color w:val="auto"/>
          <w:kern w:val="0"/>
          <w:szCs w:val="21"/>
          <w:highlight w:val="none"/>
        </w:rPr>
        <w:t>3.6.1</w:t>
      </w:r>
      <w:r>
        <w:rPr>
          <w:rFonts w:hint="eastAsia" w:ascii="宋体" w:hAnsi="宋体" w:cs="宋体"/>
          <w:color w:val="auto"/>
          <w:kern w:val="0"/>
          <w:szCs w:val="21"/>
          <w:highlight w:val="none"/>
        </w:rPr>
        <w:t>“供应商基本情况表”应附供应商有效的营业执照（副本）等的复印件</w:t>
      </w:r>
      <w:r>
        <w:rPr>
          <w:rFonts w:hint="eastAsia" w:ascii="宋体" w:hAnsi="宋体" w:cs="宋体"/>
          <w:color w:val="auto"/>
          <w:kern w:val="0"/>
          <w:szCs w:val="21"/>
          <w:highlight w:val="none"/>
          <w:lang w:eastAsia="zh-CN"/>
        </w:rPr>
        <w:t>或扫描件</w:t>
      </w:r>
      <w:r>
        <w:rPr>
          <w:rFonts w:hint="eastAsia" w:ascii="宋体" w:hAnsi="宋体" w:cs="宋体"/>
          <w:color w:val="auto"/>
          <w:kern w:val="0"/>
          <w:szCs w:val="21"/>
          <w:highlight w:val="none"/>
        </w:rPr>
        <w:t>。</w:t>
      </w:r>
    </w:p>
    <w:p>
      <w:pPr>
        <w:autoSpaceDE w:val="0"/>
        <w:autoSpaceDN w:val="0"/>
        <w:adjustRightInd w:val="0"/>
        <w:spacing w:line="380" w:lineRule="exact"/>
        <w:ind w:firstLine="420" w:firstLineChars="200"/>
        <w:jc w:val="left"/>
        <w:rPr>
          <w:rFonts w:ascii="宋体" w:cs="宋体"/>
          <w:color w:val="auto"/>
          <w:kern w:val="0"/>
          <w:szCs w:val="21"/>
          <w:highlight w:val="none"/>
        </w:rPr>
      </w:pPr>
      <w:r>
        <w:rPr>
          <w:rFonts w:ascii="宋体" w:hAnsi="宋体" w:cs="宋体"/>
          <w:color w:val="auto"/>
          <w:kern w:val="0"/>
          <w:szCs w:val="21"/>
          <w:highlight w:val="none"/>
        </w:rPr>
        <w:t>3.6.2</w:t>
      </w:r>
      <w:r>
        <w:rPr>
          <w:rFonts w:hint="eastAsia" w:ascii="宋体" w:hAnsi="宋体" w:cs="宋体"/>
          <w:color w:val="auto"/>
          <w:kern w:val="0"/>
          <w:szCs w:val="21"/>
          <w:highlight w:val="none"/>
        </w:rPr>
        <w:t>供应商须知前附表规定接受联合体投标的，本章第</w:t>
      </w:r>
      <w:r>
        <w:rPr>
          <w:rFonts w:ascii="宋体" w:hAnsi="宋体" w:cs="宋体"/>
          <w:color w:val="auto"/>
          <w:kern w:val="0"/>
          <w:szCs w:val="21"/>
          <w:highlight w:val="none"/>
        </w:rPr>
        <w:t>3.6.1</w:t>
      </w:r>
      <w:r>
        <w:rPr>
          <w:rFonts w:hint="eastAsia" w:ascii="宋体" w:hAnsi="宋体" w:cs="宋体"/>
          <w:color w:val="auto"/>
          <w:kern w:val="0"/>
          <w:szCs w:val="21"/>
          <w:highlight w:val="none"/>
        </w:rPr>
        <w:t>项至第</w:t>
      </w:r>
      <w:r>
        <w:rPr>
          <w:rFonts w:ascii="宋体" w:hAnsi="宋体" w:cs="宋体"/>
          <w:color w:val="auto"/>
          <w:kern w:val="0"/>
          <w:szCs w:val="21"/>
          <w:highlight w:val="none"/>
        </w:rPr>
        <w:t>3.6.2</w:t>
      </w:r>
      <w:r>
        <w:rPr>
          <w:rFonts w:hint="eastAsia" w:ascii="宋体" w:hAnsi="宋体" w:cs="宋体"/>
          <w:color w:val="auto"/>
          <w:kern w:val="0"/>
          <w:szCs w:val="21"/>
          <w:highlight w:val="none"/>
        </w:rPr>
        <w:t>项规定的表格和资料应包括联合体各方相关情况。</w:t>
      </w:r>
    </w:p>
    <w:p>
      <w:pPr>
        <w:autoSpaceDE w:val="0"/>
        <w:autoSpaceDN w:val="0"/>
        <w:adjustRightInd w:val="0"/>
        <w:spacing w:line="380" w:lineRule="exact"/>
        <w:ind w:firstLine="482" w:firstLineChars="200"/>
        <w:jc w:val="left"/>
        <w:rPr>
          <w:rFonts w:ascii="宋体" w:cs="宋体"/>
          <w:b/>
          <w:color w:val="auto"/>
          <w:kern w:val="0"/>
          <w:sz w:val="24"/>
          <w:highlight w:val="none"/>
        </w:rPr>
      </w:pPr>
      <w:r>
        <w:rPr>
          <w:rFonts w:ascii="宋体" w:hAnsi="宋体" w:cs="宋体"/>
          <w:b/>
          <w:color w:val="auto"/>
          <w:kern w:val="0"/>
          <w:sz w:val="24"/>
          <w:highlight w:val="none"/>
        </w:rPr>
        <w:t xml:space="preserve">3.7 </w:t>
      </w:r>
      <w:r>
        <w:rPr>
          <w:rFonts w:hint="eastAsia" w:ascii="宋体" w:hAnsi="宋体" w:cs="宋体"/>
          <w:b/>
          <w:color w:val="auto"/>
          <w:kern w:val="0"/>
          <w:sz w:val="24"/>
          <w:highlight w:val="none"/>
        </w:rPr>
        <w:t>响应文件的编制</w:t>
      </w:r>
    </w:p>
    <w:p>
      <w:pPr>
        <w:autoSpaceDE w:val="0"/>
        <w:autoSpaceDN w:val="0"/>
        <w:adjustRightInd w:val="0"/>
        <w:spacing w:line="380" w:lineRule="exact"/>
        <w:ind w:firstLine="420" w:firstLineChars="200"/>
        <w:jc w:val="left"/>
        <w:rPr>
          <w:rFonts w:ascii="宋体" w:cs="宋体"/>
          <w:color w:val="auto"/>
          <w:kern w:val="0"/>
          <w:szCs w:val="21"/>
          <w:highlight w:val="none"/>
        </w:rPr>
      </w:pPr>
      <w:r>
        <w:rPr>
          <w:rFonts w:ascii="宋体" w:hAnsi="宋体" w:cs="宋体"/>
          <w:color w:val="auto"/>
          <w:kern w:val="0"/>
          <w:szCs w:val="21"/>
          <w:highlight w:val="none"/>
        </w:rPr>
        <w:t xml:space="preserve">3.7.1 </w:t>
      </w:r>
      <w:r>
        <w:rPr>
          <w:rFonts w:hint="eastAsia" w:ascii="宋体" w:hAnsi="宋体" w:cs="宋体"/>
          <w:color w:val="auto"/>
          <w:kern w:val="0"/>
          <w:szCs w:val="21"/>
          <w:highlight w:val="none"/>
        </w:rPr>
        <w:t>响应文件应按本磋商文件“响应文件格式”进行编写。</w:t>
      </w:r>
    </w:p>
    <w:p>
      <w:pPr>
        <w:autoSpaceDE w:val="0"/>
        <w:autoSpaceDN w:val="0"/>
        <w:adjustRightInd w:val="0"/>
        <w:spacing w:line="380" w:lineRule="exact"/>
        <w:ind w:firstLine="420" w:firstLineChars="200"/>
        <w:jc w:val="left"/>
        <w:rPr>
          <w:rFonts w:ascii="宋体" w:cs="宋体"/>
          <w:color w:val="auto"/>
          <w:kern w:val="0"/>
          <w:szCs w:val="21"/>
          <w:highlight w:val="none"/>
        </w:rPr>
      </w:pPr>
      <w:r>
        <w:rPr>
          <w:rFonts w:ascii="宋体" w:hAnsi="宋体" w:cs="宋体"/>
          <w:color w:val="auto"/>
          <w:kern w:val="0"/>
          <w:szCs w:val="21"/>
          <w:highlight w:val="none"/>
        </w:rPr>
        <w:t xml:space="preserve">3.7.2 </w:t>
      </w:r>
      <w:r>
        <w:rPr>
          <w:rFonts w:hint="eastAsia" w:ascii="宋体" w:hAnsi="宋体" w:cs="宋体"/>
          <w:color w:val="auto"/>
          <w:kern w:val="0"/>
          <w:szCs w:val="21"/>
          <w:highlight w:val="none"/>
        </w:rPr>
        <w:t>响应文件应当对磋商文件规定的磋商有效期、合同履行期限（工期）、质量要求、服务项目内容及要求等实质性内容作出响应。</w:t>
      </w:r>
    </w:p>
    <w:p>
      <w:pPr>
        <w:autoSpaceDE w:val="0"/>
        <w:autoSpaceDN w:val="0"/>
        <w:adjustRightInd w:val="0"/>
        <w:spacing w:line="380" w:lineRule="exact"/>
        <w:ind w:firstLine="420" w:firstLineChars="200"/>
        <w:jc w:val="left"/>
        <w:rPr>
          <w:rFonts w:ascii="宋体" w:hAnsi="宋体" w:eastAsia="宋体" w:cs="宋体"/>
          <w:color w:val="auto"/>
          <w:kern w:val="0"/>
          <w:szCs w:val="21"/>
          <w:highlight w:val="none"/>
        </w:rPr>
      </w:pPr>
      <w:r>
        <w:rPr>
          <w:rFonts w:ascii="宋体" w:hAnsi="宋体" w:eastAsia="宋体" w:cs="宋体"/>
          <w:color w:val="auto"/>
          <w:kern w:val="0"/>
          <w:szCs w:val="21"/>
          <w:highlight w:val="none"/>
        </w:rPr>
        <w:t xml:space="preserve">3.7.3 </w:t>
      </w:r>
      <w:r>
        <w:rPr>
          <w:rFonts w:hint="eastAsia" w:ascii="宋体" w:hAnsi="宋体" w:eastAsia="宋体" w:cs="宋体"/>
          <w:color w:val="auto"/>
          <w:kern w:val="0"/>
          <w:szCs w:val="21"/>
          <w:highlight w:val="none"/>
          <w:lang w:val="en-US" w:eastAsia="zh-CN"/>
        </w:rPr>
        <w:t xml:space="preserve">供应商凭CA 锁登录，并按网上提示自行下载磋商文件。使用“新点投标文件制作软件”按要求制作电子响应性文件。供应商在制作电子响应性文件时，应按要求进行电子签章。供应商编辑电子响应性文件时，根据磋商文件要求用法定代表人CA锁和企业CA锁进行签章制作；最后一步生成电子响应文件时，只能用本单位的企业CA 锁。 </w:t>
      </w:r>
    </w:p>
    <w:p>
      <w:pPr>
        <w:keepNext w:val="0"/>
        <w:keepLines w:val="0"/>
        <w:pageBreakBefore w:val="0"/>
        <w:widowControl w:val="0"/>
        <w:kinsoku/>
        <w:wordWrap/>
        <w:overflowPunct/>
        <w:topLinePunct w:val="0"/>
        <w:bidi w:val="0"/>
        <w:snapToGrid/>
        <w:spacing w:line="392"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3.7.3 电子</w:t>
      </w:r>
      <w:r>
        <w:rPr>
          <w:rFonts w:hint="eastAsia" w:ascii="宋体" w:hAnsi="宋体" w:cs="宋体"/>
          <w:color w:val="auto"/>
          <w:kern w:val="0"/>
          <w:szCs w:val="21"/>
          <w:highlight w:val="none"/>
        </w:rPr>
        <w:t>响应文件</w:t>
      </w:r>
      <w:r>
        <w:rPr>
          <w:rFonts w:hint="eastAsia" w:ascii="宋体" w:hAnsi="宋体" w:cs="宋体"/>
          <w:color w:val="auto"/>
          <w:szCs w:val="21"/>
          <w:highlight w:val="none"/>
        </w:rPr>
        <w:t>上传件、自备非加密的电子</w:t>
      </w:r>
      <w:r>
        <w:rPr>
          <w:rFonts w:hint="eastAsia" w:ascii="宋体" w:hAnsi="宋体" w:cs="宋体"/>
          <w:color w:val="auto"/>
          <w:kern w:val="0"/>
          <w:szCs w:val="21"/>
          <w:highlight w:val="none"/>
        </w:rPr>
        <w:t>响应文件</w:t>
      </w:r>
      <w:r>
        <w:rPr>
          <w:rFonts w:hint="eastAsia" w:ascii="宋体" w:hAnsi="宋体" w:cs="宋体"/>
          <w:color w:val="auto"/>
          <w:szCs w:val="21"/>
          <w:highlight w:val="none"/>
        </w:rPr>
        <w:t>应一致，不一致时以电子</w:t>
      </w:r>
      <w:r>
        <w:rPr>
          <w:rFonts w:hint="eastAsia" w:ascii="宋体" w:hAnsi="宋体" w:cs="宋体"/>
          <w:color w:val="auto"/>
          <w:kern w:val="0"/>
          <w:szCs w:val="21"/>
          <w:highlight w:val="none"/>
        </w:rPr>
        <w:t>响应文件</w:t>
      </w:r>
      <w:r>
        <w:rPr>
          <w:rFonts w:hint="eastAsia" w:ascii="宋体" w:hAnsi="宋体" w:cs="宋体"/>
          <w:color w:val="auto"/>
          <w:szCs w:val="21"/>
          <w:highlight w:val="none"/>
        </w:rPr>
        <w:t>上传件为准。如电子</w:t>
      </w:r>
      <w:r>
        <w:rPr>
          <w:rFonts w:hint="eastAsia" w:ascii="宋体" w:hAnsi="宋体" w:cs="宋体"/>
          <w:color w:val="auto"/>
          <w:kern w:val="0"/>
          <w:szCs w:val="21"/>
          <w:highlight w:val="none"/>
        </w:rPr>
        <w:t>响应文件</w:t>
      </w:r>
      <w:r>
        <w:rPr>
          <w:rFonts w:hint="eastAsia" w:ascii="宋体" w:hAnsi="宋体" w:cs="宋体"/>
          <w:color w:val="auto"/>
          <w:szCs w:val="21"/>
          <w:highlight w:val="none"/>
        </w:rPr>
        <w:t>出现问题，以自备非加密的电子</w:t>
      </w:r>
      <w:r>
        <w:rPr>
          <w:rFonts w:hint="eastAsia" w:ascii="宋体" w:hAnsi="宋体" w:cs="宋体"/>
          <w:color w:val="auto"/>
          <w:kern w:val="0"/>
          <w:szCs w:val="21"/>
          <w:highlight w:val="none"/>
        </w:rPr>
        <w:t>响应文件</w:t>
      </w:r>
      <w:r>
        <w:rPr>
          <w:rFonts w:hint="eastAsia" w:ascii="宋体" w:hAnsi="宋体" w:cs="宋体"/>
          <w:color w:val="auto"/>
          <w:szCs w:val="21"/>
          <w:highlight w:val="none"/>
        </w:rPr>
        <w:t>为准。</w:t>
      </w:r>
    </w:p>
    <w:p>
      <w:pPr>
        <w:keepNext w:val="0"/>
        <w:keepLines w:val="0"/>
        <w:pageBreakBefore w:val="0"/>
        <w:widowControl w:val="0"/>
        <w:kinsoku/>
        <w:wordWrap/>
        <w:overflowPunct/>
        <w:topLinePunct w:val="0"/>
        <w:bidi w:val="0"/>
        <w:snapToGrid/>
        <w:spacing w:line="392"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3.7.4 本项目采用电子开评标方式，潜在</w:t>
      </w:r>
      <w:r>
        <w:rPr>
          <w:rFonts w:hint="eastAsia" w:ascii="宋体" w:hAnsi="宋体" w:eastAsia="宋体" w:cs="宋体"/>
          <w:color w:val="auto"/>
          <w:kern w:val="0"/>
          <w:szCs w:val="21"/>
          <w:highlight w:val="none"/>
          <w:lang w:val="en-US" w:eastAsia="zh-CN"/>
        </w:rPr>
        <w:t>供应商</w:t>
      </w:r>
      <w:r>
        <w:rPr>
          <w:rFonts w:hint="eastAsia" w:ascii="宋体" w:hAnsi="宋体" w:cs="宋体"/>
          <w:color w:val="auto"/>
          <w:szCs w:val="21"/>
          <w:highlight w:val="none"/>
        </w:rPr>
        <w:t>可提前在焦作市交易中心官网首页---下载中心--下载《焦作市电子招投标系统操作手册》、《焦作市公共资源交易平台不见面开标操作手册》和《投标文件制作工作工具》等查看操作说明，按要求进行</w:t>
      </w:r>
      <w:r>
        <w:rPr>
          <w:rFonts w:hint="eastAsia" w:ascii="宋体" w:hAnsi="宋体" w:cs="宋体"/>
          <w:color w:val="auto"/>
          <w:szCs w:val="21"/>
          <w:highlight w:val="none"/>
          <w:lang w:eastAsia="zh-CN"/>
        </w:rPr>
        <w:t>响应</w:t>
      </w:r>
      <w:r>
        <w:rPr>
          <w:rFonts w:hint="eastAsia" w:ascii="宋体" w:hAnsi="宋体" w:cs="宋体"/>
          <w:color w:val="auto"/>
          <w:szCs w:val="21"/>
          <w:highlight w:val="none"/>
        </w:rPr>
        <w:t>文件制作和上传等。为避免网络拥堵等不可控因素影响</w:t>
      </w:r>
      <w:r>
        <w:rPr>
          <w:rFonts w:hint="eastAsia" w:ascii="宋体" w:hAnsi="宋体" w:cs="宋体"/>
          <w:color w:val="auto"/>
          <w:kern w:val="0"/>
          <w:szCs w:val="21"/>
          <w:highlight w:val="none"/>
        </w:rPr>
        <w:t>响应</w:t>
      </w:r>
      <w:r>
        <w:rPr>
          <w:rFonts w:hint="eastAsia" w:ascii="宋体" w:hAnsi="宋体" w:cs="宋体"/>
          <w:color w:val="auto"/>
          <w:szCs w:val="21"/>
          <w:highlight w:val="none"/>
        </w:rPr>
        <w:t>文件的上传，请提前上传</w:t>
      </w:r>
      <w:r>
        <w:rPr>
          <w:rFonts w:hint="eastAsia" w:ascii="宋体" w:hAnsi="宋体" w:cs="宋体"/>
          <w:color w:val="auto"/>
          <w:kern w:val="0"/>
          <w:szCs w:val="21"/>
          <w:highlight w:val="none"/>
        </w:rPr>
        <w:t>响应</w:t>
      </w:r>
      <w:r>
        <w:rPr>
          <w:rFonts w:hint="eastAsia" w:ascii="宋体" w:hAnsi="宋体" w:cs="宋体"/>
          <w:color w:val="auto"/>
          <w:szCs w:val="21"/>
          <w:highlight w:val="none"/>
        </w:rPr>
        <w:t>文件，并在开标截止时间前登录不见面开标大厅进行签到，按要求解密</w:t>
      </w:r>
      <w:r>
        <w:rPr>
          <w:rFonts w:hint="eastAsia" w:ascii="宋体" w:hAnsi="宋体" w:cs="宋体"/>
          <w:color w:val="auto"/>
          <w:kern w:val="0"/>
          <w:szCs w:val="21"/>
          <w:highlight w:val="none"/>
        </w:rPr>
        <w:t>响应</w:t>
      </w:r>
      <w:r>
        <w:rPr>
          <w:rFonts w:hint="eastAsia" w:ascii="宋体" w:hAnsi="宋体" w:cs="宋体"/>
          <w:color w:val="auto"/>
          <w:szCs w:val="21"/>
          <w:highlight w:val="none"/>
        </w:rPr>
        <w:t>文件。因文件未及时上传导致投标失败的责任由</w:t>
      </w:r>
      <w:r>
        <w:rPr>
          <w:rFonts w:hint="eastAsia" w:ascii="宋体" w:hAnsi="宋体" w:eastAsia="宋体" w:cs="宋体"/>
          <w:color w:val="auto"/>
          <w:kern w:val="0"/>
          <w:szCs w:val="21"/>
          <w:highlight w:val="none"/>
          <w:lang w:val="en-US" w:eastAsia="zh-CN"/>
        </w:rPr>
        <w:t>供应商</w:t>
      </w:r>
      <w:r>
        <w:rPr>
          <w:rFonts w:hint="eastAsia" w:ascii="宋体" w:hAnsi="宋体" w:cs="宋体"/>
          <w:color w:val="auto"/>
          <w:szCs w:val="21"/>
          <w:highlight w:val="none"/>
        </w:rPr>
        <w:t>自行承担。</w:t>
      </w:r>
    </w:p>
    <w:p>
      <w:pPr>
        <w:autoSpaceDE w:val="0"/>
        <w:autoSpaceDN w:val="0"/>
        <w:adjustRightInd w:val="0"/>
        <w:spacing w:line="440" w:lineRule="exact"/>
        <w:ind w:firstLine="482" w:firstLineChars="200"/>
        <w:jc w:val="left"/>
        <w:rPr>
          <w:rFonts w:ascii="宋体" w:cs="宋体"/>
          <w:b/>
          <w:color w:val="auto"/>
          <w:kern w:val="0"/>
          <w:sz w:val="24"/>
          <w:highlight w:val="none"/>
        </w:rPr>
      </w:pPr>
      <w:r>
        <w:rPr>
          <w:rFonts w:ascii="宋体" w:hAnsi="宋体" w:cs="宋体"/>
          <w:b/>
          <w:color w:val="auto"/>
          <w:kern w:val="0"/>
          <w:sz w:val="24"/>
          <w:highlight w:val="none"/>
        </w:rPr>
        <w:t xml:space="preserve">3.8 </w:t>
      </w:r>
      <w:r>
        <w:rPr>
          <w:rFonts w:hint="eastAsia" w:ascii="宋体" w:hAnsi="宋体" w:cs="宋体"/>
          <w:b/>
          <w:color w:val="auto"/>
          <w:kern w:val="0"/>
          <w:sz w:val="24"/>
          <w:highlight w:val="none"/>
        </w:rPr>
        <w:t>语言文字</w:t>
      </w:r>
    </w:p>
    <w:p>
      <w:pPr>
        <w:autoSpaceDE w:val="0"/>
        <w:autoSpaceDN w:val="0"/>
        <w:adjustRightInd w:val="0"/>
        <w:spacing w:line="440" w:lineRule="exact"/>
        <w:ind w:firstLine="420" w:firstLineChars="200"/>
        <w:jc w:val="left"/>
        <w:rPr>
          <w:rFonts w:ascii="宋体" w:cs="宋体"/>
          <w:color w:val="auto"/>
          <w:kern w:val="0"/>
          <w:szCs w:val="21"/>
          <w:highlight w:val="none"/>
        </w:rPr>
      </w:pPr>
      <w:r>
        <w:rPr>
          <w:rFonts w:hint="eastAsia" w:ascii="宋体" w:hAnsi="宋体" w:cs="宋体"/>
          <w:color w:val="auto"/>
          <w:kern w:val="0"/>
          <w:szCs w:val="21"/>
          <w:highlight w:val="none"/>
        </w:rPr>
        <w:t>除专用术语外，与招标投标有关的语言均使用中文。必要时专业术语应附有中文注释。</w:t>
      </w:r>
    </w:p>
    <w:p>
      <w:pPr>
        <w:autoSpaceDE w:val="0"/>
        <w:autoSpaceDN w:val="0"/>
        <w:adjustRightInd w:val="0"/>
        <w:spacing w:line="440" w:lineRule="exact"/>
        <w:ind w:firstLine="482" w:firstLineChars="200"/>
        <w:jc w:val="left"/>
        <w:rPr>
          <w:rFonts w:ascii="宋体" w:cs="宋体"/>
          <w:b/>
          <w:color w:val="auto"/>
          <w:kern w:val="0"/>
          <w:sz w:val="24"/>
          <w:highlight w:val="none"/>
        </w:rPr>
      </w:pPr>
      <w:r>
        <w:rPr>
          <w:rFonts w:ascii="宋体" w:hAnsi="宋体" w:cs="宋体"/>
          <w:b/>
          <w:color w:val="auto"/>
          <w:kern w:val="0"/>
          <w:sz w:val="24"/>
          <w:highlight w:val="none"/>
        </w:rPr>
        <w:t xml:space="preserve">3.9 </w:t>
      </w:r>
      <w:r>
        <w:rPr>
          <w:rFonts w:hint="eastAsia" w:ascii="宋体" w:hAnsi="宋体" w:cs="宋体"/>
          <w:b/>
          <w:color w:val="auto"/>
          <w:kern w:val="0"/>
          <w:sz w:val="24"/>
          <w:highlight w:val="none"/>
        </w:rPr>
        <w:t>计量单位和货币</w:t>
      </w:r>
    </w:p>
    <w:p>
      <w:pPr>
        <w:autoSpaceDE w:val="0"/>
        <w:autoSpaceDN w:val="0"/>
        <w:adjustRightInd w:val="0"/>
        <w:spacing w:line="440" w:lineRule="exact"/>
        <w:ind w:firstLine="420" w:firstLineChars="200"/>
        <w:jc w:val="left"/>
        <w:rPr>
          <w:rFonts w:ascii="宋体" w:cs="宋体"/>
          <w:color w:val="auto"/>
          <w:kern w:val="0"/>
          <w:szCs w:val="21"/>
          <w:highlight w:val="none"/>
        </w:rPr>
      </w:pPr>
      <w:r>
        <w:rPr>
          <w:rFonts w:hint="eastAsia" w:ascii="宋体" w:hAnsi="宋体" w:cs="宋体"/>
          <w:color w:val="auto"/>
          <w:kern w:val="0"/>
          <w:szCs w:val="21"/>
          <w:highlight w:val="none"/>
        </w:rPr>
        <w:t>所有计量单位均采用中华人民共和国法定计量单位。货币均采用人民币。</w:t>
      </w:r>
    </w:p>
    <w:p>
      <w:pPr>
        <w:autoSpaceDE w:val="0"/>
        <w:autoSpaceDN w:val="0"/>
        <w:adjustRightInd w:val="0"/>
        <w:spacing w:line="440" w:lineRule="exact"/>
        <w:ind w:firstLine="482" w:firstLineChars="200"/>
        <w:jc w:val="left"/>
        <w:rPr>
          <w:rFonts w:ascii="宋体" w:cs="宋体"/>
          <w:b/>
          <w:color w:val="auto"/>
          <w:kern w:val="0"/>
          <w:sz w:val="24"/>
          <w:highlight w:val="none"/>
        </w:rPr>
      </w:pPr>
      <w:r>
        <w:rPr>
          <w:rFonts w:ascii="宋体" w:hAnsi="宋体" w:cs="宋体"/>
          <w:b/>
          <w:color w:val="auto"/>
          <w:kern w:val="0"/>
          <w:sz w:val="24"/>
          <w:highlight w:val="none"/>
        </w:rPr>
        <w:t xml:space="preserve">3.10 </w:t>
      </w:r>
      <w:r>
        <w:rPr>
          <w:rFonts w:hint="eastAsia" w:ascii="宋体" w:hAnsi="宋体" w:cs="宋体"/>
          <w:b/>
          <w:color w:val="auto"/>
          <w:kern w:val="0"/>
          <w:sz w:val="24"/>
          <w:highlight w:val="none"/>
        </w:rPr>
        <w:t>踏勘现场</w:t>
      </w:r>
    </w:p>
    <w:p>
      <w:pPr>
        <w:autoSpaceDE w:val="0"/>
        <w:autoSpaceDN w:val="0"/>
        <w:adjustRightInd w:val="0"/>
        <w:spacing w:line="440" w:lineRule="exact"/>
        <w:ind w:firstLine="420" w:firstLineChars="200"/>
        <w:jc w:val="left"/>
        <w:rPr>
          <w:rFonts w:ascii="宋体" w:cs="宋体"/>
          <w:color w:val="auto"/>
          <w:kern w:val="0"/>
          <w:szCs w:val="21"/>
          <w:highlight w:val="none"/>
        </w:rPr>
      </w:pPr>
      <w:r>
        <w:rPr>
          <w:rFonts w:ascii="宋体" w:hAnsi="宋体" w:cs="宋体"/>
          <w:color w:val="auto"/>
          <w:kern w:val="0"/>
          <w:szCs w:val="21"/>
          <w:highlight w:val="none"/>
        </w:rPr>
        <w:t xml:space="preserve">3.10.1 </w:t>
      </w:r>
      <w:r>
        <w:rPr>
          <w:rFonts w:hint="eastAsia" w:ascii="宋体" w:hAnsi="宋体" w:cs="宋体"/>
          <w:color w:val="auto"/>
          <w:kern w:val="0"/>
          <w:szCs w:val="21"/>
          <w:highlight w:val="none"/>
        </w:rPr>
        <w:t>供应商须知前附表规定组织踏勘现场的，采购人按供应商须知前附表规定的时间、地点组织供应商踏勘项目现场。</w:t>
      </w:r>
    </w:p>
    <w:p>
      <w:pPr>
        <w:autoSpaceDE w:val="0"/>
        <w:autoSpaceDN w:val="0"/>
        <w:adjustRightInd w:val="0"/>
        <w:spacing w:line="440" w:lineRule="exact"/>
        <w:ind w:firstLine="420" w:firstLineChars="200"/>
        <w:jc w:val="left"/>
        <w:rPr>
          <w:rFonts w:ascii="宋体" w:cs="宋体"/>
          <w:color w:val="auto"/>
          <w:kern w:val="0"/>
          <w:szCs w:val="21"/>
          <w:highlight w:val="none"/>
        </w:rPr>
      </w:pPr>
      <w:r>
        <w:rPr>
          <w:rFonts w:ascii="宋体" w:hAnsi="宋体" w:cs="宋体"/>
          <w:color w:val="auto"/>
          <w:kern w:val="0"/>
          <w:szCs w:val="21"/>
          <w:highlight w:val="none"/>
        </w:rPr>
        <w:t xml:space="preserve">3.10.2 </w:t>
      </w:r>
      <w:r>
        <w:rPr>
          <w:rFonts w:hint="eastAsia" w:ascii="宋体" w:hAnsi="宋体" w:cs="宋体"/>
          <w:color w:val="auto"/>
          <w:kern w:val="0"/>
          <w:szCs w:val="21"/>
          <w:highlight w:val="none"/>
        </w:rPr>
        <w:t>供应商踏勘现场发生的费用自理。</w:t>
      </w:r>
    </w:p>
    <w:p>
      <w:pPr>
        <w:autoSpaceDE w:val="0"/>
        <w:autoSpaceDN w:val="0"/>
        <w:adjustRightInd w:val="0"/>
        <w:spacing w:line="440" w:lineRule="exact"/>
        <w:ind w:firstLine="420" w:firstLineChars="200"/>
        <w:jc w:val="left"/>
        <w:rPr>
          <w:rFonts w:ascii="宋体" w:cs="宋体"/>
          <w:color w:val="auto"/>
          <w:kern w:val="0"/>
          <w:szCs w:val="21"/>
          <w:highlight w:val="none"/>
        </w:rPr>
      </w:pPr>
      <w:r>
        <w:rPr>
          <w:rFonts w:ascii="宋体" w:hAnsi="宋体" w:cs="宋体"/>
          <w:color w:val="auto"/>
          <w:kern w:val="0"/>
          <w:szCs w:val="21"/>
          <w:highlight w:val="none"/>
        </w:rPr>
        <w:t xml:space="preserve">3.10.3 </w:t>
      </w:r>
      <w:r>
        <w:rPr>
          <w:rFonts w:hint="eastAsia" w:ascii="宋体" w:hAnsi="宋体" w:cs="宋体"/>
          <w:color w:val="auto"/>
          <w:kern w:val="0"/>
          <w:szCs w:val="21"/>
          <w:highlight w:val="none"/>
        </w:rPr>
        <w:t>采购人在踏勘现场中介绍的情况，供供应商在编制响应文件时参考，采购人不对供应商据此作出的判断和决策负责。</w:t>
      </w:r>
    </w:p>
    <w:p>
      <w:pPr>
        <w:pStyle w:val="4"/>
        <w:numPr>
          <w:ilvl w:val="0"/>
          <w:numId w:val="4"/>
        </w:numPr>
        <w:spacing w:before="0" w:after="0" w:line="440" w:lineRule="exact"/>
        <w:ind w:left="180"/>
        <w:jc w:val="left"/>
        <w:rPr>
          <w:rStyle w:val="36"/>
          <w:rFonts w:ascii="宋体" w:hAnsi="宋体" w:eastAsia="宋体" w:cs="宋体"/>
          <w:b/>
          <w:bCs/>
          <w:color w:val="auto"/>
          <w:highlight w:val="none"/>
        </w:rPr>
      </w:pPr>
      <w:bookmarkStart w:id="22" w:name="_Toc26016"/>
      <w:r>
        <w:rPr>
          <w:rStyle w:val="36"/>
          <w:rFonts w:hint="eastAsia" w:ascii="宋体" w:hAnsi="宋体" w:eastAsia="宋体" w:cs="宋体"/>
          <w:b/>
          <w:bCs/>
          <w:color w:val="auto"/>
          <w:highlight w:val="none"/>
        </w:rPr>
        <w:t>响应</w:t>
      </w:r>
      <w:bookmarkEnd w:id="22"/>
    </w:p>
    <w:p>
      <w:pPr>
        <w:keepNext/>
        <w:keepLines/>
        <w:spacing w:line="440" w:lineRule="exact"/>
        <w:ind w:left="468"/>
        <w:jc w:val="left"/>
        <w:rPr>
          <w:rFonts w:ascii="宋体" w:cs="宋体"/>
          <w:b/>
          <w:color w:val="auto"/>
          <w:sz w:val="24"/>
          <w:highlight w:val="none"/>
        </w:rPr>
      </w:pPr>
      <w:r>
        <w:rPr>
          <w:rFonts w:ascii="宋体" w:hAnsi="宋体" w:cs="宋体"/>
          <w:b/>
          <w:color w:val="auto"/>
          <w:sz w:val="24"/>
          <w:highlight w:val="none"/>
        </w:rPr>
        <w:t xml:space="preserve">4.1 </w:t>
      </w:r>
      <w:r>
        <w:rPr>
          <w:rFonts w:hint="eastAsia" w:ascii="宋体" w:hAnsi="宋体" w:cs="宋体"/>
          <w:b/>
          <w:color w:val="auto"/>
          <w:sz w:val="24"/>
          <w:highlight w:val="none"/>
        </w:rPr>
        <w:t>响应文件的密封和标记</w:t>
      </w:r>
    </w:p>
    <w:p>
      <w:pPr>
        <w:autoSpaceDE w:val="0"/>
        <w:autoSpaceDN w:val="0"/>
        <w:adjustRightInd w:val="0"/>
        <w:spacing w:line="440" w:lineRule="exact"/>
        <w:ind w:firstLine="420" w:firstLineChars="200"/>
        <w:jc w:val="left"/>
        <w:rPr>
          <w:rFonts w:hint="eastAsia" w:ascii="宋体" w:hAnsi="宋体" w:eastAsia="宋体" w:cs="宋体"/>
          <w:color w:val="auto"/>
          <w:kern w:val="0"/>
          <w:szCs w:val="21"/>
          <w:highlight w:val="none"/>
        </w:rPr>
      </w:pPr>
      <w:r>
        <w:rPr>
          <w:rFonts w:hint="eastAsia" w:ascii="宋体" w:hAnsi="宋体" w:eastAsia="宋体" w:cs="宋体"/>
          <w:color w:val="auto"/>
          <w:kern w:val="0"/>
          <w:szCs w:val="21"/>
          <w:highlight w:val="none"/>
          <w:lang w:val="en-US" w:eastAsia="zh-CN"/>
        </w:rPr>
        <w:t>4.1.1</w:t>
      </w:r>
      <w:r>
        <w:rPr>
          <w:rFonts w:hint="eastAsia" w:ascii="宋体" w:hAnsi="宋体" w:eastAsia="宋体" w:cs="宋体"/>
          <w:color w:val="auto"/>
          <w:kern w:val="0"/>
          <w:szCs w:val="21"/>
          <w:highlight w:val="none"/>
        </w:rPr>
        <w:t>本项目为不见面开标，加密电子</w:t>
      </w:r>
      <w:r>
        <w:rPr>
          <w:rFonts w:hint="eastAsia" w:ascii="宋体" w:hAnsi="宋体" w:eastAsia="宋体" w:cs="宋体"/>
          <w:color w:val="auto"/>
          <w:kern w:val="0"/>
          <w:szCs w:val="21"/>
          <w:highlight w:val="none"/>
          <w:lang w:val="en-US" w:eastAsia="zh-CN"/>
        </w:rPr>
        <w:t>响应性</w:t>
      </w:r>
      <w:r>
        <w:rPr>
          <w:rFonts w:hint="eastAsia" w:ascii="宋体" w:hAnsi="宋体" w:eastAsia="宋体" w:cs="宋体"/>
          <w:color w:val="auto"/>
          <w:kern w:val="0"/>
          <w:szCs w:val="21"/>
          <w:highlight w:val="none"/>
        </w:rPr>
        <w:t>文件须在</w:t>
      </w:r>
      <w:r>
        <w:rPr>
          <w:rFonts w:hint="eastAsia" w:ascii="宋体" w:hAnsi="宋体" w:eastAsia="宋体" w:cs="宋体"/>
          <w:color w:val="auto"/>
          <w:kern w:val="0"/>
          <w:szCs w:val="21"/>
          <w:highlight w:val="none"/>
          <w:lang w:val="en-US" w:eastAsia="zh-CN"/>
        </w:rPr>
        <w:t>响应性文件提交</w:t>
      </w:r>
      <w:r>
        <w:rPr>
          <w:rFonts w:hint="eastAsia" w:ascii="宋体" w:hAnsi="宋体" w:eastAsia="宋体" w:cs="宋体"/>
          <w:color w:val="auto"/>
          <w:kern w:val="0"/>
          <w:szCs w:val="21"/>
          <w:highlight w:val="none"/>
        </w:rPr>
        <w:t>截止时间前通过“焦作市公共资源交易中心（http://www.jzggzy.cn/）”网站-交易平台加密上传。除电子</w:t>
      </w:r>
      <w:r>
        <w:rPr>
          <w:rFonts w:hint="eastAsia" w:ascii="宋体" w:hAnsi="宋体" w:eastAsia="宋体" w:cs="宋体"/>
          <w:color w:val="auto"/>
          <w:kern w:val="0"/>
          <w:szCs w:val="21"/>
          <w:highlight w:val="none"/>
          <w:lang w:val="en-US" w:eastAsia="zh-CN"/>
        </w:rPr>
        <w:t>响应性</w:t>
      </w:r>
      <w:r>
        <w:rPr>
          <w:rFonts w:hint="eastAsia" w:ascii="宋体" w:hAnsi="宋体" w:eastAsia="宋体" w:cs="宋体"/>
          <w:color w:val="auto"/>
          <w:kern w:val="0"/>
          <w:szCs w:val="21"/>
          <w:highlight w:val="none"/>
        </w:rPr>
        <w:t>文件外，</w:t>
      </w:r>
      <w:r>
        <w:rPr>
          <w:rFonts w:hint="eastAsia" w:ascii="宋体" w:hAnsi="宋体" w:eastAsia="宋体" w:cs="宋体"/>
          <w:color w:val="auto"/>
          <w:kern w:val="0"/>
          <w:szCs w:val="21"/>
          <w:highlight w:val="none"/>
          <w:lang w:val="en-US" w:eastAsia="zh-CN"/>
        </w:rPr>
        <w:t>磋商</w:t>
      </w:r>
      <w:r>
        <w:rPr>
          <w:rFonts w:hint="eastAsia" w:ascii="宋体" w:hAnsi="宋体" w:eastAsia="宋体" w:cs="宋体"/>
          <w:color w:val="auto"/>
          <w:kern w:val="0"/>
          <w:szCs w:val="21"/>
          <w:highlight w:val="none"/>
        </w:rPr>
        <w:t>时不再接受任何纸质文件、资料等。</w:t>
      </w:r>
    </w:p>
    <w:p>
      <w:pPr>
        <w:keepNext w:val="0"/>
        <w:keepLines w:val="0"/>
        <w:pageBreakBefore w:val="0"/>
        <w:widowControl w:val="0"/>
        <w:kinsoku/>
        <w:wordWrap/>
        <w:overflowPunct/>
        <w:topLinePunct w:val="0"/>
        <w:bidi w:val="0"/>
        <w:snapToGrid/>
        <w:spacing w:line="392" w:lineRule="exact"/>
        <w:ind w:firstLine="420" w:firstLineChars="200"/>
        <w:textAlignment w:val="auto"/>
        <w:rPr>
          <w:rFonts w:hint="default" w:eastAsia="宋体"/>
          <w:color w:val="auto"/>
          <w:highlight w:val="none"/>
          <w:lang w:val="en-US" w:eastAsia="zh-CN"/>
        </w:rPr>
      </w:pPr>
      <w:r>
        <w:rPr>
          <w:rFonts w:hint="eastAsia" w:ascii="宋体" w:hAnsi="宋体" w:eastAsia="宋体" w:cs="宋体"/>
          <w:color w:val="auto"/>
          <w:kern w:val="0"/>
          <w:szCs w:val="21"/>
          <w:highlight w:val="none"/>
          <w:lang w:val="en-US" w:eastAsia="zh-CN"/>
        </w:rPr>
        <w:t>4.1.2</w:t>
      </w:r>
      <w:r>
        <w:rPr>
          <w:rFonts w:hint="eastAsia" w:ascii="宋体" w:hAnsi="宋体" w:cs="宋体"/>
          <w:color w:val="auto"/>
          <w:szCs w:val="21"/>
          <w:highlight w:val="none"/>
        </w:rPr>
        <w:t>自备非加密的电子</w:t>
      </w:r>
      <w:r>
        <w:rPr>
          <w:rFonts w:hint="eastAsia" w:ascii="宋体" w:hAnsi="宋体" w:cs="宋体"/>
          <w:color w:val="auto"/>
          <w:szCs w:val="21"/>
          <w:highlight w:val="none"/>
          <w:lang w:eastAsia="zh-CN"/>
        </w:rPr>
        <w:t>响应</w:t>
      </w:r>
      <w:r>
        <w:rPr>
          <w:rFonts w:hint="eastAsia" w:ascii="宋体" w:hAnsi="宋体" w:cs="宋体"/>
          <w:color w:val="auto"/>
          <w:szCs w:val="21"/>
          <w:highlight w:val="none"/>
        </w:rPr>
        <w:t>文件一份，如有紧急情况，在不见面开标按要求上传。</w:t>
      </w:r>
    </w:p>
    <w:p>
      <w:pPr>
        <w:autoSpaceDE w:val="0"/>
        <w:autoSpaceDN w:val="0"/>
        <w:adjustRightInd w:val="0"/>
        <w:spacing w:line="440" w:lineRule="exact"/>
        <w:ind w:firstLine="482" w:firstLineChars="200"/>
        <w:jc w:val="left"/>
        <w:rPr>
          <w:rFonts w:ascii="宋体" w:cs="宋体"/>
          <w:b/>
          <w:color w:val="auto"/>
          <w:kern w:val="0"/>
          <w:sz w:val="24"/>
          <w:highlight w:val="none"/>
        </w:rPr>
      </w:pPr>
      <w:r>
        <w:rPr>
          <w:rFonts w:ascii="宋体" w:hAnsi="宋体" w:cs="宋体"/>
          <w:b/>
          <w:color w:val="auto"/>
          <w:kern w:val="0"/>
          <w:sz w:val="24"/>
          <w:highlight w:val="none"/>
        </w:rPr>
        <w:t xml:space="preserve">4.2 </w:t>
      </w:r>
      <w:r>
        <w:rPr>
          <w:rFonts w:hint="eastAsia" w:ascii="宋体" w:hAnsi="宋体" w:cs="宋体"/>
          <w:b/>
          <w:color w:val="auto"/>
          <w:kern w:val="0"/>
          <w:sz w:val="24"/>
          <w:highlight w:val="none"/>
        </w:rPr>
        <w:t>响应文件的递交</w:t>
      </w:r>
    </w:p>
    <w:p>
      <w:pPr>
        <w:keepNext w:val="0"/>
        <w:keepLines w:val="0"/>
        <w:pageBreakBefore w:val="0"/>
        <w:widowControl w:val="0"/>
        <w:kinsoku/>
        <w:wordWrap/>
        <w:overflowPunct/>
        <w:topLinePunct w:val="0"/>
        <w:bidi w:val="0"/>
        <w:snapToGrid/>
        <w:spacing w:line="392"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4.2.1 所有</w:t>
      </w:r>
      <w:r>
        <w:rPr>
          <w:rFonts w:hint="eastAsia" w:ascii="宋体" w:hAnsi="宋体" w:cs="宋体"/>
          <w:color w:val="auto"/>
          <w:szCs w:val="21"/>
          <w:highlight w:val="none"/>
          <w:lang w:eastAsia="zh-CN"/>
        </w:rPr>
        <w:t>响应</w:t>
      </w:r>
      <w:r>
        <w:rPr>
          <w:rFonts w:hint="eastAsia" w:ascii="宋体" w:hAnsi="宋体" w:cs="宋体"/>
          <w:color w:val="auto"/>
          <w:szCs w:val="21"/>
          <w:highlight w:val="none"/>
        </w:rPr>
        <w:t>文件必须在</w:t>
      </w:r>
      <w:r>
        <w:rPr>
          <w:rFonts w:hint="eastAsia" w:ascii="宋体" w:hAnsi="宋体" w:cs="宋体"/>
          <w:color w:val="auto"/>
          <w:szCs w:val="21"/>
          <w:highlight w:val="none"/>
          <w:lang w:eastAsia="zh-CN"/>
        </w:rPr>
        <w:t>磋商</w:t>
      </w:r>
      <w:r>
        <w:rPr>
          <w:rFonts w:hint="eastAsia" w:ascii="宋体" w:hAnsi="宋体" w:cs="宋体"/>
          <w:color w:val="auto"/>
          <w:szCs w:val="21"/>
          <w:highlight w:val="none"/>
        </w:rPr>
        <w:t>文件中规定的投标截止时间之前请提前上传</w:t>
      </w:r>
      <w:r>
        <w:rPr>
          <w:rFonts w:hint="eastAsia" w:ascii="宋体" w:hAnsi="宋体" w:cs="宋体"/>
          <w:color w:val="auto"/>
          <w:szCs w:val="21"/>
          <w:highlight w:val="none"/>
          <w:lang w:eastAsia="zh-CN"/>
        </w:rPr>
        <w:t>响应</w:t>
      </w:r>
      <w:r>
        <w:rPr>
          <w:rFonts w:hint="eastAsia" w:ascii="宋体" w:hAnsi="宋体" w:cs="宋体"/>
          <w:color w:val="auto"/>
          <w:szCs w:val="21"/>
          <w:highlight w:val="none"/>
        </w:rPr>
        <w:t>文件；并在开标截止时间前登录不见面开标大厅进行签到，按要求解密</w:t>
      </w:r>
      <w:r>
        <w:rPr>
          <w:rFonts w:hint="eastAsia" w:ascii="宋体" w:hAnsi="宋体" w:cs="宋体"/>
          <w:color w:val="auto"/>
          <w:szCs w:val="21"/>
          <w:highlight w:val="none"/>
          <w:lang w:eastAsia="zh-CN"/>
        </w:rPr>
        <w:t>响应</w:t>
      </w:r>
      <w:r>
        <w:rPr>
          <w:rFonts w:hint="eastAsia" w:ascii="宋体" w:hAnsi="宋体" w:cs="宋体"/>
          <w:color w:val="auto"/>
          <w:szCs w:val="21"/>
          <w:highlight w:val="none"/>
        </w:rPr>
        <w:t>文件，不能按时上传、签到、解密者视为自动放弃投标。</w:t>
      </w:r>
    </w:p>
    <w:p>
      <w:pPr>
        <w:keepNext w:val="0"/>
        <w:keepLines w:val="0"/>
        <w:pageBreakBefore w:val="0"/>
        <w:widowControl w:val="0"/>
        <w:kinsoku/>
        <w:wordWrap/>
        <w:overflowPunct/>
        <w:topLinePunct w:val="0"/>
        <w:bidi w:val="0"/>
        <w:snapToGrid/>
        <w:spacing w:line="392" w:lineRule="exact"/>
        <w:ind w:firstLine="420" w:firstLineChars="200"/>
        <w:textAlignment w:val="auto"/>
        <w:rPr>
          <w:rFonts w:ascii="宋体" w:hAnsi="宋体" w:cs="宋体"/>
          <w:color w:val="auto"/>
          <w:szCs w:val="21"/>
          <w:highlight w:val="none"/>
        </w:rPr>
      </w:pPr>
      <w:r>
        <w:rPr>
          <w:rFonts w:hint="eastAsia" w:ascii="宋体" w:hAnsi="宋体" w:cs="宋体"/>
          <w:color w:val="auto"/>
          <w:szCs w:val="21"/>
          <w:highlight w:val="none"/>
        </w:rPr>
        <w:t>4.2.2 采购人拒绝接收在</w:t>
      </w:r>
      <w:r>
        <w:rPr>
          <w:rFonts w:hint="eastAsia" w:ascii="宋体" w:hAnsi="宋体" w:cs="宋体"/>
          <w:color w:val="auto"/>
          <w:szCs w:val="21"/>
          <w:highlight w:val="none"/>
          <w:lang w:eastAsia="zh-CN"/>
        </w:rPr>
        <w:t>响应</w:t>
      </w:r>
      <w:r>
        <w:rPr>
          <w:rFonts w:hint="eastAsia" w:ascii="宋体" w:hAnsi="宋体" w:cs="宋体"/>
          <w:color w:val="auto"/>
          <w:szCs w:val="21"/>
          <w:highlight w:val="none"/>
        </w:rPr>
        <w:t>文件递交截止时间后上传的</w:t>
      </w:r>
      <w:r>
        <w:rPr>
          <w:rFonts w:hint="eastAsia" w:ascii="宋体" w:hAnsi="宋体" w:cs="宋体"/>
          <w:color w:val="auto"/>
          <w:szCs w:val="21"/>
          <w:highlight w:val="none"/>
          <w:lang w:eastAsia="zh-CN"/>
        </w:rPr>
        <w:t>响应</w:t>
      </w:r>
      <w:r>
        <w:rPr>
          <w:rFonts w:hint="eastAsia" w:ascii="宋体" w:hAnsi="宋体" w:cs="宋体"/>
          <w:color w:val="auto"/>
          <w:szCs w:val="21"/>
          <w:highlight w:val="none"/>
        </w:rPr>
        <w:t>文件。</w:t>
      </w:r>
    </w:p>
    <w:p>
      <w:pPr>
        <w:autoSpaceDE w:val="0"/>
        <w:autoSpaceDN w:val="0"/>
        <w:adjustRightInd w:val="0"/>
        <w:spacing w:line="440" w:lineRule="exact"/>
        <w:jc w:val="left"/>
        <w:rPr>
          <w:rFonts w:ascii="宋体" w:cs="宋体"/>
          <w:b/>
          <w:color w:val="auto"/>
          <w:kern w:val="0"/>
          <w:sz w:val="24"/>
          <w:highlight w:val="none"/>
        </w:rPr>
      </w:pPr>
      <w:r>
        <w:rPr>
          <w:rFonts w:ascii="宋体" w:hAnsi="宋体" w:cs="宋体"/>
          <w:b/>
          <w:color w:val="auto"/>
          <w:kern w:val="0"/>
          <w:sz w:val="24"/>
          <w:highlight w:val="none"/>
        </w:rPr>
        <w:t xml:space="preserve">    4.3 </w:t>
      </w:r>
      <w:r>
        <w:rPr>
          <w:rFonts w:hint="eastAsia" w:ascii="宋体" w:hAnsi="宋体" w:cs="宋体"/>
          <w:b/>
          <w:color w:val="auto"/>
          <w:kern w:val="0"/>
          <w:sz w:val="24"/>
          <w:highlight w:val="none"/>
        </w:rPr>
        <w:t>响应文件的修改与撤回</w:t>
      </w:r>
    </w:p>
    <w:p>
      <w:pPr>
        <w:keepNext w:val="0"/>
        <w:keepLines w:val="0"/>
        <w:pageBreakBefore w:val="0"/>
        <w:widowControl w:val="0"/>
        <w:kinsoku/>
        <w:wordWrap/>
        <w:overflowPunct/>
        <w:topLinePunct w:val="0"/>
        <w:bidi w:val="0"/>
        <w:snapToGrid/>
        <w:spacing w:line="392"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rPr>
        <w:t xml:space="preserve">4.3.1 </w:t>
      </w:r>
      <w:r>
        <w:rPr>
          <w:rFonts w:hint="eastAsia" w:ascii="宋体" w:hAnsi="宋体" w:eastAsia="宋体" w:cs="宋体"/>
          <w:color w:val="auto"/>
          <w:szCs w:val="21"/>
          <w:highlight w:val="none"/>
          <w:lang w:val="en-US" w:eastAsia="zh-CN"/>
        </w:rPr>
        <w:t>供应商在提交响应性文件后可对其响应性文件进行修改、撤回，但需要在响应性文件接收截止时间前重新上传响应性文件。</w:t>
      </w:r>
    </w:p>
    <w:p>
      <w:pPr>
        <w:keepNext w:val="0"/>
        <w:keepLines w:val="0"/>
        <w:pageBreakBefore w:val="0"/>
        <w:widowControl w:val="0"/>
        <w:kinsoku/>
        <w:wordWrap/>
        <w:overflowPunct/>
        <w:topLinePunct w:val="0"/>
        <w:bidi w:val="0"/>
        <w:snapToGrid/>
        <w:spacing w:line="392"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4.3.2  供应商在响应性文件接收截止时间后不得修改、撤回响应性文件。供应商在响应性文件接收截止时间后修改响应性文件的，将被拒绝接受。</w:t>
      </w:r>
    </w:p>
    <w:p>
      <w:pPr>
        <w:pStyle w:val="4"/>
        <w:numPr>
          <w:ilvl w:val="0"/>
          <w:numId w:val="4"/>
        </w:numPr>
        <w:spacing w:before="0" w:after="0" w:line="440" w:lineRule="exact"/>
        <w:ind w:left="180"/>
        <w:jc w:val="left"/>
        <w:rPr>
          <w:rStyle w:val="36"/>
          <w:rFonts w:ascii="宋体" w:hAnsi="宋体" w:eastAsia="宋体" w:cs="宋体"/>
          <w:b/>
          <w:bCs/>
          <w:color w:val="auto"/>
          <w:highlight w:val="none"/>
        </w:rPr>
      </w:pPr>
      <w:bookmarkStart w:id="23" w:name="_Toc6627"/>
      <w:r>
        <w:rPr>
          <w:rStyle w:val="36"/>
          <w:rFonts w:hint="eastAsia" w:ascii="宋体" w:hAnsi="宋体" w:eastAsia="宋体" w:cs="宋体"/>
          <w:b/>
          <w:bCs/>
          <w:color w:val="auto"/>
          <w:highlight w:val="none"/>
        </w:rPr>
        <w:t>磋商开始</w:t>
      </w:r>
      <w:bookmarkEnd w:id="23"/>
    </w:p>
    <w:p>
      <w:pPr>
        <w:autoSpaceDE w:val="0"/>
        <w:autoSpaceDN w:val="0"/>
        <w:adjustRightInd w:val="0"/>
        <w:spacing w:line="440" w:lineRule="exact"/>
        <w:ind w:firstLine="482" w:firstLineChars="200"/>
        <w:jc w:val="left"/>
        <w:rPr>
          <w:rFonts w:ascii="宋体" w:cs="宋体"/>
          <w:b/>
          <w:color w:val="auto"/>
          <w:kern w:val="0"/>
          <w:sz w:val="24"/>
          <w:highlight w:val="none"/>
        </w:rPr>
      </w:pPr>
      <w:r>
        <w:rPr>
          <w:rFonts w:ascii="宋体" w:hAnsi="宋体" w:cs="宋体"/>
          <w:b/>
          <w:color w:val="auto"/>
          <w:kern w:val="0"/>
          <w:sz w:val="24"/>
          <w:highlight w:val="none"/>
        </w:rPr>
        <w:t xml:space="preserve">5.1 </w:t>
      </w:r>
      <w:r>
        <w:rPr>
          <w:rFonts w:hint="eastAsia" w:ascii="宋体" w:hAnsi="宋体" w:cs="宋体"/>
          <w:b/>
          <w:color w:val="auto"/>
          <w:kern w:val="0"/>
          <w:sz w:val="24"/>
          <w:highlight w:val="none"/>
        </w:rPr>
        <w:t>磋商时间、地点和方式</w:t>
      </w:r>
    </w:p>
    <w:p>
      <w:pPr>
        <w:keepNext w:val="0"/>
        <w:keepLines w:val="0"/>
        <w:pageBreakBefore w:val="0"/>
        <w:widowControl w:val="0"/>
        <w:kinsoku/>
        <w:wordWrap/>
        <w:overflowPunct/>
        <w:topLinePunct w:val="0"/>
        <w:bidi w:val="0"/>
        <w:snapToGrid/>
        <w:spacing w:line="392"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本项目采用远程不见面交易的模式。</w:t>
      </w:r>
    </w:p>
    <w:p>
      <w:pPr>
        <w:keepNext w:val="0"/>
        <w:keepLines w:val="0"/>
        <w:pageBreakBefore w:val="0"/>
        <w:widowControl w:val="0"/>
        <w:kinsoku/>
        <w:wordWrap/>
        <w:overflowPunct/>
        <w:topLinePunct w:val="0"/>
        <w:bidi w:val="0"/>
        <w:snapToGrid/>
        <w:spacing w:line="392" w:lineRule="exact"/>
        <w:ind w:firstLine="420" w:firstLineChars="200"/>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lang w:val="en-US" w:eastAsia="zh-CN"/>
        </w:rPr>
        <w:t>采购人</w:t>
      </w:r>
      <w:r>
        <w:rPr>
          <w:rFonts w:hint="eastAsia" w:ascii="宋体" w:hAnsi="宋体" w:eastAsia="宋体" w:cs="宋体"/>
          <w:color w:val="auto"/>
          <w:szCs w:val="21"/>
          <w:highlight w:val="none"/>
        </w:rPr>
        <w:t>在</w:t>
      </w:r>
      <w:r>
        <w:rPr>
          <w:rFonts w:hint="eastAsia" w:ascii="宋体" w:hAnsi="宋体" w:eastAsia="宋体" w:cs="宋体"/>
          <w:color w:val="auto"/>
          <w:szCs w:val="21"/>
          <w:highlight w:val="none"/>
          <w:lang w:val="en-US" w:eastAsia="zh-CN"/>
        </w:rPr>
        <w:t>竞争性磋商</w:t>
      </w:r>
      <w:r>
        <w:rPr>
          <w:rFonts w:hint="eastAsia" w:ascii="宋体" w:hAnsi="宋体" w:eastAsia="宋体" w:cs="宋体"/>
          <w:color w:val="auto"/>
          <w:szCs w:val="21"/>
          <w:highlight w:val="none"/>
        </w:rPr>
        <w:t>文件中规定的时间和地点开标。</w:t>
      </w:r>
      <w:r>
        <w:rPr>
          <w:rFonts w:hint="eastAsia" w:ascii="宋体" w:hAnsi="宋体" w:eastAsia="宋体" w:cs="宋体"/>
          <w:color w:val="auto"/>
          <w:szCs w:val="21"/>
          <w:highlight w:val="none"/>
          <w:lang w:val="en-US" w:eastAsia="zh-CN"/>
        </w:rPr>
        <w:t>不见面开标大厅网址 （http://www.jzggzy.cn/BidOpeningHall/bidhall/default/login）供应商无需到焦作市公共资源交易中心现场参加磋商会，无需到达现场提交原件资料。供应商应在响应性文件接收截止时间前，登录不见面开标大厅系统，在线准时参加磋商活动并进行文件解密，开标结束后，在焦作市公共资源交易平台进行交易主体登录，在线参加答疑澄清、二轮报价或最后报价等。在规定时间内响应性文件未解密的供应商，视为放弃投标。</w:t>
      </w:r>
    </w:p>
    <w:p>
      <w:pPr>
        <w:autoSpaceDE w:val="0"/>
        <w:autoSpaceDN w:val="0"/>
        <w:adjustRightInd w:val="0"/>
        <w:spacing w:line="440" w:lineRule="exact"/>
        <w:ind w:firstLine="482" w:firstLineChars="200"/>
        <w:rPr>
          <w:rFonts w:hint="eastAsia" w:ascii="宋体" w:hAnsi="宋体" w:cs="宋体"/>
          <w:b/>
          <w:color w:val="auto"/>
          <w:kern w:val="0"/>
          <w:sz w:val="24"/>
          <w:highlight w:val="none"/>
        </w:rPr>
      </w:pPr>
      <w:r>
        <w:rPr>
          <w:rFonts w:ascii="宋体" w:hAnsi="宋体" w:cs="宋体"/>
          <w:b/>
          <w:color w:val="auto"/>
          <w:kern w:val="0"/>
          <w:sz w:val="24"/>
          <w:highlight w:val="none"/>
        </w:rPr>
        <w:t>5.</w:t>
      </w:r>
      <w:r>
        <w:rPr>
          <w:rFonts w:hint="eastAsia" w:ascii="宋体" w:hAnsi="宋体" w:cs="宋体"/>
          <w:b/>
          <w:color w:val="auto"/>
          <w:kern w:val="0"/>
          <w:sz w:val="24"/>
          <w:highlight w:val="none"/>
          <w:lang w:val="en-US" w:eastAsia="zh-CN"/>
        </w:rPr>
        <w:t>2</w:t>
      </w:r>
      <w:r>
        <w:rPr>
          <w:rFonts w:hint="eastAsia" w:ascii="宋体" w:hAnsi="宋体" w:cs="宋体"/>
          <w:b/>
          <w:color w:val="auto"/>
          <w:kern w:val="0"/>
          <w:sz w:val="24"/>
          <w:highlight w:val="none"/>
        </w:rPr>
        <w:t>磋商会议程序</w:t>
      </w:r>
    </w:p>
    <w:p>
      <w:pPr>
        <w:keepNext w:val="0"/>
        <w:keepLines w:val="0"/>
        <w:pageBreakBefore w:val="0"/>
        <w:widowControl w:val="0"/>
        <w:kinsoku/>
        <w:wordWrap/>
        <w:overflowPunct/>
        <w:topLinePunct w:val="0"/>
        <w:bidi w:val="0"/>
        <w:snapToGrid/>
        <w:spacing w:line="392"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（1）公布在递交响应性文件截止时间前递交响应性文件的供应商名称；</w:t>
      </w:r>
    </w:p>
    <w:p>
      <w:pPr>
        <w:keepNext w:val="0"/>
        <w:keepLines w:val="0"/>
        <w:pageBreakBefore w:val="0"/>
        <w:widowControl w:val="0"/>
        <w:kinsoku/>
        <w:wordWrap/>
        <w:overflowPunct/>
        <w:topLinePunct w:val="0"/>
        <w:bidi w:val="0"/>
        <w:snapToGrid/>
        <w:spacing w:line="392"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（2）供应商在不见面开标大厅对已递交的电子响应性文件在规定时间内进行解密；</w:t>
      </w:r>
    </w:p>
    <w:p>
      <w:pPr>
        <w:keepNext w:val="0"/>
        <w:keepLines w:val="0"/>
        <w:pageBreakBefore w:val="0"/>
        <w:widowControl w:val="0"/>
        <w:kinsoku/>
        <w:wordWrap/>
        <w:overflowPunct/>
        <w:topLinePunct w:val="0"/>
        <w:bidi w:val="0"/>
        <w:snapToGrid/>
        <w:spacing w:line="392"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（3）批量导入文件；</w:t>
      </w:r>
    </w:p>
    <w:p>
      <w:pPr>
        <w:keepNext w:val="0"/>
        <w:keepLines w:val="0"/>
        <w:pageBreakBefore w:val="0"/>
        <w:widowControl w:val="0"/>
        <w:kinsoku/>
        <w:wordWrap/>
        <w:overflowPunct/>
        <w:topLinePunct w:val="0"/>
        <w:bidi w:val="0"/>
        <w:snapToGrid/>
        <w:spacing w:line="392"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（4）代理机构将通过不见面开标大厅公布磋商项目名称、供应商名称及其他内容，并记录在案；</w:t>
      </w:r>
    </w:p>
    <w:p>
      <w:pPr>
        <w:keepNext w:val="0"/>
        <w:keepLines w:val="0"/>
        <w:pageBreakBefore w:val="0"/>
        <w:widowControl w:val="0"/>
        <w:kinsoku/>
        <w:wordWrap/>
        <w:overflowPunct/>
        <w:topLinePunct w:val="0"/>
        <w:bidi w:val="0"/>
        <w:snapToGrid/>
        <w:spacing w:line="392"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（5）供应商对开标过程进行无异议确认；</w:t>
      </w:r>
    </w:p>
    <w:p>
      <w:pPr>
        <w:keepNext w:val="0"/>
        <w:keepLines w:val="0"/>
        <w:pageBreakBefore w:val="0"/>
        <w:widowControl w:val="0"/>
        <w:kinsoku/>
        <w:wordWrap/>
        <w:overflowPunct/>
        <w:topLinePunct w:val="0"/>
        <w:bidi w:val="0"/>
        <w:snapToGrid/>
        <w:spacing w:line="392"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（6）采购人代表、监督人等有关人员按具体现场系统情况在开标记录上签字确认；</w:t>
      </w:r>
    </w:p>
    <w:p>
      <w:pPr>
        <w:keepNext w:val="0"/>
        <w:keepLines w:val="0"/>
        <w:pageBreakBefore w:val="0"/>
        <w:widowControl w:val="0"/>
        <w:kinsoku/>
        <w:wordWrap/>
        <w:overflowPunct/>
        <w:topLinePunct w:val="0"/>
        <w:bidi w:val="0"/>
        <w:snapToGrid/>
        <w:spacing w:line="392"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（7）开标结束；</w:t>
      </w:r>
    </w:p>
    <w:p>
      <w:pPr>
        <w:keepNext w:val="0"/>
        <w:keepLines w:val="0"/>
        <w:pageBreakBefore w:val="0"/>
        <w:widowControl w:val="0"/>
        <w:kinsoku/>
        <w:wordWrap/>
        <w:overflowPunct/>
        <w:topLinePunct w:val="0"/>
        <w:bidi w:val="0"/>
        <w:snapToGrid/>
        <w:spacing w:line="392"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（8）磋商小组对已通过资格性、符合性审查的供应商发起二轮或最后报价邀请；</w:t>
      </w:r>
    </w:p>
    <w:p>
      <w:pPr>
        <w:keepNext w:val="0"/>
        <w:keepLines w:val="0"/>
        <w:pageBreakBefore w:val="0"/>
        <w:widowControl w:val="0"/>
        <w:kinsoku/>
        <w:wordWrap/>
        <w:overflowPunct/>
        <w:topLinePunct w:val="0"/>
        <w:bidi w:val="0"/>
        <w:snapToGrid/>
        <w:spacing w:line="392"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（9）供应商在规定时间内通过焦作市公共资源交易平台进行二轮或最后报价。</w:t>
      </w:r>
    </w:p>
    <w:p>
      <w:pPr>
        <w:keepNext w:val="0"/>
        <w:keepLines w:val="0"/>
        <w:pageBreakBefore w:val="0"/>
        <w:widowControl w:val="0"/>
        <w:kinsoku/>
        <w:wordWrap/>
        <w:overflowPunct/>
        <w:topLinePunct w:val="0"/>
        <w:bidi w:val="0"/>
        <w:snapToGrid/>
        <w:spacing w:line="392" w:lineRule="exact"/>
        <w:ind w:firstLine="482"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b/>
          <w:color w:val="auto"/>
          <w:kern w:val="0"/>
          <w:sz w:val="24"/>
          <w:highlight w:val="none"/>
          <w:lang w:val="en-US" w:eastAsia="zh-CN"/>
        </w:rPr>
        <w:t>5.3</w:t>
      </w:r>
      <w:r>
        <w:rPr>
          <w:rFonts w:hint="eastAsia" w:ascii="宋体" w:hAnsi="宋体" w:eastAsia="宋体" w:cs="宋体"/>
          <w:color w:val="auto"/>
          <w:szCs w:val="21"/>
          <w:highlight w:val="none"/>
          <w:lang w:val="en-US" w:eastAsia="zh-CN"/>
        </w:rPr>
        <w:t xml:space="preserve">供应商应认真学习《投标单位操作手册》，根据手册要求做好不见面磋商的准备工作，否则由此引起的未能解密、解密失败或解密超时的将被拒绝。 </w:t>
      </w:r>
    </w:p>
    <w:p>
      <w:pPr>
        <w:keepNext w:val="0"/>
        <w:keepLines w:val="0"/>
        <w:pageBreakBefore w:val="0"/>
        <w:widowControl w:val="0"/>
        <w:kinsoku/>
        <w:wordWrap/>
        <w:overflowPunct/>
        <w:topLinePunct w:val="0"/>
        <w:bidi w:val="0"/>
        <w:snapToGrid/>
        <w:spacing w:line="392" w:lineRule="exact"/>
        <w:ind w:firstLine="482"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b/>
          <w:color w:val="auto"/>
          <w:kern w:val="0"/>
          <w:sz w:val="24"/>
          <w:highlight w:val="none"/>
          <w:lang w:val="en-US" w:eastAsia="zh-CN"/>
        </w:rPr>
        <w:t>5.4</w:t>
      </w:r>
      <w:r>
        <w:rPr>
          <w:rFonts w:hint="eastAsia" w:ascii="宋体" w:hAnsi="宋体" w:eastAsia="宋体" w:cs="宋体"/>
          <w:color w:val="auto"/>
          <w:szCs w:val="21"/>
          <w:highlight w:val="none"/>
          <w:lang w:val="en-US" w:eastAsia="zh-CN"/>
        </w:rPr>
        <w:t xml:space="preserve">供应商应在解密时间内插入单位CA锁，输入密码，进行解密。 </w:t>
      </w:r>
    </w:p>
    <w:p>
      <w:pPr>
        <w:keepNext w:val="0"/>
        <w:keepLines w:val="0"/>
        <w:pageBreakBefore w:val="0"/>
        <w:widowControl w:val="0"/>
        <w:kinsoku/>
        <w:wordWrap/>
        <w:overflowPunct/>
        <w:topLinePunct w:val="0"/>
        <w:bidi w:val="0"/>
        <w:snapToGrid/>
        <w:spacing w:line="392" w:lineRule="exact"/>
        <w:ind w:firstLine="482"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b/>
          <w:color w:val="auto"/>
          <w:kern w:val="0"/>
          <w:sz w:val="24"/>
          <w:highlight w:val="none"/>
          <w:lang w:val="en-US" w:eastAsia="zh-CN"/>
        </w:rPr>
        <w:t>5.5</w:t>
      </w:r>
      <w:r>
        <w:rPr>
          <w:rFonts w:hint="eastAsia" w:ascii="宋体" w:hAnsi="宋体" w:eastAsia="宋体" w:cs="宋体"/>
          <w:color w:val="auto"/>
          <w:szCs w:val="21"/>
          <w:highlight w:val="none"/>
          <w:lang w:val="en-US" w:eastAsia="zh-CN"/>
        </w:rPr>
        <w:t>采购人及采购代理机构在磋商文件规定的时间及地点开标。供应商无需到达磋商会现场，但在开评标期间，供应商的法定代表人或其授权委托人应参与远程交互，中途不得更换，在解密文件、澄清、答疑、传送文件、最后报价等特殊情况下需要交互时，供应商一端参与交互的人员将均被视为是供应商的法定代表人或其授权委托人，供应商自行承担随意更换人员或未按要求参与交互所导致的一切后果。供应商超时交互，由此产生的不利于供应商的评审风险由供应商自行承担。</w:t>
      </w:r>
    </w:p>
    <w:p>
      <w:pPr>
        <w:keepNext w:val="0"/>
        <w:keepLines w:val="0"/>
        <w:pageBreakBefore w:val="0"/>
        <w:widowControl w:val="0"/>
        <w:kinsoku/>
        <w:wordWrap/>
        <w:overflowPunct/>
        <w:topLinePunct w:val="0"/>
        <w:bidi w:val="0"/>
        <w:snapToGrid/>
        <w:spacing w:line="392" w:lineRule="exact"/>
        <w:ind w:firstLine="482"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b/>
          <w:color w:val="auto"/>
          <w:kern w:val="0"/>
          <w:sz w:val="24"/>
          <w:highlight w:val="none"/>
          <w:lang w:val="en-US" w:eastAsia="zh-CN"/>
        </w:rPr>
        <w:t>5.6</w:t>
      </w:r>
      <w:r>
        <w:rPr>
          <w:rFonts w:hint="eastAsia" w:ascii="宋体" w:hAnsi="宋体" w:eastAsia="宋体" w:cs="宋体"/>
          <w:color w:val="auto"/>
          <w:szCs w:val="21"/>
          <w:highlight w:val="none"/>
          <w:lang w:val="en-US" w:eastAsia="zh-CN"/>
        </w:rPr>
        <w:t>供应商出现下列情况之一者为废标，取消参加磋商资格：</w:t>
      </w:r>
    </w:p>
    <w:p>
      <w:pPr>
        <w:keepNext w:val="0"/>
        <w:keepLines w:val="0"/>
        <w:pageBreakBefore w:val="0"/>
        <w:widowControl w:val="0"/>
        <w:kinsoku/>
        <w:wordWrap/>
        <w:overflowPunct/>
        <w:topLinePunct w:val="0"/>
        <w:bidi w:val="0"/>
        <w:snapToGrid/>
        <w:spacing w:line="392"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（1）未按规定在响应性文件接收截止时间前递交电子响应性文件（加密版）的；</w:t>
      </w:r>
    </w:p>
    <w:p>
      <w:pPr>
        <w:keepNext w:val="0"/>
        <w:keepLines w:val="0"/>
        <w:pageBreakBefore w:val="0"/>
        <w:widowControl w:val="0"/>
        <w:kinsoku/>
        <w:wordWrap/>
        <w:overflowPunct/>
        <w:topLinePunct w:val="0"/>
        <w:bidi w:val="0"/>
        <w:snapToGrid/>
        <w:spacing w:line="392"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（2）磋商会时，因供应商自身原因而导致电子响应性文件无法导入“全国公共资源交易平台 （河南省·焦作市）”（http://www.jzggzy.cn/）-“焦作市电子招投标交易平台”电子开标、评标系统的。</w:t>
      </w:r>
    </w:p>
    <w:p>
      <w:pPr>
        <w:keepNext w:val="0"/>
        <w:keepLines w:val="0"/>
        <w:pageBreakBefore w:val="0"/>
        <w:widowControl w:val="0"/>
        <w:kinsoku/>
        <w:wordWrap/>
        <w:overflowPunct/>
        <w:topLinePunct w:val="0"/>
        <w:bidi w:val="0"/>
        <w:snapToGrid/>
        <w:spacing w:line="392" w:lineRule="exact"/>
        <w:ind w:firstLine="482"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b/>
          <w:color w:val="auto"/>
          <w:kern w:val="0"/>
          <w:sz w:val="24"/>
          <w:highlight w:val="none"/>
          <w:lang w:val="en-US" w:eastAsia="zh-CN"/>
        </w:rPr>
        <w:t>5.7</w:t>
      </w:r>
      <w:r>
        <w:rPr>
          <w:rFonts w:hint="eastAsia" w:ascii="宋体" w:hAnsi="宋体" w:eastAsia="宋体" w:cs="宋体"/>
          <w:color w:val="auto"/>
          <w:szCs w:val="21"/>
          <w:highlight w:val="none"/>
          <w:lang w:val="en-US" w:eastAsia="zh-CN"/>
        </w:rPr>
        <w:t>开标异议</w:t>
      </w:r>
    </w:p>
    <w:p>
      <w:pPr>
        <w:keepNext w:val="0"/>
        <w:keepLines w:val="0"/>
        <w:pageBreakBefore w:val="0"/>
        <w:widowControl w:val="0"/>
        <w:kinsoku/>
        <w:wordWrap/>
        <w:overflowPunct/>
        <w:topLinePunct w:val="0"/>
        <w:bidi w:val="0"/>
        <w:snapToGrid/>
        <w:spacing w:line="392" w:lineRule="exact"/>
        <w:ind w:firstLine="420" w:firstLineChars="200"/>
        <w:textAlignment w:val="auto"/>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供应商对磋商会有异议的，应当在磋商会现场提出，采购人当场作出答复，并制作记录。</w:t>
      </w:r>
    </w:p>
    <w:p>
      <w:pPr>
        <w:keepNext w:val="0"/>
        <w:keepLines w:val="0"/>
        <w:pageBreakBefore w:val="0"/>
        <w:widowControl w:val="0"/>
        <w:kinsoku/>
        <w:wordWrap/>
        <w:overflowPunct/>
        <w:topLinePunct w:val="0"/>
        <w:bidi w:val="0"/>
        <w:snapToGrid/>
        <w:spacing w:line="392" w:lineRule="exact"/>
        <w:ind w:firstLine="482" w:firstLineChars="200"/>
        <w:textAlignment w:val="auto"/>
        <w:rPr>
          <w:rFonts w:hint="default" w:ascii="宋体" w:hAnsi="宋体" w:eastAsia="宋体" w:cs="宋体"/>
          <w:color w:val="auto"/>
          <w:szCs w:val="21"/>
          <w:highlight w:val="none"/>
          <w:lang w:val="en-US" w:eastAsia="zh-CN"/>
        </w:rPr>
      </w:pPr>
      <w:r>
        <w:rPr>
          <w:rFonts w:hint="eastAsia" w:ascii="宋体" w:hAnsi="宋体" w:eastAsia="宋体" w:cs="宋体"/>
          <w:b/>
          <w:color w:val="auto"/>
          <w:kern w:val="0"/>
          <w:sz w:val="24"/>
          <w:highlight w:val="none"/>
          <w:lang w:val="en-US" w:eastAsia="zh-CN"/>
        </w:rPr>
        <w:t>5.8</w:t>
      </w:r>
      <w:r>
        <w:rPr>
          <w:rFonts w:hint="eastAsia" w:ascii="宋体" w:hAnsi="宋体" w:eastAsia="宋体" w:cs="宋体"/>
          <w:color w:val="auto"/>
          <w:szCs w:val="21"/>
          <w:highlight w:val="none"/>
          <w:lang w:val="en-US" w:eastAsia="zh-CN"/>
        </w:rPr>
        <w:t>本项目第二次报价即为最终磋商报价。</w:t>
      </w:r>
    </w:p>
    <w:p>
      <w:pPr>
        <w:pStyle w:val="4"/>
        <w:numPr>
          <w:ilvl w:val="0"/>
          <w:numId w:val="4"/>
        </w:numPr>
        <w:spacing w:before="0" w:after="0" w:line="420" w:lineRule="exact"/>
        <w:ind w:left="180"/>
        <w:jc w:val="left"/>
        <w:rPr>
          <w:rStyle w:val="36"/>
          <w:rFonts w:ascii="宋体" w:hAnsi="宋体" w:eastAsia="宋体" w:cs="宋体"/>
          <w:b/>
          <w:bCs/>
          <w:color w:val="auto"/>
          <w:highlight w:val="none"/>
        </w:rPr>
      </w:pPr>
      <w:bookmarkStart w:id="24" w:name="_Toc4193"/>
      <w:r>
        <w:rPr>
          <w:rStyle w:val="36"/>
          <w:rFonts w:hint="eastAsia" w:ascii="宋体" w:hAnsi="宋体" w:eastAsia="宋体" w:cs="宋体"/>
          <w:b/>
          <w:bCs/>
          <w:color w:val="auto"/>
          <w:highlight w:val="none"/>
        </w:rPr>
        <w:t>磋商</w:t>
      </w:r>
      <w:bookmarkEnd w:id="24"/>
    </w:p>
    <w:p>
      <w:pPr>
        <w:autoSpaceDE w:val="0"/>
        <w:autoSpaceDN w:val="0"/>
        <w:adjustRightInd w:val="0"/>
        <w:spacing w:line="440" w:lineRule="exact"/>
        <w:ind w:firstLine="420"/>
        <w:jc w:val="left"/>
        <w:rPr>
          <w:rFonts w:ascii="宋体" w:cs="宋体"/>
          <w:color w:val="auto"/>
          <w:kern w:val="0"/>
          <w:szCs w:val="21"/>
          <w:highlight w:val="none"/>
        </w:rPr>
      </w:pPr>
      <w:r>
        <w:rPr>
          <w:rFonts w:ascii="宋体" w:hAnsi="宋体" w:cs="宋体"/>
          <w:color w:val="auto"/>
          <w:kern w:val="0"/>
          <w:szCs w:val="21"/>
          <w:highlight w:val="none"/>
        </w:rPr>
        <w:t xml:space="preserve">6.1 </w:t>
      </w:r>
      <w:r>
        <w:rPr>
          <w:rFonts w:hint="eastAsia" w:ascii="宋体" w:hAnsi="宋体" w:cs="宋体"/>
          <w:color w:val="auto"/>
          <w:kern w:val="0"/>
          <w:szCs w:val="21"/>
          <w:highlight w:val="none"/>
        </w:rPr>
        <w:t>磋商小组</w:t>
      </w:r>
    </w:p>
    <w:p>
      <w:pPr>
        <w:autoSpaceDE w:val="0"/>
        <w:autoSpaceDN w:val="0"/>
        <w:adjustRightInd w:val="0"/>
        <w:spacing w:line="440" w:lineRule="exact"/>
        <w:ind w:firstLine="420"/>
        <w:jc w:val="left"/>
        <w:rPr>
          <w:rFonts w:ascii="宋体" w:cs="宋体"/>
          <w:color w:val="auto"/>
          <w:kern w:val="0"/>
          <w:szCs w:val="21"/>
          <w:highlight w:val="none"/>
        </w:rPr>
      </w:pPr>
      <w:r>
        <w:rPr>
          <w:rFonts w:hint="eastAsia" w:ascii="宋体" w:hAnsi="宋体" w:cs="宋体"/>
          <w:color w:val="auto"/>
          <w:kern w:val="0"/>
          <w:szCs w:val="21"/>
          <w:highlight w:val="none"/>
        </w:rPr>
        <w:t>磋商由采购人依法组建的磋商小组负责。磋商小组由采购人代表以及有关技术、经济等方面的专家组成。磋商小组成员人数以及技术、经济等方面专家的确定方式见供应商须知前附表。</w:t>
      </w:r>
    </w:p>
    <w:p>
      <w:pPr>
        <w:autoSpaceDE w:val="0"/>
        <w:autoSpaceDN w:val="0"/>
        <w:adjustRightInd w:val="0"/>
        <w:spacing w:line="440" w:lineRule="exact"/>
        <w:ind w:firstLine="420"/>
        <w:jc w:val="left"/>
        <w:rPr>
          <w:rFonts w:ascii="宋体" w:cs="宋体"/>
          <w:color w:val="auto"/>
          <w:kern w:val="0"/>
          <w:szCs w:val="21"/>
          <w:highlight w:val="none"/>
        </w:rPr>
      </w:pPr>
      <w:r>
        <w:rPr>
          <w:rFonts w:ascii="宋体" w:hAnsi="宋体" w:cs="宋体"/>
          <w:color w:val="auto"/>
          <w:kern w:val="0"/>
          <w:szCs w:val="21"/>
          <w:highlight w:val="none"/>
        </w:rPr>
        <w:t xml:space="preserve">6.2 </w:t>
      </w:r>
      <w:r>
        <w:rPr>
          <w:rFonts w:hint="eastAsia" w:ascii="宋体" w:hAnsi="宋体" w:cs="宋体"/>
          <w:color w:val="auto"/>
          <w:kern w:val="0"/>
          <w:szCs w:val="21"/>
          <w:highlight w:val="none"/>
        </w:rPr>
        <w:t>磋商原则</w:t>
      </w:r>
    </w:p>
    <w:p>
      <w:pPr>
        <w:autoSpaceDE w:val="0"/>
        <w:autoSpaceDN w:val="0"/>
        <w:adjustRightInd w:val="0"/>
        <w:spacing w:line="440" w:lineRule="exact"/>
        <w:ind w:firstLine="420"/>
        <w:jc w:val="left"/>
        <w:rPr>
          <w:rFonts w:ascii="宋体" w:cs="宋体"/>
          <w:color w:val="auto"/>
          <w:kern w:val="0"/>
          <w:szCs w:val="21"/>
          <w:highlight w:val="none"/>
        </w:rPr>
      </w:pPr>
      <w:r>
        <w:rPr>
          <w:rFonts w:hint="eastAsia" w:ascii="宋体" w:hAnsi="宋体" w:cs="宋体"/>
          <w:color w:val="auto"/>
          <w:kern w:val="0"/>
          <w:szCs w:val="21"/>
          <w:highlight w:val="none"/>
        </w:rPr>
        <w:t>磋商活动遵循公平、公正、科学和择优的原则。</w:t>
      </w:r>
    </w:p>
    <w:p>
      <w:pPr>
        <w:autoSpaceDE w:val="0"/>
        <w:autoSpaceDN w:val="0"/>
        <w:adjustRightInd w:val="0"/>
        <w:spacing w:line="440" w:lineRule="exact"/>
        <w:ind w:firstLine="420"/>
        <w:jc w:val="left"/>
        <w:rPr>
          <w:rFonts w:ascii="宋体" w:cs="宋体"/>
          <w:color w:val="auto"/>
          <w:kern w:val="0"/>
          <w:szCs w:val="21"/>
          <w:highlight w:val="none"/>
        </w:rPr>
      </w:pPr>
      <w:r>
        <w:rPr>
          <w:rFonts w:ascii="宋体" w:hAnsi="宋体" w:cs="宋体"/>
          <w:color w:val="auto"/>
          <w:kern w:val="0"/>
          <w:szCs w:val="21"/>
          <w:highlight w:val="none"/>
        </w:rPr>
        <w:t xml:space="preserve">6.3 </w:t>
      </w:r>
      <w:r>
        <w:rPr>
          <w:rFonts w:hint="eastAsia" w:ascii="宋体" w:hAnsi="宋体" w:cs="宋体"/>
          <w:color w:val="auto"/>
          <w:kern w:val="0"/>
          <w:szCs w:val="21"/>
          <w:highlight w:val="none"/>
        </w:rPr>
        <w:t>磋商</w:t>
      </w:r>
    </w:p>
    <w:p>
      <w:pPr>
        <w:autoSpaceDE w:val="0"/>
        <w:autoSpaceDN w:val="0"/>
        <w:adjustRightInd w:val="0"/>
        <w:spacing w:line="440" w:lineRule="exact"/>
        <w:ind w:firstLine="420"/>
        <w:jc w:val="left"/>
        <w:rPr>
          <w:rFonts w:ascii="宋体" w:cs="宋体"/>
          <w:color w:val="auto"/>
          <w:kern w:val="0"/>
          <w:szCs w:val="21"/>
          <w:highlight w:val="none"/>
        </w:rPr>
      </w:pPr>
      <w:r>
        <w:rPr>
          <w:rFonts w:hint="eastAsia" w:ascii="宋体" w:hAnsi="宋体" w:cs="宋体"/>
          <w:color w:val="auto"/>
          <w:kern w:val="0"/>
          <w:szCs w:val="21"/>
          <w:highlight w:val="none"/>
        </w:rPr>
        <w:t>磋商小组按照第三章“评标办法”规定的方法、评审因素、标准和程序对响应文件进行评审。第三章“评标办法”没有规定的方法、评审因素和标准，不作为评标依据。</w:t>
      </w:r>
    </w:p>
    <w:p>
      <w:pPr>
        <w:pStyle w:val="4"/>
        <w:spacing w:before="0" w:after="0" w:line="380" w:lineRule="exact"/>
        <w:ind w:left="0" w:firstLine="0"/>
        <w:jc w:val="left"/>
        <w:outlineLvl w:val="1"/>
        <w:rPr>
          <w:rStyle w:val="36"/>
          <w:rFonts w:ascii="宋体" w:hAnsi="Calibri" w:eastAsia="宋体" w:cs="宋体"/>
          <w:b/>
          <w:bCs/>
          <w:color w:val="auto"/>
          <w:highlight w:val="none"/>
        </w:rPr>
      </w:pPr>
      <w:bookmarkStart w:id="25" w:name="_Toc23260"/>
      <w:bookmarkStart w:id="26" w:name="_Toc421284747"/>
      <w:bookmarkStart w:id="27" w:name="_Toc5803"/>
      <w:r>
        <w:rPr>
          <w:rStyle w:val="36"/>
          <w:rFonts w:ascii="宋体" w:hAnsi="宋体" w:eastAsia="宋体" w:cs="宋体"/>
          <w:b/>
          <w:bCs/>
          <w:color w:val="auto"/>
          <w:highlight w:val="none"/>
        </w:rPr>
        <w:t xml:space="preserve">   </w:t>
      </w:r>
      <w:bookmarkStart w:id="28" w:name="_Toc8195"/>
      <w:r>
        <w:rPr>
          <w:rStyle w:val="36"/>
          <w:rFonts w:ascii="宋体" w:hAnsi="宋体" w:eastAsia="宋体" w:cs="宋体"/>
          <w:b/>
          <w:bCs/>
          <w:color w:val="auto"/>
          <w:highlight w:val="none"/>
        </w:rPr>
        <w:t>7.</w:t>
      </w:r>
      <w:r>
        <w:rPr>
          <w:rStyle w:val="36"/>
          <w:rFonts w:hint="eastAsia" w:ascii="宋体" w:hAnsi="宋体" w:eastAsia="宋体" w:cs="宋体"/>
          <w:b/>
          <w:bCs/>
          <w:color w:val="auto"/>
          <w:highlight w:val="none"/>
        </w:rPr>
        <w:t>合同授予</w:t>
      </w:r>
      <w:bookmarkEnd w:id="25"/>
      <w:bookmarkEnd w:id="26"/>
      <w:bookmarkEnd w:id="27"/>
      <w:bookmarkEnd w:id="28"/>
    </w:p>
    <w:p>
      <w:pPr>
        <w:autoSpaceDE w:val="0"/>
        <w:autoSpaceDN w:val="0"/>
        <w:adjustRightInd w:val="0"/>
        <w:spacing w:line="400" w:lineRule="exact"/>
        <w:ind w:left="17" w:leftChars="8" w:firstLine="420" w:firstLineChars="200"/>
        <w:jc w:val="left"/>
        <w:rPr>
          <w:rFonts w:ascii="宋体" w:cs="宋体"/>
          <w:color w:val="auto"/>
          <w:szCs w:val="21"/>
          <w:highlight w:val="none"/>
        </w:rPr>
      </w:pPr>
      <w:r>
        <w:rPr>
          <w:rFonts w:ascii="宋体" w:hAnsi="宋体" w:cs="宋体"/>
          <w:color w:val="auto"/>
          <w:szCs w:val="21"/>
          <w:highlight w:val="none"/>
        </w:rPr>
        <w:t>7.1</w:t>
      </w:r>
      <w:r>
        <w:rPr>
          <w:rFonts w:hint="eastAsia" w:ascii="宋体" w:hAnsi="宋体" w:cs="宋体"/>
          <w:color w:val="auto"/>
          <w:szCs w:val="21"/>
          <w:highlight w:val="none"/>
        </w:rPr>
        <w:t>定标方式</w:t>
      </w:r>
    </w:p>
    <w:p>
      <w:pPr>
        <w:autoSpaceDE w:val="0"/>
        <w:autoSpaceDN w:val="0"/>
        <w:adjustRightInd w:val="0"/>
        <w:spacing w:line="400" w:lineRule="exact"/>
        <w:ind w:left="17" w:leftChars="8" w:firstLine="420" w:firstLineChars="200"/>
        <w:jc w:val="left"/>
        <w:rPr>
          <w:rFonts w:ascii="宋体" w:cs="宋体"/>
          <w:color w:val="auto"/>
          <w:szCs w:val="21"/>
          <w:highlight w:val="none"/>
        </w:rPr>
      </w:pPr>
      <w:r>
        <w:rPr>
          <w:rFonts w:hint="eastAsia" w:ascii="宋体" w:hAnsi="宋体" w:cs="宋体"/>
          <w:color w:val="auto"/>
          <w:szCs w:val="21"/>
          <w:highlight w:val="none"/>
        </w:rPr>
        <w:t>除供应商须知前附表规定磋商小组直接确定成交人外，采购人依据磋商小组推荐的成交候选人确定成交人，磋商小组推荐成交候选人的人数见供应商须知前附表。采购人将依序确定排名靠前的供应商为成交单位，若排名在前的成交候选人放弃中标、或因不可抗力不能履行合同、不按照磋商文件要求提交履约保证金，或者被查实存在影响成交结果的违法行为等情形，不符合成交条件的，采购人可以按照磋商小组提出的成交候选人名单排序依次确定其他成交候选人为成交人，也可以重新磋商。</w:t>
      </w:r>
    </w:p>
    <w:p>
      <w:pPr>
        <w:autoSpaceDE w:val="0"/>
        <w:autoSpaceDN w:val="0"/>
        <w:adjustRightInd w:val="0"/>
        <w:spacing w:line="400" w:lineRule="exact"/>
        <w:ind w:left="17" w:leftChars="8" w:firstLine="420" w:firstLineChars="200"/>
        <w:jc w:val="left"/>
        <w:rPr>
          <w:rFonts w:ascii="宋体" w:cs="宋体"/>
          <w:color w:val="auto"/>
          <w:szCs w:val="21"/>
          <w:highlight w:val="none"/>
        </w:rPr>
      </w:pPr>
      <w:r>
        <w:rPr>
          <w:rFonts w:ascii="宋体" w:hAnsi="宋体" w:cs="宋体"/>
          <w:color w:val="auto"/>
          <w:szCs w:val="21"/>
          <w:highlight w:val="none"/>
        </w:rPr>
        <w:t xml:space="preserve">7.2 </w:t>
      </w:r>
      <w:r>
        <w:rPr>
          <w:rFonts w:hint="eastAsia" w:ascii="宋体" w:hAnsi="宋体" w:cs="宋体"/>
          <w:color w:val="auto"/>
          <w:szCs w:val="21"/>
          <w:highlight w:val="none"/>
        </w:rPr>
        <w:t>成交通知</w:t>
      </w:r>
    </w:p>
    <w:p>
      <w:pPr>
        <w:autoSpaceDE w:val="0"/>
        <w:autoSpaceDN w:val="0"/>
        <w:adjustRightInd w:val="0"/>
        <w:spacing w:line="400" w:lineRule="exact"/>
        <w:ind w:left="17" w:leftChars="8" w:firstLine="420" w:firstLineChars="200"/>
        <w:jc w:val="left"/>
        <w:rPr>
          <w:rFonts w:ascii="宋体" w:cs="宋体"/>
          <w:color w:val="auto"/>
          <w:szCs w:val="21"/>
          <w:highlight w:val="none"/>
        </w:rPr>
      </w:pPr>
      <w:r>
        <w:rPr>
          <w:rFonts w:hint="eastAsia" w:ascii="宋体" w:hAnsi="宋体" w:cs="宋体"/>
          <w:color w:val="auto"/>
          <w:szCs w:val="21"/>
          <w:highlight w:val="none"/>
        </w:rPr>
        <w:t>在本章第规定的磋商有效期内，采购人以书面形式向成交人发出成交通知书，同时将成交结果通知未成交的供应商。</w:t>
      </w:r>
    </w:p>
    <w:p>
      <w:pPr>
        <w:autoSpaceDE w:val="0"/>
        <w:autoSpaceDN w:val="0"/>
        <w:adjustRightInd w:val="0"/>
        <w:spacing w:line="400" w:lineRule="exact"/>
        <w:ind w:left="17" w:leftChars="8" w:firstLine="420" w:firstLineChars="200"/>
        <w:jc w:val="left"/>
        <w:rPr>
          <w:rFonts w:ascii="宋体" w:cs="宋体"/>
          <w:color w:val="auto"/>
          <w:szCs w:val="21"/>
          <w:highlight w:val="none"/>
        </w:rPr>
      </w:pPr>
      <w:r>
        <w:rPr>
          <w:rFonts w:ascii="宋体" w:hAnsi="宋体" w:cs="宋体"/>
          <w:color w:val="auto"/>
          <w:szCs w:val="21"/>
          <w:highlight w:val="none"/>
        </w:rPr>
        <w:t xml:space="preserve">7.3 </w:t>
      </w:r>
      <w:r>
        <w:rPr>
          <w:rFonts w:hint="eastAsia" w:ascii="宋体" w:hAnsi="宋体" w:cs="宋体"/>
          <w:color w:val="auto"/>
          <w:szCs w:val="21"/>
          <w:highlight w:val="none"/>
        </w:rPr>
        <w:t>签订合同</w:t>
      </w:r>
    </w:p>
    <w:p>
      <w:pPr>
        <w:autoSpaceDE w:val="0"/>
        <w:autoSpaceDN w:val="0"/>
        <w:adjustRightInd w:val="0"/>
        <w:spacing w:line="400" w:lineRule="exact"/>
        <w:ind w:left="17" w:leftChars="8" w:firstLine="420" w:firstLineChars="200"/>
        <w:jc w:val="left"/>
        <w:rPr>
          <w:rFonts w:ascii="宋体" w:cs="宋体"/>
          <w:color w:val="auto"/>
          <w:szCs w:val="21"/>
          <w:highlight w:val="none"/>
        </w:rPr>
      </w:pPr>
      <w:r>
        <w:rPr>
          <w:rFonts w:ascii="宋体" w:hAnsi="宋体" w:cs="宋体"/>
          <w:color w:val="auto"/>
          <w:szCs w:val="21"/>
          <w:highlight w:val="none"/>
        </w:rPr>
        <w:t>7.3.1</w:t>
      </w:r>
      <w:r>
        <w:rPr>
          <w:rFonts w:hint="eastAsia" w:ascii="宋体" w:hAnsi="宋体" w:cs="宋体"/>
          <w:color w:val="auto"/>
          <w:szCs w:val="21"/>
          <w:highlight w:val="none"/>
        </w:rPr>
        <w:t>采购人和成交人应当自成交通知书发出之日起1</w:t>
      </w:r>
      <w:r>
        <w:rPr>
          <w:rFonts w:ascii="宋体" w:hAnsi="宋体" w:cs="宋体"/>
          <w:color w:val="auto"/>
          <w:szCs w:val="21"/>
          <w:highlight w:val="none"/>
        </w:rPr>
        <w:t>0</w:t>
      </w:r>
      <w:r>
        <w:rPr>
          <w:rFonts w:hint="eastAsia" w:ascii="宋体" w:hAnsi="宋体" w:cs="宋体"/>
          <w:color w:val="auto"/>
          <w:szCs w:val="21"/>
          <w:highlight w:val="none"/>
        </w:rPr>
        <w:t>天内，根据磋商文件和成交人的响应文件订立书面合同。成交人无正当理由拒签合同的，采购人取消其成交资格，其磋商保证金不予退还；给采购人造成的损失超过磋商保证金数额的，成交人还应当对超过部分予以赔偿。</w:t>
      </w:r>
      <w:r>
        <w:rPr>
          <w:rFonts w:ascii="宋体" w:hAnsi="宋体" w:cs="宋体"/>
          <w:color w:val="auto"/>
          <w:szCs w:val="21"/>
          <w:highlight w:val="none"/>
        </w:rPr>
        <w:t xml:space="preserve"> </w:t>
      </w:r>
    </w:p>
    <w:p>
      <w:pPr>
        <w:autoSpaceDE w:val="0"/>
        <w:autoSpaceDN w:val="0"/>
        <w:adjustRightInd w:val="0"/>
        <w:spacing w:line="380" w:lineRule="exact"/>
        <w:ind w:firstLine="420" w:firstLineChars="200"/>
        <w:jc w:val="left"/>
        <w:rPr>
          <w:rFonts w:ascii="宋体" w:cs="宋体"/>
          <w:color w:val="auto"/>
          <w:kern w:val="0"/>
          <w:szCs w:val="21"/>
          <w:highlight w:val="none"/>
        </w:rPr>
      </w:pPr>
      <w:r>
        <w:rPr>
          <w:rFonts w:ascii="宋体" w:hAnsi="宋体" w:cs="宋体"/>
          <w:color w:val="auto"/>
          <w:szCs w:val="21"/>
          <w:highlight w:val="none"/>
        </w:rPr>
        <w:t xml:space="preserve">7.3.2 </w:t>
      </w:r>
      <w:r>
        <w:rPr>
          <w:rFonts w:hint="eastAsia" w:ascii="宋体" w:hAnsi="宋体" w:cs="宋体"/>
          <w:color w:val="auto"/>
          <w:szCs w:val="21"/>
          <w:highlight w:val="none"/>
        </w:rPr>
        <w:t>发出成交通知书后，采购人无正当理由拒签合同的，采购人向成交人退还磋商保证金；给成交人造成损失的，还应当赔偿损失。</w:t>
      </w:r>
    </w:p>
    <w:p>
      <w:pPr>
        <w:pStyle w:val="4"/>
        <w:spacing w:before="0" w:after="0" w:line="380" w:lineRule="exact"/>
        <w:ind w:left="468" w:firstLine="0"/>
        <w:jc w:val="left"/>
        <w:rPr>
          <w:rStyle w:val="36"/>
          <w:rFonts w:ascii="宋体" w:hAnsi="宋体" w:eastAsia="宋体" w:cs="宋体"/>
          <w:b/>
          <w:bCs/>
          <w:color w:val="auto"/>
          <w:highlight w:val="none"/>
        </w:rPr>
      </w:pPr>
      <w:bookmarkStart w:id="29" w:name="_Toc17195"/>
      <w:bookmarkStart w:id="30" w:name="_Toc421284748"/>
      <w:bookmarkStart w:id="31" w:name="_Toc28607"/>
      <w:bookmarkStart w:id="32" w:name="_Toc20727"/>
      <w:r>
        <w:rPr>
          <w:rStyle w:val="36"/>
          <w:rFonts w:ascii="宋体" w:hAnsi="宋体" w:eastAsia="宋体" w:cs="宋体"/>
          <w:b/>
          <w:bCs/>
          <w:color w:val="auto"/>
          <w:highlight w:val="none"/>
        </w:rPr>
        <w:t>8.</w:t>
      </w:r>
      <w:bookmarkEnd w:id="29"/>
      <w:bookmarkEnd w:id="30"/>
      <w:bookmarkEnd w:id="31"/>
      <w:r>
        <w:rPr>
          <w:rStyle w:val="36"/>
          <w:rFonts w:hint="eastAsia" w:ascii="宋体" w:hAnsi="宋体" w:eastAsia="宋体" w:cs="宋体"/>
          <w:b/>
          <w:bCs/>
          <w:color w:val="auto"/>
          <w:highlight w:val="none"/>
        </w:rPr>
        <w:t>重新招标</w:t>
      </w:r>
      <w:bookmarkEnd w:id="32"/>
    </w:p>
    <w:p>
      <w:pPr>
        <w:autoSpaceDE w:val="0"/>
        <w:autoSpaceDN w:val="0"/>
        <w:adjustRightInd w:val="0"/>
        <w:spacing w:line="400" w:lineRule="exact"/>
        <w:ind w:left="17" w:leftChars="8" w:firstLine="420" w:firstLineChars="200"/>
        <w:jc w:val="left"/>
        <w:rPr>
          <w:rFonts w:ascii="宋体" w:cs="宋体"/>
          <w:color w:val="auto"/>
          <w:szCs w:val="21"/>
          <w:highlight w:val="none"/>
        </w:rPr>
      </w:pPr>
      <w:r>
        <w:rPr>
          <w:rFonts w:ascii="宋体" w:hAnsi="宋体" w:cs="宋体"/>
          <w:color w:val="auto"/>
          <w:highlight w:val="none"/>
        </w:rPr>
        <w:t xml:space="preserve">  </w:t>
      </w:r>
      <w:r>
        <w:rPr>
          <w:rFonts w:ascii="宋体" w:hAnsi="宋体" w:cs="宋体"/>
          <w:color w:val="auto"/>
          <w:sz w:val="28"/>
          <w:szCs w:val="36"/>
          <w:highlight w:val="none"/>
        </w:rPr>
        <w:t xml:space="preserve"> </w:t>
      </w:r>
      <w:bookmarkStart w:id="33" w:name="_Toc16556"/>
      <w:r>
        <w:rPr>
          <w:rFonts w:ascii="宋体" w:hAnsi="宋体" w:cs="宋体"/>
          <w:color w:val="auto"/>
          <w:szCs w:val="21"/>
          <w:highlight w:val="none"/>
        </w:rPr>
        <w:t xml:space="preserve">8.1 </w:t>
      </w:r>
      <w:r>
        <w:rPr>
          <w:rFonts w:hint="eastAsia" w:ascii="宋体" w:hAnsi="宋体" w:cs="宋体"/>
          <w:color w:val="auto"/>
          <w:szCs w:val="21"/>
          <w:highlight w:val="none"/>
        </w:rPr>
        <w:t>重新招标</w:t>
      </w:r>
      <w:bookmarkEnd w:id="33"/>
    </w:p>
    <w:p>
      <w:pPr>
        <w:autoSpaceDE w:val="0"/>
        <w:autoSpaceDN w:val="0"/>
        <w:adjustRightInd w:val="0"/>
        <w:spacing w:line="400" w:lineRule="exact"/>
        <w:ind w:left="17" w:leftChars="8" w:firstLine="420" w:firstLineChars="200"/>
        <w:jc w:val="left"/>
        <w:rPr>
          <w:rFonts w:ascii="宋体" w:cs="宋体"/>
          <w:color w:val="auto"/>
          <w:szCs w:val="21"/>
          <w:highlight w:val="none"/>
        </w:rPr>
      </w:pPr>
      <w:bookmarkStart w:id="34" w:name="_Toc9985"/>
      <w:r>
        <w:rPr>
          <w:rFonts w:hint="eastAsia" w:ascii="宋体" w:hAnsi="宋体" w:cs="宋体"/>
          <w:color w:val="auto"/>
          <w:szCs w:val="21"/>
          <w:highlight w:val="none"/>
        </w:rPr>
        <w:t>有下列情形之一的，采购人将重新招标：</w:t>
      </w:r>
      <w:bookmarkEnd w:id="34"/>
    </w:p>
    <w:p>
      <w:pPr>
        <w:autoSpaceDE w:val="0"/>
        <w:autoSpaceDN w:val="0"/>
        <w:adjustRightInd w:val="0"/>
        <w:spacing w:line="400" w:lineRule="exact"/>
        <w:ind w:left="17" w:leftChars="8" w:firstLine="420" w:firstLineChars="200"/>
        <w:jc w:val="left"/>
        <w:rPr>
          <w:rFonts w:ascii="宋体" w:cs="宋体"/>
          <w:color w:val="auto"/>
          <w:szCs w:val="21"/>
          <w:highlight w:val="none"/>
        </w:rPr>
      </w:pPr>
      <w:bookmarkStart w:id="35" w:name="_Toc25063"/>
      <w:r>
        <w:rPr>
          <w:rFonts w:ascii="宋体" w:hAnsi="宋体" w:cs="宋体"/>
          <w:color w:val="auto"/>
          <w:szCs w:val="21"/>
          <w:highlight w:val="none"/>
        </w:rPr>
        <w:t xml:space="preserve">   </w:t>
      </w:r>
      <w:r>
        <w:rPr>
          <w:rFonts w:hint="eastAsia" w:ascii="宋体" w:hAnsi="宋体" w:cs="宋体"/>
          <w:color w:val="auto"/>
          <w:szCs w:val="21"/>
          <w:highlight w:val="none"/>
        </w:rPr>
        <w:t>（</w:t>
      </w:r>
      <w:r>
        <w:rPr>
          <w:rFonts w:ascii="宋体" w:hAnsi="宋体" w:cs="宋体"/>
          <w:color w:val="auto"/>
          <w:szCs w:val="21"/>
          <w:highlight w:val="none"/>
        </w:rPr>
        <w:t>1</w:t>
      </w:r>
      <w:r>
        <w:rPr>
          <w:rFonts w:hint="eastAsia" w:ascii="宋体" w:hAnsi="宋体" w:cs="宋体"/>
          <w:color w:val="auto"/>
          <w:szCs w:val="21"/>
          <w:highlight w:val="none"/>
        </w:rPr>
        <w:t>）首次提交响应文件截止时间止，供应商少于</w:t>
      </w:r>
      <w:r>
        <w:rPr>
          <w:rFonts w:ascii="宋体" w:hAnsi="宋体" w:cs="宋体"/>
          <w:color w:val="auto"/>
          <w:szCs w:val="21"/>
          <w:highlight w:val="none"/>
        </w:rPr>
        <w:t>3</w:t>
      </w:r>
      <w:r>
        <w:rPr>
          <w:rFonts w:hint="eastAsia" w:ascii="宋体" w:hAnsi="宋体" w:cs="宋体"/>
          <w:color w:val="auto"/>
          <w:szCs w:val="21"/>
          <w:highlight w:val="none"/>
        </w:rPr>
        <w:t>个的；</w:t>
      </w:r>
      <w:bookmarkEnd w:id="35"/>
    </w:p>
    <w:p>
      <w:pPr>
        <w:autoSpaceDE w:val="0"/>
        <w:autoSpaceDN w:val="0"/>
        <w:adjustRightInd w:val="0"/>
        <w:spacing w:line="400" w:lineRule="exact"/>
        <w:ind w:left="17" w:leftChars="8" w:firstLine="420" w:firstLineChars="200"/>
        <w:jc w:val="left"/>
        <w:rPr>
          <w:rFonts w:ascii="宋体" w:cs="宋体"/>
          <w:color w:val="auto"/>
          <w:szCs w:val="21"/>
          <w:highlight w:val="none"/>
        </w:rPr>
      </w:pPr>
      <w:bookmarkStart w:id="36" w:name="_Toc17911"/>
      <w:r>
        <w:rPr>
          <w:rFonts w:ascii="宋体" w:hAnsi="宋体" w:cs="宋体"/>
          <w:color w:val="auto"/>
          <w:szCs w:val="21"/>
          <w:highlight w:val="none"/>
        </w:rPr>
        <w:t xml:space="preserve">   </w:t>
      </w:r>
      <w:r>
        <w:rPr>
          <w:rFonts w:hint="eastAsia" w:ascii="宋体" w:hAnsi="宋体" w:cs="宋体"/>
          <w:color w:val="auto"/>
          <w:szCs w:val="21"/>
          <w:highlight w:val="none"/>
        </w:rPr>
        <w:t>（</w:t>
      </w:r>
      <w:r>
        <w:rPr>
          <w:rFonts w:ascii="宋体" w:hAnsi="宋体" w:cs="宋体"/>
          <w:color w:val="auto"/>
          <w:szCs w:val="21"/>
          <w:highlight w:val="none"/>
        </w:rPr>
        <w:t>2</w:t>
      </w:r>
      <w:r>
        <w:rPr>
          <w:rFonts w:hint="eastAsia" w:ascii="宋体" w:hAnsi="宋体" w:cs="宋体"/>
          <w:color w:val="auto"/>
          <w:szCs w:val="21"/>
          <w:highlight w:val="none"/>
        </w:rPr>
        <w:t>）经磋商小组评审后否决所有响应性文件的。</w:t>
      </w:r>
      <w:bookmarkEnd w:id="36"/>
    </w:p>
    <w:p>
      <w:pPr>
        <w:pStyle w:val="4"/>
        <w:spacing w:before="0" w:after="0" w:line="380" w:lineRule="exact"/>
        <w:ind w:left="468" w:firstLine="0"/>
        <w:jc w:val="left"/>
        <w:rPr>
          <w:rStyle w:val="36"/>
          <w:rFonts w:ascii="宋体" w:hAnsi="宋体" w:eastAsia="宋体" w:cs="宋体"/>
          <w:b/>
          <w:bCs/>
          <w:color w:val="auto"/>
          <w:highlight w:val="none"/>
        </w:rPr>
      </w:pPr>
      <w:bookmarkStart w:id="37" w:name="_Toc13052"/>
      <w:r>
        <w:rPr>
          <w:rStyle w:val="36"/>
          <w:rFonts w:ascii="宋体" w:hAnsi="宋体" w:eastAsia="宋体" w:cs="宋体"/>
          <w:b/>
          <w:bCs/>
          <w:color w:val="auto"/>
          <w:szCs w:val="22"/>
          <w:highlight w:val="none"/>
        </w:rPr>
        <w:t>9.</w:t>
      </w:r>
      <w:r>
        <w:rPr>
          <w:rStyle w:val="36"/>
          <w:rFonts w:hint="eastAsia" w:ascii="宋体" w:hAnsi="宋体" w:eastAsia="宋体" w:cs="宋体"/>
          <w:b/>
          <w:bCs/>
          <w:color w:val="auto"/>
          <w:szCs w:val="22"/>
          <w:highlight w:val="none"/>
        </w:rPr>
        <w:t>纪律和监督</w:t>
      </w:r>
      <w:bookmarkEnd w:id="37"/>
    </w:p>
    <w:p>
      <w:pPr>
        <w:autoSpaceDE w:val="0"/>
        <w:autoSpaceDN w:val="0"/>
        <w:adjustRightInd w:val="0"/>
        <w:spacing w:line="400" w:lineRule="exact"/>
        <w:ind w:left="17" w:leftChars="8" w:firstLine="420" w:firstLineChars="200"/>
        <w:jc w:val="left"/>
        <w:rPr>
          <w:rFonts w:ascii="宋体" w:cs="宋体"/>
          <w:color w:val="auto"/>
          <w:szCs w:val="21"/>
          <w:highlight w:val="none"/>
        </w:rPr>
      </w:pPr>
      <w:r>
        <w:rPr>
          <w:rFonts w:ascii="宋体" w:hAnsi="宋体" w:cs="宋体"/>
          <w:color w:val="auto"/>
          <w:szCs w:val="21"/>
          <w:highlight w:val="none"/>
        </w:rPr>
        <w:t xml:space="preserve">9.1 </w:t>
      </w:r>
      <w:r>
        <w:rPr>
          <w:rFonts w:hint="eastAsia" w:ascii="宋体" w:hAnsi="宋体" w:cs="宋体"/>
          <w:color w:val="auto"/>
          <w:szCs w:val="21"/>
          <w:highlight w:val="none"/>
        </w:rPr>
        <w:t>对采购人的纪律要求</w:t>
      </w:r>
    </w:p>
    <w:p>
      <w:pPr>
        <w:autoSpaceDE w:val="0"/>
        <w:autoSpaceDN w:val="0"/>
        <w:adjustRightInd w:val="0"/>
        <w:spacing w:line="400" w:lineRule="exact"/>
        <w:ind w:left="17" w:leftChars="8" w:firstLine="420" w:firstLineChars="200"/>
        <w:jc w:val="left"/>
        <w:rPr>
          <w:rFonts w:ascii="宋体" w:cs="宋体"/>
          <w:color w:val="auto"/>
          <w:szCs w:val="21"/>
          <w:highlight w:val="none"/>
        </w:rPr>
      </w:pPr>
      <w:r>
        <w:rPr>
          <w:rFonts w:hint="eastAsia" w:ascii="宋体" w:hAnsi="宋体" w:cs="宋体"/>
          <w:color w:val="auto"/>
          <w:szCs w:val="21"/>
          <w:highlight w:val="none"/>
        </w:rPr>
        <w:t>采购人不得泄漏磋商活动中应当保密的情况和资料，不得与供应商串通损害国家利益、社会公共利益或者他人合法权益。</w:t>
      </w:r>
    </w:p>
    <w:p>
      <w:pPr>
        <w:autoSpaceDE w:val="0"/>
        <w:autoSpaceDN w:val="0"/>
        <w:adjustRightInd w:val="0"/>
        <w:spacing w:line="400" w:lineRule="exact"/>
        <w:ind w:left="17" w:leftChars="8" w:firstLine="420" w:firstLineChars="200"/>
        <w:jc w:val="left"/>
        <w:rPr>
          <w:rFonts w:ascii="宋体" w:cs="宋体"/>
          <w:color w:val="auto"/>
          <w:szCs w:val="21"/>
          <w:highlight w:val="none"/>
        </w:rPr>
      </w:pPr>
      <w:r>
        <w:rPr>
          <w:rFonts w:ascii="宋体" w:hAnsi="宋体" w:cs="宋体"/>
          <w:color w:val="auto"/>
          <w:szCs w:val="21"/>
          <w:highlight w:val="none"/>
        </w:rPr>
        <w:t xml:space="preserve">9.2 </w:t>
      </w:r>
      <w:r>
        <w:rPr>
          <w:rFonts w:hint="eastAsia" w:ascii="宋体" w:hAnsi="宋体" w:cs="宋体"/>
          <w:color w:val="auto"/>
          <w:szCs w:val="21"/>
          <w:highlight w:val="none"/>
        </w:rPr>
        <w:t>对供应商的纪律要求</w:t>
      </w:r>
    </w:p>
    <w:p>
      <w:pPr>
        <w:autoSpaceDE w:val="0"/>
        <w:autoSpaceDN w:val="0"/>
        <w:adjustRightInd w:val="0"/>
        <w:spacing w:line="400" w:lineRule="exact"/>
        <w:ind w:left="17" w:leftChars="8" w:firstLine="420" w:firstLineChars="200"/>
        <w:jc w:val="left"/>
        <w:rPr>
          <w:rFonts w:ascii="宋体" w:cs="宋体"/>
          <w:color w:val="auto"/>
          <w:szCs w:val="21"/>
          <w:highlight w:val="none"/>
        </w:rPr>
      </w:pPr>
      <w:r>
        <w:rPr>
          <w:rFonts w:hint="eastAsia" w:ascii="宋体" w:hAnsi="宋体" w:cs="宋体"/>
          <w:color w:val="auto"/>
          <w:szCs w:val="21"/>
          <w:highlight w:val="none"/>
        </w:rPr>
        <w:t>供应商之间不得相互串通或者与采购人串通，不得向采购人或者谈判小组行贿谋取中标，不得以他人名义响应或者以其他方式弄虚作假骗取中标；供应商不得以任何方式干扰、影响评标工作。</w:t>
      </w:r>
    </w:p>
    <w:p>
      <w:pPr>
        <w:autoSpaceDE w:val="0"/>
        <w:autoSpaceDN w:val="0"/>
        <w:adjustRightInd w:val="0"/>
        <w:spacing w:line="400" w:lineRule="exact"/>
        <w:ind w:left="17" w:leftChars="8" w:firstLine="420" w:firstLineChars="200"/>
        <w:jc w:val="left"/>
        <w:rPr>
          <w:rFonts w:ascii="宋体" w:cs="宋体"/>
          <w:color w:val="auto"/>
          <w:szCs w:val="21"/>
          <w:highlight w:val="none"/>
        </w:rPr>
      </w:pPr>
      <w:r>
        <w:rPr>
          <w:rFonts w:ascii="宋体" w:hAnsi="宋体" w:cs="宋体"/>
          <w:color w:val="auto"/>
          <w:szCs w:val="21"/>
          <w:highlight w:val="none"/>
        </w:rPr>
        <w:t xml:space="preserve">9.3 </w:t>
      </w:r>
      <w:r>
        <w:rPr>
          <w:rFonts w:hint="eastAsia" w:ascii="宋体" w:hAnsi="宋体" w:cs="宋体"/>
          <w:color w:val="auto"/>
          <w:szCs w:val="21"/>
          <w:highlight w:val="none"/>
        </w:rPr>
        <w:t>对磋商小组成员的纪律要求</w:t>
      </w:r>
    </w:p>
    <w:p>
      <w:pPr>
        <w:autoSpaceDE w:val="0"/>
        <w:autoSpaceDN w:val="0"/>
        <w:adjustRightInd w:val="0"/>
        <w:spacing w:line="400" w:lineRule="exact"/>
        <w:ind w:left="17" w:leftChars="8" w:firstLine="420" w:firstLineChars="200"/>
        <w:jc w:val="left"/>
        <w:rPr>
          <w:rFonts w:ascii="宋体" w:cs="宋体"/>
          <w:color w:val="auto"/>
          <w:szCs w:val="21"/>
          <w:highlight w:val="none"/>
        </w:rPr>
      </w:pPr>
      <w:r>
        <w:rPr>
          <w:rFonts w:hint="eastAsia" w:ascii="宋体" w:hAnsi="宋体" w:cs="宋体"/>
          <w:color w:val="auto"/>
          <w:szCs w:val="21"/>
          <w:highlight w:val="none"/>
        </w:rPr>
        <w:t>磋商小组成员不得收受供应商及他人的财物或者其他好处，不得向供应商及他人透漏对响应文件的评审和比较、成交候选人的推荐情况以及评标有关的其他情况。在磋商活动中，磋商小组成员不得擅离职守，影响评标程序正常进行，不得使用第三章“评标办法”没有规定的评审因素和标准进行评标。</w:t>
      </w:r>
    </w:p>
    <w:p>
      <w:pPr>
        <w:autoSpaceDE w:val="0"/>
        <w:autoSpaceDN w:val="0"/>
        <w:adjustRightInd w:val="0"/>
        <w:spacing w:line="400" w:lineRule="exact"/>
        <w:ind w:left="17" w:leftChars="8" w:firstLine="420" w:firstLineChars="200"/>
        <w:jc w:val="left"/>
        <w:rPr>
          <w:rFonts w:ascii="宋体" w:cs="宋体"/>
          <w:color w:val="auto"/>
          <w:szCs w:val="21"/>
          <w:highlight w:val="none"/>
        </w:rPr>
      </w:pPr>
      <w:r>
        <w:rPr>
          <w:rFonts w:ascii="宋体" w:hAnsi="宋体" w:cs="宋体"/>
          <w:color w:val="auto"/>
          <w:szCs w:val="21"/>
          <w:highlight w:val="none"/>
        </w:rPr>
        <w:t xml:space="preserve">9.4 </w:t>
      </w:r>
      <w:r>
        <w:rPr>
          <w:rFonts w:hint="eastAsia" w:ascii="宋体" w:hAnsi="宋体" w:cs="宋体"/>
          <w:color w:val="auto"/>
          <w:szCs w:val="21"/>
          <w:highlight w:val="none"/>
        </w:rPr>
        <w:t>对与评标活动有关的工作人员的纪律要求</w:t>
      </w:r>
    </w:p>
    <w:p>
      <w:pPr>
        <w:autoSpaceDE w:val="0"/>
        <w:autoSpaceDN w:val="0"/>
        <w:adjustRightInd w:val="0"/>
        <w:spacing w:line="400" w:lineRule="exact"/>
        <w:ind w:left="17" w:leftChars="8" w:firstLine="420" w:firstLineChars="200"/>
        <w:jc w:val="left"/>
        <w:rPr>
          <w:rFonts w:ascii="宋体" w:cs="宋体"/>
          <w:color w:val="auto"/>
          <w:szCs w:val="21"/>
          <w:highlight w:val="none"/>
        </w:rPr>
      </w:pPr>
      <w:r>
        <w:rPr>
          <w:rFonts w:hint="eastAsia" w:ascii="宋体" w:hAnsi="宋体" w:cs="宋体"/>
          <w:color w:val="auto"/>
          <w:szCs w:val="21"/>
          <w:highlight w:val="none"/>
        </w:rPr>
        <w:t>与评标活动有关的工作人员不得收受供应商及他人的财物或者其他好处，不得向供应商及他人透漏对响应文件的评审和比较、成交候选人的推荐情况以及评标有关的其他情况。在评标活动中，与评标活动有关的工作人员不得擅离职守，影响评标程序正常进行。</w:t>
      </w:r>
    </w:p>
    <w:p>
      <w:pPr>
        <w:autoSpaceDE w:val="0"/>
        <w:autoSpaceDN w:val="0"/>
        <w:adjustRightInd w:val="0"/>
        <w:spacing w:line="400" w:lineRule="exact"/>
        <w:ind w:left="17" w:leftChars="8" w:firstLine="420" w:firstLineChars="200"/>
        <w:jc w:val="left"/>
        <w:rPr>
          <w:rFonts w:ascii="宋体" w:cs="宋体"/>
          <w:color w:val="auto"/>
          <w:szCs w:val="21"/>
          <w:highlight w:val="none"/>
        </w:rPr>
      </w:pPr>
      <w:r>
        <w:rPr>
          <w:rFonts w:ascii="宋体" w:hAnsi="宋体" w:cs="宋体"/>
          <w:color w:val="auto"/>
          <w:szCs w:val="21"/>
          <w:highlight w:val="none"/>
        </w:rPr>
        <w:t xml:space="preserve">9.5 </w:t>
      </w:r>
      <w:r>
        <w:rPr>
          <w:rFonts w:hint="eastAsia" w:ascii="宋体" w:hAnsi="宋体" w:cs="宋体"/>
          <w:color w:val="auto"/>
          <w:szCs w:val="21"/>
          <w:highlight w:val="none"/>
        </w:rPr>
        <w:t>投诉</w:t>
      </w:r>
    </w:p>
    <w:p>
      <w:pPr>
        <w:autoSpaceDE w:val="0"/>
        <w:autoSpaceDN w:val="0"/>
        <w:adjustRightInd w:val="0"/>
        <w:spacing w:line="400" w:lineRule="exact"/>
        <w:ind w:left="17" w:leftChars="8" w:firstLine="420" w:firstLineChars="200"/>
        <w:jc w:val="left"/>
        <w:rPr>
          <w:rFonts w:ascii="宋体" w:cs="宋体"/>
          <w:color w:val="auto"/>
          <w:szCs w:val="21"/>
          <w:highlight w:val="none"/>
        </w:rPr>
      </w:pPr>
      <w:r>
        <w:rPr>
          <w:rFonts w:hint="eastAsia" w:ascii="宋体" w:hAnsi="宋体" w:cs="宋体"/>
          <w:color w:val="auto"/>
          <w:szCs w:val="21"/>
          <w:highlight w:val="none"/>
        </w:rPr>
        <w:t>供应商和其他利害关系人认为本次磋商活动违反法律、法规和规章规定的，有权向有关行政监督部门投诉。</w:t>
      </w:r>
    </w:p>
    <w:p>
      <w:pPr>
        <w:pStyle w:val="4"/>
        <w:spacing w:before="0" w:after="0" w:line="380" w:lineRule="exact"/>
        <w:ind w:left="0" w:firstLine="0"/>
        <w:jc w:val="left"/>
        <w:outlineLvl w:val="1"/>
        <w:rPr>
          <w:rStyle w:val="36"/>
          <w:rFonts w:ascii="宋体" w:hAnsi="Calibri" w:eastAsia="宋体" w:cs="宋体"/>
          <w:b/>
          <w:color w:val="auto"/>
          <w:highlight w:val="none"/>
        </w:rPr>
      </w:pPr>
      <w:bookmarkStart w:id="38" w:name="_Toc421284749"/>
      <w:bookmarkStart w:id="39" w:name="_Toc9750"/>
      <w:bookmarkStart w:id="40" w:name="_Toc12542"/>
      <w:r>
        <w:rPr>
          <w:rStyle w:val="36"/>
          <w:rFonts w:ascii="宋体" w:hAnsi="宋体" w:eastAsia="宋体" w:cs="宋体"/>
          <w:b/>
          <w:color w:val="auto"/>
          <w:highlight w:val="none"/>
        </w:rPr>
        <w:t xml:space="preserve">   </w:t>
      </w:r>
      <w:bookmarkStart w:id="41" w:name="_Toc12539"/>
      <w:r>
        <w:rPr>
          <w:rStyle w:val="36"/>
          <w:rFonts w:ascii="宋体" w:hAnsi="宋体" w:eastAsia="宋体" w:cs="宋体"/>
          <w:b/>
          <w:color w:val="auto"/>
          <w:highlight w:val="none"/>
        </w:rPr>
        <w:t>10.</w:t>
      </w:r>
      <w:r>
        <w:rPr>
          <w:rStyle w:val="36"/>
          <w:rFonts w:hint="eastAsia" w:ascii="宋体" w:hAnsi="宋体" w:eastAsia="宋体" w:cs="宋体"/>
          <w:b/>
          <w:color w:val="auto"/>
          <w:highlight w:val="none"/>
        </w:rPr>
        <w:t>需要补充的其他内容</w:t>
      </w:r>
      <w:bookmarkEnd w:id="38"/>
      <w:bookmarkEnd w:id="39"/>
      <w:bookmarkEnd w:id="40"/>
      <w:bookmarkEnd w:id="41"/>
    </w:p>
    <w:p>
      <w:pPr>
        <w:autoSpaceDE w:val="0"/>
        <w:autoSpaceDN w:val="0"/>
        <w:adjustRightInd w:val="0"/>
        <w:spacing w:line="380" w:lineRule="exact"/>
        <w:ind w:firstLine="482" w:firstLineChars="200"/>
        <w:rPr>
          <w:rFonts w:ascii="宋体" w:cs="宋体"/>
          <w:color w:val="auto"/>
          <w:kern w:val="0"/>
          <w:sz w:val="24"/>
          <w:highlight w:val="none"/>
        </w:rPr>
      </w:pPr>
      <w:r>
        <w:rPr>
          <w:rFonts w:ascii="宋体" w:hAnsi="宋体" w:cs="宋体"/>
          <w:b/>
          <w:color w:val="auto"/>
          <w:kern w:val="0"/>
          <w:sz w:val="24"/>
          <w:highlight w:val="none"/>
        </w:rPr>
        <w:t xml:space="preserve">10.1 </w:t>
      </w:r>
      <w:r>
        <w:rPr>
          <w:rFonts w:hint="eastAsia" w:ascii="宋体" w:hAnsi="宋体" w:cs="宋体"/>
          <w:b/>
          <w:color w:val="auto"/>
          <w:kern w:val="0"/>
          <w:sz w:val="24"/>
          <w:highlight w:val="none"/>
        </w:rPr>
        <w:t>费用承担</w:t>
      </w:r>
    </w:p>
    <w:p>
      <w:pPr>
        <w:autoSpaceDE w:val="0"/>
        <w:autoSpaceDN w:val="0"/>
        <w:adjustRightInd w:val="0"/>
        <w:spacing w:line="440" w:lineRule="exact"/>
        <w:ind w:left="15" w:leftChars="7" w:firstLine="420" w:firstLineChars="200"/>
        <w:jc w:val="left"/>
        <w:rPr>
          <w:rFonts w:ascii="宋体" w:cs="宋体"/>
          <w:color w:val="auto"/>
          <w:highlight w:val="none"/>
        </w:rPr>
      </w:pPr>
      <w:r>
        <w:rPr>
          <w:rFonts w:hint="eastAsia" w:ascii="宋体" w:hAnsi="宋体" w:cs="宋体"/>
          <w:color w:val="auto"/>
          <w:highlight w:val="none"/>
        </w:rPr>
        <w:t>（</w:t>
      </w:r>
      <w:r>
        <w:rPr>
          <w:rFonts w:ascii="宋体" w:hAnsi="宋体" w:cs="宋体"/>
          <w:color w:val="auto"/>
          <w:highlight w:val="none"/>
        </w:rPr>
        <w:t>1</w:t>
      </w:r>
      <w:r>
        <w:rPr>
          <w:rFonts w:hint="eastAsia" w:ascii="宋体" w:hAnsi="宋体" w:cs="宋体"/>
          <w:color w:val="auto"/>
          <w:highlight w:val="none"/>
        </w:rPr>
        <w:t>）无论投标过程中的作法和结果如何，供应商应自行承担所有参与磋商有关的全部费用，采购人和采购代理机构在任何情况下均无义务和责任承担上述费用。</w:t>
      </w:r>
    </w:p>
    <w:p>
      <w:pPr>
        <w:autoSpaceDE w:val="0"/>
        <w:autoSpaceDN w:val="0"/>
        <w:adjustRightInd w:val="0"/>
        <w:spacing w:line="440" w:lineRule="exact"/>
        <w:ind w:left="15" w:leftChars="7" w:firstLine="420" w:firstLineChars="200"/>
        <w:jc w:val="left"/>
        <w:rPr>
          <w:rFonts w:ascii="宋体" w:cs="宋体"/>
          <w:color w:val="auto"/>
          <w:highlight w:val="none"/>
        </w:rPr>
      </w:pPr>
      <w:r>
        <w:rPr>
          <w:rFonts w:hint="eastAsia" w:ascii="宋体" w:hAnsi="宋体" w:cs="宋体"/>
          <w:color w:val="auto"/>
          <w:highlight w:val="none"/>
        </w:rPr>
        <w:t>（</w:t>
      </w:r>
      <w:r>
        <w:rPr>
          <w:rFonts w:ascii="宋体" w:hAnsi="宋体" w:cs="宋体"/>
          <w:color w:val="auto"/>
          <w:highlight w:val="none"/>
        </w:rPr>
        <w:t>2</w:t>
      </w:r>
      <w:r>
        <w:rPr>
          <w:rFonts w:hint="eastAsia" w:ascii="宋体" w:hAnsi="宋体" w:cs="宋体"/>
          <w:color w:val="auto"/>
          <w:highlight w:val="none"/>
        </w:rPr>
        <w:t>）代理服务费由成交人支付。</w:t>
      </w:r>
    </w:p>
    <w:p>
      <w:pPr>
        <w:spacing w:line="400" w:lineRule="exact"/>
        <w:ind w:firstLine="482" w:firstLineChars="200"/>
        <w:jc w:val="left"/>
        <w:rPr>
          <w:rFonts w:ascii="宋体" w:cs="宋体"/>
          <w:b/>
          <w:color w:val="auto"/>
          <w:kern w:val="0"/>
          <w:sz w:val="24"/>
          <w:highlight w:val="none"/>
        </w:rPr>
      </w:pPr>
      <w:r>
        <w:rPr>
          <w:rFonts w:ascii="宋体" w:hAnsi="宋体" w:cs="宋体"/>
          <w:b/>
          <w:color w:val="auto"/>
          <w:kern w:val="0"/>
          <w:sz w:val="24"/>
          <w:highlight w:val="none"/>
        </w:rPr>
        <w:t xml:space="preserve">10.2 </w:t>
      </w:r>
      <w:r>
        <w:rPr>
          <w:rFonts w:hint="eastAsia" w:ascii="宋体" w:hAnsi="宋体" w:cs="宋体"/>
          <w:b/>
          <w:color w:val="auto"/>
          <w:kern w:val="0"/>
          <w:sz w:val="24"/>
          <w:highlight w:val="none"/>
        </w:rPr>
        <w:t>解释权</w:t>
      </w:r>
    </w:p>
    <w:p>
      <w:pPr>
        <w:autoSpaceDE w:val="0"/>
        <w:autoSpaceDN w:val="0"/>
        <w:adjustRightInd w:val="0"/>
        <w:spacing w:line="440" w:lineRule="exact"/>
        <w:ind w:left="15" w:leftChars="7" w:firstLine="420" w:firstLineChars="200"/>
        <w:jc w:val="left"/>
        <w:rPr>
          <w:rFonts w:ascii="宋体" w:cs="宋体"/>
          <w:color w:val="auto"/>
          <w:kern w:val="0"/>
          <w:szCs w:val="21"/>
          <w:highlight w:val="none"/>
        </w:rPr>
      </w:pPr>
      <w:r>
        <w:rPr>
          <w:rFonts w:hint="eastAsia" w:ascii="宋体" w:hAnsi="宋体" w:cs="宋体"/>
          <w:color w:val="auto"/>
          <w:highlight w:val="none"/>
        </w:rPr>
        <w:t>构成本磋商文件的各个组成文件应互为解释，互为说明；如有不明确或不一致，构成合同文件组成内容的，以合同文件约定内容为准，且以专用合同条款约定的合同文件优先顺序解释；除招标文件中有特别规定外，仅适用于招标投标阶段的规定，按招标公告（投标邀请书）、供应商须知、评标办法、响应文件格式的先后顺序解释；同一组成文件中就同一事项的规定或约定不一致的，以编排顺序在后者为准；同一组成文件不同版本之间有不一致的，以形成时间在后者为准。按本款前述规定仍不能形成结论的，由采购人负责解释。</w:t>
      </w:r>
    </w:p>
    <w:p>
      <w:pPr>
        <w:autoSpaceDE w:val="0"/>
        <w:autoSpaceDN w:val="0"/>
        <w:adjustRightInd w:val="0"/>
        <w:spacing w:line="440" w:lineRule="exact"/>
        <w:ind w:left="15" w:leftChars="7" w:firstLine="420" w:firstLineChars="200"/>
        <w:jc w:val="left"/>
        <w:rPr>
          <w:rFonts w:ascii="宋体" w:cs="宋体"/>
          <w:color w:val="auto"/>
          <w:highlight w:val="none"/>
        </w:rPr>
      </w:pPr>
      <w:r>
        <w:rPr>
          <w:rFonts w:ascii="宋体" w:hAnsi="宋体" w:cs="宋体"/>
          <w:color w:val="auto"/>
          <w:highlight w:val="none"/>
        </w:rPr>
        <w:t xml:space="preserve">10.3 </w:t>
      </w:r>
      <w:r>
        <w:rPr>
          <w:rFonts w:hint="eastAsia" w:ascii="宋体" w:hAnsi="宋体" w:cs="宋体"/>
          <w:color w:val="auto"/>
          <w:highlight w:val="none"/>
        </w:rPr>
        <w:t>本磋商文件未尽事宜，按《中华人民共和国政府采购法》等法律法规的有关规定执行。</w:t>
      </w:r>
    </w:p>
    <w:p>
      <w:pPr>
        <w:pStyle w:val="4"/>
        <w:spacing w:before="0" w:after="0" w:line="380" w:lineRule="exact"/>
        <w:ind w:left="0" w:firstLine="0"/>
        <w:jc w:val="left"/>
        <w:outlineLvl w:val="1"/>
        <w:rPr>
          <w:rStyle w:val="36"/>
          <w:rFonts w:ascii="宋体" w:hAnsi="Calibri" w:eastAsia="宋体" w:cs="宋体"/>
          <w:b/>
          <w:color w:val="auto"/>
          <w:highlight w:val="none"/>
        </w:rPr>
      </w:pPr>
      <w:r>
        <w:rPr>
          <w:rStyle w:val="36"/>
          <w:rFonts w:ascii="宋体" w:hAnsi="宋体" w:eastAsia="宋体" w:cs="宋体"/>
          <w:b/>
          <w:color w:val="auto"/>
          <w:highlight w:val="none"/>
        </w:rPr>
        <w:t xml:space="preserve">  </w:t>
      </w:r>
      <w:bookmarkStart w:id="42" w:name="_Toc711"/>
      <w:r>
        <w:rPr>
          <w:rStyle w:val="36"/>
          <w:rFonts w:ascii="宋体" w:hAnsi="宋体" w:eastAsia="宋体" w:cs="宋体"/>
          <w:b/>
          <w:color w:val="auto"/>
          <w:highlight w:val="none"/>
        </w:rPr>
        <w:t>11.</w:t>
      </w:r>
      <w:r>
        <w:rPr>
          <w:rStyle w:val="36"/>
          <w:rFonts w:hint="eastAsia" w:ascii="宋体" w:hAnsi="宋体" w:eastAsia="宋体" w:cs="宋体"/>
          <w:b/>
          <w:color w:val="auto"/>
          <w:highlight w:val="none"/>
        </w:rPr>
        <w:t>政策功能</w:t>
      </w:r>
      <w:bookmarkEnd w:id="42"/>
    </w:p>
    <w:p>
      <w:pPr>
        <w:autoSpaceDE w:val="0"/>
        <w:autoSpaceDN w:val="0"/>
        <w:adjustRightInd w:val="0"/>
        <w:spacing w:line="440" w:lineRule="exact"/>
        <w:ind w:left="15" w:leftChars="7" w:firstLine="420" w:firstLineChars="200"/>
        <w:jc w:val="left"/>
        <w:rPr>
          <w:rFonts w:ascii="宋体" w:cs="宋体"/>
          <w:color w:val="auto"/>
          <w:highlight w:val="none"/>
        </w:rPr>
      </w:pPr>
      <w:r>
        <w:rPr>
          <w:rFonts w:ascii="宋体" w:hAnsi="宋体" w:cs="宋体"/>
          <w:color w:val="auto"/>
          <w:highlight w:val="none"/>
        </w:rPr>
        <w:t>11.1.</w:t>
      </w:r>
      <w:r>
        <w:rPr>
          <w:rFonts w:hint="eastAsia" w:ascii="宋体" w:hAnsi="宋体" w:cs="宋体"/>
          <w:color w:val="auto"/>
          <w:highlight w:val="none"/>
        </w:rPr>
        <w:t>关于《政府采购促进中小企业发展暂行办法》相关说明：</w:t>
      </w:r>
    </w:p>
    <w:p>
      <w:pPr>
        <w:autoSpaceDE w:val="0"/>
        <w:autoSpaceDN w:val="0"/>
        <w:adjustRightInd w:val="0"/>
        <w:spacing w:line="440" w:lineRule="exact"/>
        <w:ind w:left="15" w:leftChars="7" w:firstLine="420" w:firstLineChars="200"/>
        <w:jc w:val="left"/>
        <w:rPr>
          <w:rFonts w:ascii="宋体" w:cs="宋体"/>
          <w:color w:val="auto"/>
          <w:highlight w:val="none"/>
        </w:rPr>
      </w:pPr>
      <w:r>
        <w:rPr>
          <w:rFonts w:hint="eastAsia" w:ascii="宋体" w:hAnsi="宋体" w:cs="宋体"/>
          <w:color w:val="auto"/>
          <w:highlight w:val="none"/>
        </w:rPr>
        <w:t>根据财库（</w:t>
      </w:r>
      <w:r>
        <w:rPr>
          <w:rFonts w:ascii="宋体" w:hAnsi="宋体" w:cs="宋体"/>
          <w:color w:val="auto"/>
          <w:highlight w:val="none"/>
        </w:rPr>
        <w:t>2011</w:t>
      </w:r>
      <w:r>
        <w:rPr>
          <w:rFonts w:hint="eastAsia" w:ascii="宋体" w:hAnsi="宋体" w:cs="宋体"/>
          <w:color w:val="auto"/>
          <w:highlight w:val="none"/>
        </w:rPr>
        <w:t>）</w:t>
      </w:r>
      <w:r>
        <w:rPr>
          <w:rFonts w:ascii="宋体" w:hAnsi="宋体" w:cs="宋体"/>
          <w:color w:val="auto"/>
          <w:highlight w:val="none"/>
        </w:rPr>
        <w:t>181</w:t>
      </w:r>
      <w:r>
        <w:rPr>
          <w:rFonts w:hint="eastAsia" w:ascii="宋体" w:hAnsi="宋体" w:cs="宋体"/>
          <w:color w:val="auto"/>
          <w:highlight w:val="none"/>
        </w:rPr>
        <w:t>号文、豫财购</w:t>
      </w:r>
      <w:r>
        <w:rPr>
          <w:rFonts w:ascii="宋体" w:hAnsi="宋体" w:cs="宋体"/>
          <w:color w:val="auto"/>
          <w:highlight w:val="none"/>
        </w:rPr>
        <w:t>[2013]14</w:t>
      </w:r>
      <w:r>
        <w:rPr>
          <w:rFonts w:hint="eastAsia" w:ascii="宋体" w:hAnsi="宋体" w:cs="宋体"/>
          <w:color w:val="auto"/>
          <w:highlight w:val="none"/>
        </w:rPr>
        <w:t>号文相关规定，给予小型和微型企业产品的投标报价给予</w:t>
      </w:r>
      <w:r>
        <w:rPr>
          <w:rFonts w:ascii="宋体" w:hAnsi="宋体" w:cs="宋体"/>
          <w:color w:val="auto"/>
          <w:highlight w:val="none"/>
        </w:rPr>
        <w:t>6%-10%</w:t>
      </w:r>
      <w:r>
        <w:rPr>
          <w:rFonts w:hint="eastAsia" w:ascii="宋体" w:hAnsi="宋体" w:cs="宋体"/>
          <w:color w:val="auto"/>
          <w:highlight w:val="none"/>
        </w:rPr>
        <w:t>的扣除，本项目具体扣除比例为</w:t>
      </w:r>
      <w:r>
        <w:rPr>
          <w:rFonts w:ascii="宋体" w:hAnsi="宋体" w:cs="宋体"/>
          <w:color w:val="auto"/>
          <w:highlight w:val="none"/>
        </w:rPr>
        <w:t>6</w:t>
      </w:r>
      <w:r>
        <w:rPr>
          <w:rFonts w:hint="eastAsia" w:ascii="宋体" w:hAnsi="宋体" w:cs="宋体"/>
          <w:color w:val="auto"/>
          <w:highlight w:val="none"/>
        </w:rPr>
        <w:t>％，用扣除后的价格参与评审。</w:t>
      </w:r>
    </w:p>
    <w:p>
      <w:pPr>
        <w:autoSpaceDE w:val="0"/>
        <w:autoSpaceDN w:val="0"/>
        <w:adjustRightInd w:val="0"/>
        <w:spacing w:line="440" w:lineRule="exact"/>
        <w:ind w:left="15" w:leftChars="7" w:firstLine="420" w:firstLineChars="200"/>
        <w:jc w:val="left"/>
        <w:rPr>
          <w:rFonts w:ascii="宋体" w:cs="宋体"/>
          <w:color w:val="auto"/>
          <w:highlight w:val="none"/>
        </w:rPr>
      </w:pPr>
      <w:r>
        <w:rPr>
          <w:rFonts w:hint="eastAsia" w:ascii="宋体" w:hAnsi="宋体" w:cs="宋体"/>
          <w:color w:val="auto"/>
          <w:highlight w:val="none"/>
        </w:rPr>
        <w:t>小微企业产品应当列明本项目中所投的“小型和微型企业产品的清单”并提供企业声明函（统一格式）且同时提供全国企业信用信息公示系统内小微企业库截图或由企业所在地的县级以上中小企业主管部门出具的中小企业认定证书等有效证明材料，否则不予认可。</w:t>
      </w:r>
    </w:p>
    <w:p>
      <w:pPr>
        <w:autoSpaceDE w:val="0"/>
        <w:autoSpaceDN w:val="0"/>
        <w:adjustRightInd w:val="0"/>
        <w:spacing w:line="440" w:lineRule="exact"/>
        <w:ind w:left="15" w:leftChars="7" w:firstLine="420" w:firstLineChars="200"/>
        <w:jc w:val="left"/>
        <w:rPr>
          <w:rFonts w:ascii="宋体" w:cs="宋体"/>
          <w:color w:val="auto"/>
          <w:highlight w:val="none"/>
        </w:rPr>
      </w:pPr>
      <w:r>
        <w:rPr>
          <w:rFonts w:hint="eastAsia" w:ascii="宋体" w:hAnsi="宋体" w:cs="宋体"/>
          <w:color w:val="auto"/>
          <w:highlight w:val="none"/>
        </w:rPr>
        <w:t>关于小微企业：</w:t>
      </w:r>
    </w:p>
    <w:p>
      <w:pPr>
        <w:autoSpaceDE w:val="0"/>
        <w:autoSpaceDN w:val="0"/>
        <w:adjustRightInd w:val="0"/>
        <w:spacing w:line="440" w:lineRule="exact"/>
        <w:ind w:left="15" w:leftChars="7" w:firstLine="420" w:firstLineChars="200"/>
        <w:jc w:val="left"/>
        <w:rPr>
          <w:rFonts w:ascii="宋体" w:cs="宋体"/>
          <w:color w:val="auto"/>
          <w:highlight w:val="none"/>
        </w:rPr>
      </w:pPr>
      <w:r>
        <w:rPr>
          <w:rFonts w:ascii="宋体" w:hAnsi="宋体" w:cs="宋体"/>
          <w:color w:val="auto"/>
          <w:highlight w:val="none"/>
        </w:rPr>
        <w:t>11.1.1</w:t>
      </w:r>
      <w:r>
        <w:rPr>
          <w:rFonts w:hint="eastAsia" w:ascii="宋体" w:hAnsi="宋体" w:cs="宋体"/>
          <w:color w:val="auto"/>
          <w:highlight w:val="none"/>
        </w:rPr>
        <w:t>按</w:t>
      </w:r>
      <w:r>
        <w:rPr>
          <w:rFonts w:ascii="宋体" w:hAnsi="宋体" w:cs="宋体"/>
          <w:color w:val="auto"/>
          <w:highlight w:val="none"/>
        </w:rPr>
        <w:t>&lt;</w:t>
      </w:r>
      <w:r>
        <w:rPr>
          <w:rFonts w:hint="eastAsia" w:ascii="宋体" w:hAnsi="宋体" w:cs="宋体"/>
          <w:color w:val="auto"/>
          <w:highlight w:val="none"/>
        </w:rPr>
        <w:t>关于印发《政府采购促进中小企业发展暂行办法》的通知</w:t>
      </w:r>
      <w:r>
        <w:rPr>
          <w:rFonts w:ascii="宋体" w:hAnsi="宋体" w:cs="宋体"/>
          <w:color w:val="auto"/>
          <w:highlight w:val="none"/>
        </w:rPr>
        <w:t>&gt;</w:t>
      </w:r>
      <w:r>
        <w:rPr>
          <w:rFonts w:hint="eastAsia" w:ascii="宋体" w:hAnsi="宋体" w:cs="宋体"/>
          <w:color w:val="auto"/>
          <w:highlight w:val="none"/>
        </w:rPr>
        <w:t>（财库〔</w:t>
      </w:r>
      <w:r>
        <w:rPr>
          <w:rFonts w:ascii="宋体" w:hAnsi="宋体" w:cs="宋体"/>
          <w:color w:val="auto"/>
          <w:highlight w:val="none"/>
        </w:rPr>
        <w:t>2011</w:t>
      </w:r>
      <w:r>
        <w:rPr>
          <w:rFonts w:hint="eastAsia" w:ascii="宋体" w:hAnsi="宋体" w:cs="宋体"/>
          <w:color w:val="auto"/>
          <w:highlight w:val="none"/>
        </w:rPr>
        <w:t>〕</w:t>
      </w:r>
      <w:r>
        <w:rPr>
          <w:rFonts w:ascii="宋体" w:hAnsi="宋体" w:cs="宋体"/>
          <w:color w:val="auto"/>
          <w:highlight w:val="none"/>
        </w:rPr>
        <w:t>181</w:t>
      </w:r>
      <w:r>
        <w:rPr>
          <w:rFonts w:hint="eastAsia" w:ascii="宋体" w:hAnsi="宋体" w:cs="宋体"/>
          <w:color w:val="auto"/>
          <w:highlight w:val="none"/>
        </w:rPr>
        <w:t>号）之规定，中小企业的标准为：</w:t>
      </w:r>
    </w:p>
    <w:p>
      <w:pPr>
        <w:autoSpaceDE w:val="0"/>
        <w:autoSpaceDN w:val="0"/>
        <w:adjustRightInd w:val="0"/>
        <w:spacing w:line="440" w:lineRule="exact"/>
        <w:ind w:left="15" w:leftChars="7" w:firstLine="420" w:firstLineChars="200"/>
        <w:jc w:val="left"/>
        <w:rPr>
          <w:rFonts w:ascii="宋体" w:cs="宋体"/>
          <w:color w:val="auto"/>
          <w:highlight w:val="none"/>
        </w:rPr>
      </w:pPr>
      <w:r>
        <w:rPr>
          <w:rFonts w:ascii="宋体" w:hAnsi="宋体" w:cs="宋体"/>
          <w:color w:val="auto"/>
          <w:highlight w:val="none"/>
        </w:rPr>
        <w:t>11.1.1.1</w:t>
      </w:r>
      <w:r>
        <w:rPr>
          <w:rFonts w:hint="eastAsia" w:ascii="宋体" w:hAnsi="宋体" w:cs="宋体"/>
          <w:color w:val="auto"/>
          <w:highlight w:val="none"/>
        </w:rPr>
        <w:t>提供本企业制造的货物、承担的工程或者服务，或者提供其他中小企业制造的货物，不包括提供或使用大型企业注册商标的货物。</w:t>
      </w:r>
    </w:p>
    <w:p>
      <w:pPr>
        <w:autoSpaceDE w:val="0"/>
        <w:autoSpaceDN w:val="0"/>
        <w:adjustRightInd w:val="0"/>
        <w:spacing w:line="440" w:lineRule="exact"/>
        <w:ind w:left="15" w:leftChars="7" w:firstLine="420" w:firstLineChars="200"/>
        <w:jc w:val="left"/>
        <w:rPr>
          <w:rFonts w:ascii="宋体" w:cs="宋体"/>
          <w:color w:val="auto"/>
          <w:highlight w:val="none"/>
        </w:rPr>
      </w:pPr>
      <w:r>
        <w:rPr>
          <w:rFonts w:ascii="宋体" w:hAnsi="宋体" w:cs="宋体"/>
          <w:color w:val="auto"/>
          <w:highlight w:val="none"/>
        </w:rPr>
        <w:t>11.1.1.2</w:t>
      </w:r>
      <w:r>
        <w:rPr>
          <w:rFonts w:hint="eastAsia" w:ascii="宋体" w:hAnsi="宋体" w:cs="宋体"/>
          <w:color w:val="auto"/>
          <w:highlight w:val="none"/>
        </w:rPr>
        <w:t>本规定所称中小企业划分标准，是指国务院有关部门根据企业从业人员、营业收入、资产总额等指标制定的中小企业划型标准（工信部联企业〔</w:t>
      </w:r>
      <w:r>
        <w:rPr>
          <w:rFonts w:ascii="宋体" w:hAnsi="宋体" w:cs="宋体"/>
          <w:color w:val="auto"/>
          <w:highlight w:val="none"/>
        </w:rPr>
        <w:t>2011</w:t>
      </w:r>
      <w:r>
        <w:rPr>
          <w:rFonts w:hint="eastAsia" w:ascii="宋体" w:hAnsi="宋体" w:cs="宋体"/>
          <w:color w:val="auto"/>
          <w:highlight w:val="none"/>
        </w:rPr>
        <w:t>〕</w:t>
      </w:r>
      <w:r>
        <w:rPr>
          <w:rFonts w:ascii="宋体" w:hAnsi="宋体" w:cs="宋体"/>
          <w:color w:val="auto"/>
          <w:highlight w:val="none"/>
        </w:rPr>
        <w:t>300</w:t>
      </w:r>
      <w:r>
        <w:rPr>
          <w:rFonts w:hint="eastAsia" w:ascii="宋体" w:hAnsi="宋体" w:cs="宋体"/>
          <w:color w:val="auto"/>
          <w:highlight w:val="none"/>
        </w:rPr>
        <w:t>号）。</w:t>
      </w:r>
    </w:p>
    <w:p>
      <w:pPr>
        <w:autoSpaceDE w:val="0"/>
        <w:autoSpaceDN w:val="0"/>
        <w:adjustRightInd w:val="0"/>
        <w:spacing w:line="440" w:lineRule="exact"/>
        <w:ind w:left="15" w:leftChars="7" w:firstLine="420" w:firstLineChars="200"/>
        <w:jc w:val="left"/>
        <w:rPr>
          <w:rFonts w:ascii="宋体" w:cs="宋体"/>
          <w:color w:val="auto"/>
          <w:highlight w:val="none"/>
        </w:rPr>
      </w:pPr>
      <w:r>
        <w:rPr>
          <w:rFonts w:ascii="宋体" w:hAnsi="宋体" w:cs="宋体"/>
          <w:color w:val="auto"/>
          <w:highlight w:val="none"/>
        </w:rPr>
        <w:t>11.1.1.3</w:t>
      </w:r>
      <w:r>
        <w:rPr>
          <w:rFonts w:hint="eastAsia" w:ascii="宋体" w:hAnsi="宋体" w:cs="宋体"/>
          <w:color w:val="auto"/>
          <w:highlight w:val="none"/>
        </w:rPr>
        <w:t>小型、微型企业提供有中型企业制造的货物的，视同为中型企业；小型、微型、中型企业提供有大型企业制造的货物的，视同为大型企业。</w:t>
      </w:r>
    </w:p>
    <w:p>
      <w:pPr>
        <w:autoSpaceDE w:val="0"/>
        <w:autoSpaceDN w:val="0"/>
        <w:adjustRightInd w:val="0"/>
        <w:spacing w:line="440" w:lineRule="exact"/>
        <w:ind w:left="15" w:leftChars="7" w:firstLine="420" w:firstLineChars="200"/>
        <w:jc w:val="left"/>
        <w:rPr>
          <w:rFonts w:ascii="宋体" w:cs="宋体"/>
          <w:color w:val="auto"/>
          <w:highlight w:val="none"/>
        </w:rPr>
      </w:pPr>
      <w:r>
        <w:rPr>
          <w:rFonts w:ascii="宋体" w:hAnsi="宋体" w:cs="宋体"/>
          <w:color w:val="auto"/>
          <w:highlight w:val="none"/>
        </w:rPr>
        <w:t>11.1.2</w:t>
      </w:r>
      <w:r>
        <w:rPr>
          <w:rFonts w:hint="eastAsia" w:ascii="宋体" w:hAnsi="宋体" w:cs="宋体"/>
          <w:color w:val="auto"/>
          <w:highlight w:val="none"/>
        </w:rPr>
        <w:t>依照</w:t>
      </w:r>
      <w:r>
        <w:rPr>
          <w:rFonts w:ascii="宋体" w:hAnsi="宋体" w:cs="宋体"/>
          <w:color w:val="auto"/>
          <w:highlight w:val="none"/>
        </w:rPr>
        <w:t>&lt;</w:t>
      </w:r>
      <w:r>
        <w:rPr>
          <w:rFonts w:hint="eastAsia" w:ascii="宋体" w:hAnsi="宋体" w:cs="宋体"/>
          <w:color w:val="auto"/>
          <w:highlight w:val="none"/>
        </w:rPr>
        <w:t>财政部、司法部关于政府采购支持监狱企业发展有关问题的通知</w:t>
      </w:r>
      <w:r>
        <w:rPr>
          <w:rFonts w:ascii="宋体" w:hAnsi="宋体" w:cs="宋体"/>
          <w:color w:val="auto"/>
          <w:highlight w:val="none"/>
        </w:rPr>
        <w:t>&gt;</w:t>
      </w:r>
      <w:r>
        <w:rPr>
          <w:rFonts w:hint="eastAsia" w:ascii="宋体" w:hAnsi="宋体" w:cs="宋体"/>
          <w:color w:val="auto"/>
          <w:highlight w:val="none"/>
        </w:rPr>
        <w:t>（财库〔</w:t>
      </w:r>
      <w:r>
        <w:rPr>
          <w:rFonts w:ascii="宋体" w:hAnsi="宋体" w:cs="宋体"/>
          <w:color w:val="auto"/>
          <w:highlight w:val="none"/>
        </w:rPr>
        <w:t>2014</w:t>
      </w:r>
      <w:r>
        <w:rPr>
          <w:rFonts w:hint="eastAsia" w:ascii="宋体" w:hAnsi="宋体" w:cs="宋体"/>
          <w:color w:val="auto"/>
          <w:highlight w:val="none"/>
        </w:rPr>
        <w:t>〕</w:t>
      </w:r>
      <w:r>
        <w:rPr>
          <w:rFonts w:ascii="宋体" w:hAnsi="宋体" w:cs="宋体"/>
          <w:color w:val="auto"/>
          <w:highlight w:val="none"/>
        </w:rPr>
        <w:t>68</w:t>
      </w:r>
      <w:r>
        <w:rPr>
          <w:rFonts w:hint="eastAsia" w:ascii="宋体" w:hAnsi="宋体" w:cs="宋体"/>
          <w:color w:val="auto"/>
          <w:highlight w:val="none"/>
        </w:rPr>
        <w:t>号）之规定，监狱企业应当符合以下条件：</w:t>
      </w:r>
    </w:p>
    <w:p>
      <w:pPr>
        <w:autoSpaceDE w:val="0"/>
        <w:autoSpaceDN w:val="0"/>
        <w:adjustRightInd w:val="0"/>
        <w:spacing w:line="440" w:lineRule="exact"/>
        <w:ind w:left="15" w:leftChars="7" w:firstLine="420" w:firstLineChars="200"/>
        <w:jc w:val="left"/>
        <w:rPr>
          <w:rFonts w:ascii="宋体" w:cs="宋体"/>
          <w:color w:val="auto"/>
          <w:highlight w:val="none"/>
        </w:rPr>
      </w:pPr>
      <w:r>
        <w:rPr>
          <w:rFonts w:ascii="宋体" w:hAnsi="宋体" w:cs="宋体"/>
          <w:color w:val="auto"/>
          <w:highlight w:val="none"/>
        </w:rPr>
        <w:t>11.1.2.1</w:t>
      </w:r>
      <w:r>
        <w:rPr>
          <w:rFonts w:hint="eastAsia" w:ascii="宋体" w:hAnsi="宋体" w:cs="宋体"/>
          <w:color w:val="auto"/>
          <w:highlight w:val="none"/>
        </w:rPr>
        <w:t>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autoSpaceDE w:val="0"/>
        <w:autoSpaceDN w:val="0"/>
        <w:adjustRightInd w:val="0"/>
        <w:spacing w:line="440" w:lineRule="exact"/>
        <w:ind w:left="15" w:leftChars="7" w:firstLine="420" w:firstLineChars="200"/>
        <w:jc w:val="left"/>
        <w:rPr>
          <w:rFonts w:ascii="宋体" w:cs="宋体"/>
          <w:color w:val="auto"/>
          <w:highlight w:val="none"/>
        </w:rPr>
      </w:pPr>
      <w:r>
        <w:rPr>
          <w:rFonts w:ascii="宋体" w:hAnsi="宋体" w:cs="宋体"/>
          <w:color w:val="auto"/>
          <w:highlight w:val="none"/>
        </w:rPr>
        <w:t>11.1.2.2</w:t>
      </w:r>
      <w:r>
        <w:rPr>
          <w:rFonts w:hint="eastAsia" w:ascii="宋体" w:hAnsi="宋体" w:cs="宋体"/>
          <w:color w:val="auto"/>
          <w:highlight w:val="none"/>
        </w:rPr>
        <w:t>监狱企业参加政府采购活动时，视同小型、微型企业，应当提供由省级以上监狱管理局、戒毒管理局（含新疆生产建设兵团）出具的属于监狱企业的证明文件。</w:t>
      </w:r>
    </w:p>
    <w:p>
      <w:pPr>
        <w:autoSpaceDE w:val="0"/>
        <w:autoSpaceDN w:val="0"/>
        <w:adjustRightInd w:val="0"/>
        <w:spacing w:line="440" w:lineRule="exact"/>
        <w:ind w:left="15" w:leftChars="7" w:firstLine="420" w:firstLineChars="200"/>
        <w:jc w:val="left"/>
        <w:rPr>
          <w:rFonts w:ascii="宋体" w:cs="宋体"/>
          <w:color w:val="auto"/>
          <w:highlight w:val="none"/>
        </w:rPr>
      </w:pPr>
      <w:r>
        <w:rPr>
          <w:rFonts w:ascii="宋体" w:hAnsi="宋体" w:cs="宋体"/>
          <w:color w:val="auto"/>
          <w:highlight w:val="none"/>
        </w:rPr>
        <w:t>11.</w:t>
      </w:r>
      <w:r>
        <w:rPr>
          <w:rFonts w:hint="eastAsia" w:ascii="宋体" w:hAnsi="宋体" w:cs="宋体"/>
          <w:color w:val="auto"/>
          <w:highlight w:val="none"/>
        </w:rPr>
        <w:t>2、其它未尽事宜，按国家有关法律、法规执行。</w:t>
      </w:r>
    </w:p>
    <w:p>
      <w:pPr>
        <w:spacing w:line="440" w:lineRule="exact"/>
        <w:ind w:firstLine="420" w:firstLineChars="200"/>
        <w:jc w:val="center"/>
        <w:outlineLvl w:val="0"/>
        <w:rPr>
          <w:rFonts w:ascii="宋体" w:hAnsi="宋体" w:eastAsia="宋体"/>
          <w:b/>
          <w:color w:val="auto"/>
          <w:sz w:val="24"/>
          <w:szCs w:val="24"/>
          <w:highlight w:val="none"/>
        </w:rPr>
      </w:pPr>
      <w:r>
        <w:rPr>
          <w:rFonts w:ascii="宋体" w:cs="宋体"/>
          <w:color w:val="auto"/>
          <w:highlight w:val="none"/>
        </w:rPr>
        <w:br w:type="page"/>
      </w:r>
      <w:r>
        <w:rPr>
          <w:rFonts w:ascii="宋体" w:hAnsi="宋体" w:cs="宋体"/>
          <w:color w:val="auto"/>
          <w:highlight w:val="none"/>
        </w:rPr>
        <w:t xml:space="preserve"> </w:t>
      </w:r>
      <w:bookmarkEnd w:id="12"/>
      <w:bookmarkStart w:id="43" w:name="_Toc16955"/>
      <w:bookmarkStart w:id="44" w:name="_Toc5632"/>
      <w:bookmarkStart w:id="45" w:name="_Toc19848"/>
      <w:r>
        <w:rPr>
          <w:rFonts w:hint="eastAsia" w:ascii="宋体" w:hAnsi="宋体" w:eastAsia="宋体"/>
          <w:b/>
          <w:color w:val="auto"/>
          <w:sz w:val="28"/>
          <w:szCs w:val="28"/>
          <w:highlight w:val="none"/>
        </w:rPr>
        <w:t>第三章  评标标准和评标方法</w:t>
      </w:r>
      <w:bookmarkEnd w:id="43"/>
      <w:bookmarkEnd w:id="44"/>
      <w:bookmarkEnd w:id="45"/>
    </w:p>
    <w:p>
      <w:pPr>
        <w:spacing w:line="300" w:lineRule="exact"/>
        <w:ind w:firstLine="422" w:firstLineChars="200"/>
        <w:rPr>
          <w:rFonts w:ascii="宋体" w:hAnsi="宋体" w:cs="宋体"/>
          <w:b/>
          <w:color w:val="auto"/>
          <w:szCs w:val="21"/>
          <w:highlight w:val="none"/>
        </w:rPr>
      </w:pPr>
      <w:bookmarkStart w:id="46" w:name="_Toc388541206"/>
      <w:bookmarkStart w:id="47" w:name="_Toc421284751"/>
      <w:bookmarkStart w:id="48" w:name="_Toc7610"/>
      <w:bookmarkStart w:id="49" w:name="_Toc21327"/>
      <w:bookmarkStart w:id="50" w:name="_Toc27148130"/>
      <w:bookmarkStart w:id="51" w:name="_Toc6110"/>
      <w:bookmarkStart w:id="52" w:name="_Toc8539"/>
      <w:r>
        <w:rPr>
          <w:rFonts w:hint="eastAsia" w:ascii="宋体" w:hAnsi="宋体" w:cs="宋体"/>
          <w:b/>
          <w:color w:val="auto"/>
          <w:szCs w:val="21"/>
          <w:highlight w:val="none"/>
        </w:rPr>
        <w:t>1.评标准则和评标方法</w:t>
      </w:r>
      <w:bookmarkEnd w:id="46"/>
      <w:bookmarkEnd w:id="47"/>
      <w:bookmarkEnd w:id="48"/>
      <w:bookmarkEnd w:id="49"/>
      <w:bookmarkEnd w:id="50"/>
      <w:bookmarkEnd w:id="51"/>
      <w:bookmarkEnd w:id="52"/>
    </w:p>
    <w:p>
      <w:pPr>
        <w:spacing w:line="3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1.1评标过程将遵循“公平、公正、科学、择优”的原则进行。</w:t>
      </w:r>
    </w:p>
    <w:p>
      <w:pPr>
        <w:spacing w:line="300" w:lineRule="exact"/>
        <w:ind w:firstLine="420" w:firstLineChars="200"/>
        <w:rPr>
          <w:rFonts w:ascii="宋体" w:hAnsi="宋体" w:cs="宋体"/>
          <w:color w:val="auto"/>
          <w:szCs w:val="21"/>
          <w:highlight w:val="none"/>
        </w:rPr>
      </w:pPr>
      <w:bookmarkStart w:id="53" w:name="_Toc27273"/>
      <w:bookmarkStart w:id="54" w:name="_Toc371423272"/>
      <w:bookmarkStart w:id="55" w:name="_Toc9035"/>
      <w:bookmarkStart w:id="56" w:name="_Toc371425843"/>
      <w:bookmarkStart w:id="57" w:name="_Toc4231"/>
      <w:r>
        <w:rPr>
          <w:rFonts w:hint="eastAsia" w:ascii="宋体" w:hAnsi="宋体" w:cs="宋体"/>
          <w:color w:val="auto"/>
          <w:szCs w:val="21"/>
          <w:highlight w:val="none"/>
        </w:rPr>
        <w:t>1.2评标将严格按照招标文件的要求和条件进行。对所有供应商的投标评定都采用相同的程序和标准。</w:t>
      </w:r>
    </w:p>
    <w:p>
      <w:pPr>
        <w:spacing w:line="30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1.3反对不正当竞争，投标人不得串通投标，如有违反者按《中华人民共和国政府采购法》有关规定处理。</w:t>
      </w:r>
    </w:p>
    <w:p>
      <w:pPr>
        <w:spacing w:line="300" w:lineRule="exact"/>
        <w:ind w:firstLine="422" w:firstLineChars="200"/>
        <w:rPr>
          <w:rFonts w:ascii="宋体" w:hAnsi="宋体" w:cs="宋体"/>
          <w:b/>
          <w:color w:val="auto"/>
          <w:szCs w:val="21"/>
          <w:highlight w:val="none"/>
        </w:rPr>
      </w:pPr>
      <w:bookmarkStart w:id="58" w:name="_Toc380581853"/>
      <w:bookmarkStart w:id="59" w:name="_Toc388541207"/>
      <w:bookmarkStart w:id="60" w:name="_Toc27148131"/>
      <w:bookmarkStart w:id="61" w:name="_Toc12985"/>
      <w:bookmarkStart w:id="62" w:name="_Toc421284752"/>
      <w:bookmarkStart w:id="63" w:name="_Toc14776"/>
      <w:bookmarkStart w:id="64" w:name="_Toc9507"/>
      <w:bookmarkStart w:id="65" w:name="_Toc21051"/>
      <w:r>
        <w:rPr>
          <w:rFonts w:hint="eastAsia" w:ascii="宋体" w:hAnsi="宋体" w:cs="宋体"/>
          <w:b/>
          <w:color w:val="auto"/>
          <w:szCs w:val="21"/>
          <w:highlight w:val="none"/>
        </w:rPr>
        <w:t>2.评审标准</w:t>
      </w:r>
      <w:bookmarkEnd w:id="53"/>
      <w:bookmarkEnd w:id="54"/>
      <w:bookmarkEnd w:id="55"/>
      <w:bookmarkEnd w:id="56"/>
      <w:bookmarkEnd w:id="57"/>
      <w:bookmarkEnd w:id="58"/>
      <w:bookmarkEnd w:id="59"/>
      <w:bookmarkEnd w:id="60"/>
      <w:bookmarkEnd w:id="61"/>
      <w:bookmarkEnd w:id="62"/>
      <w:bookmarkEnd w:id="63"/>
      <w:bookmarkEnd w:id="64"/>
      <w:bookmarkEnd w:id="65"/>
    </w:p>
    <w:p>
      <w:pPr>
        <w:spacing w:line="300" w:lineRule="exact"/>
        <w:ind w:firstLine="420" w:firstLineChars="200"/>
        <w:rPr>
          <w:rFonts w:ascii="宋体" w:hAnsi="宋体" w:cs="宋体"/>
          <w:color w:val="auto"/>
          <w:szCs w:val="21"/>
          <w:highlight w:val="none"/>
        </w:rPr>
      </w:pPr>
      <w:bookmarkStart w:id="66" w:name="_Toc23807"/>
      <w:bookmarkStart w:id="67" w:name="_Toc421284753"/>
      <w:bookmarkStart w:id="68" w:name="_Toc1062"/>
      <w:r>
        <w:rPr>
          <w:rFonts w:hint="eastAsia" w:ascii="宋体" w:hAnsi="宋体" w:cs="宋体"/>
          <w:color w:val="auto"/>
          <w:szCs w:val="21"/>
          <w:highlight w:val="none"/>
        </w:rPr>
        <w:t>2.1 初步评审标准</w:t>
      </w:r>
      <w:bookmarkEnd w:id="66"/>
      <w:bookmarkEnd w:id="67"/>
      <w:bookmarkEnd w:id="68"/>
    </w:p>
    <w:p>
      <w:pPr>
        <w:rPr>
          <w:rFonts w:ascii="宋体" w:hAnsi="宋体" w:cs="宋体"/>
          <w:color w:val="auto"/>
          <w:szCs w:val="21"/>
          <w:highlight w:val="none"/>
        </w:rPr>
      </w:pPr>
    </w:p>
    <w:tbl>
      <w:tblPr>
        <w:tblStyle w:val="25"/>
        <w:tblW w:w="101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5"/>
        <w:gridCol w:w="645"/>
        <w:gridCol w:w="3125"/>
        <w:gridCol w:w="5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exact"/>
          <w:jc w:val="center"/>
        </w:trPr>
        <w:tc>
          <w:tcPr>
            <w:tcW w:w="805" w:type="dxa"/>
            <w:vAlign w:val="center"/>
          </w:tcPr>
          <w:p>
            <w:pPr>
              <w:jc w:val="center"/>
              <w:textAlignment w:val="baseline"/>
              <w:rPr>
                <w:rFonts w:ascii="宋体" w:hAnsi="宋体" w:cs="宋体"/>
                <w:b/>
                <w:color w:val="auto"/>
                <w:sz w:val="20"/>
                <w:szCs w:val="21"/>
                <w:highlight w:val="none"/>
              </w:rPr>
            </w:pPr>
            <w:r>
              <w:rPr>
                <w:rFonts w:hint="eastAsia" w:ascii="宋体" w:hAnsi="宋体" w:cs="宋体"/>
                <w:b/>
                <w:color w:val="auto"/>
                <w:szCs w:val="21"/>
                <w:highlight w:val="none"/>
              </w:rPr>
              <w:t>审查</w:t>
            </w:r>
          </w:p>
          <w:p>
            <w:pPr>
              <w:jc w:val="center"/>
              <w:textAlignment w:val="baseline"/>
              <w:rPr>
                <w:rFonts w:ascii="宋体" w:hAnsi="宋体" w:cs="宋体"/>
                <w:b/>
                <w:color w:val="auto"/>
                <w:sz w:val="20"/>
                <w:szCs w:val="21"/>
                <w:highlight w:val="none"/>
              </w:rPr>
            </w:pPr>
            <w:r>
              <w:rPr>
                <w:rFonts w:hint="eastAsia" w:ascii="宋体" w:hAnsi="宋体" w:cs="宋体"/>
                <w:b/>
                <w:color w:val="auto"/>
                <w:szCs w:val="21"/>
                <w:highlight w:val="none"/>
              </w:rPr>
              <w:t>主体</w:t>
            </w:r>
          </w:p>
        </w:tc>
        <w:tc>
          <w:tcPr>
            <w:tcW w:w="3770" w:type="dxa"/>
            <w:gridSpan w:val="2"/>
            <w:vAlign w:val="center"/>
          </w:tcPr>
          <w:p>
            <w:pPr>
              <w:spacing w:line="440" w:lineRule="exact"/>
              <w:ind w:firstLine="422" w:firstLineChars="200"/>
              <w:jc w:val="center"/>
              <w:textAlignment w:val="baseline"/>
              <w:rPr>
                <w:rFonts w:ascii="宋体" w:hAnsi="宋体" w:cs="宋体"/>
                <w:b/>
                <w:color w:val="auto"/>
                <w:sz w:val="20"/>
                <w:szCs w:val="21"/>
                <w:highlight w:val="none"/>
              </w:rPr>
            </w:pPr>
            <w:r>
              <w:rPr>
                <w:rFonts w:hint="eastAsia" w:ascii="宋体" w:hAnsi="宋体" w:cs="宋体"/>
                <w:b/>
                <w:color w:val="auto"/>
                <w:szCs w:val="21"/>
                <w:highlight w:val="none"/>
              </w:rPr>
              <w:t>评审因素</w:t>
            </w:r>
          </w:p>
        </w:tc>
        <w:tc>
          <w:tcPr>
            <w:tcW w:w="5578" w:type="dxa"/>
            <w:vAlign w:val="center"/>
          </w:tcPr>
          <w:p>
            <w:pPr>
              <w:spacing w:line="440" w:lineRule="exact"/>
              <w:ind w:firstLine="422" w:firstLineChars="200"/>
              <w:jc w:val="center"/>
              <w:textAlignment w:val="baseline"/>
              <w:rPr>
                <w:rFonts w:ascii="宋体" w:hAnsi="宋体" w:cs="宋体"/>
                <w:b/>
                <w:color w:val="auto"/>
                <w:sz w:val="20"/>
                <w:szCs w:val="21"/>
                <w:highlight w:val="none"/>
              </w:rPr>
            </w:pPr>
            <w:r>
              <w:rPr>
                <w:rFonts w:hint="eastAsia" w:ascii="宋体" w:hAnsi="宋体" w:cs="宋体"/>
                <w:b/>
                <w:color w:val="auto"/>
                <w:szCs w:val="21"/>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5" w:type="dxa"/>
            <w:vMerge w:val="restart"/>
            <w:vAlign w:val="center"/>
          </w:tcPr>
          <w:p>
            <w:pPr>
              <w:spacing w:line="440" w:lineRule="exact"/>
              <w:jc w:val="center"/>
              <w:textAlignment w:val="baseline"/>
              <w:rPr>
                <w:color w:val="auto"/>
                <w:szCs w:val="21"/>
                <w:highlight w:val="none"/>
              </w:rPr>
            </w:pPr>
            <w:r>
              <w:rPr>
                <w:rFonts w:hint="eastAsia"/>
                <w:color w:val="auto"/>
                <w:szCs w:val="21"/>
                <w:highlight w:val="none"/>
              </w:rPr>
              <w:t>资格审查小组</w:t>
            </w:r>
          </w:p>
        </w:tc>
        <w:tc>
          <w:tcPr>
            <w:tcW w:w="645" w:type="dxa"/>
            <w:vMerge w:val="restart"/>
            <w:vAlign w:val="center"/>
          </w:tcPr>
          <w:p>
            <w:pPr>
              <w:spacing w:line="440" w:lineRule="exact"/>
              <w:jc w:val="center"/>
              <w:textAlignment w:val="baseline"/>
              <w:rPr>
                <w:color w:val="auto"/>
                <w:szCs w:val="21"/>
                <w:highlight w:val="none"/>
              </w:rPr>
            </w:pPr>
            <w:r>
              <w:rPr>
                <w:rFonts w:hint="eastAsia"/>
                <w:color w:val="auto"/>
                <w:szCs w:val="21"/>
                <w:highlight w:val="none"/>
              </w:rPr>
              <w:t>资格评审标准</w:t>
            </w:r>
          </w:p>
          <w:p>
            <w:pPr>
              <w:spacing w:line="440" w:lineRule="exact"/>
              <w:ind w:firstLine="420" w:firstLineChars="200"/>
              <w:textAlignment w:val="baseline"/>
              <w:rPr>
                <w:color w:val="auto"/>
                <w:szCs w:val="21"/>
                <w:highlight w:val="none"/>
              </w:rPr>
            </w:pPr>
          </w:p>
        </w:tc>
        <w:tc>
          <w:tcPr>
            <w:tcW w:w="3125" w:type="dxa"/>
            <w:vAlign w:val="center"/>
          </w:tcPr>
          <w:p>
            <w:pPr>
              <w:spacing w:line="320" w:lineRule="exact"/>
              <w:textAlignment w:val="baseline"/>
              <w:rPr>
                <w:rFonts w:hint="eastAsia" w:cs="Times New Roman"/>
                <w:color w:val="auto"/>
                <w:szCs w:val="21"/>
                <w:highlight w:val="none"/>
              </w:rPr>
            </w:pPr>
            <w:r>
              <w:rPr>
                <w:rFonts w:hint="eastAsia" w:cs="Times New Roman"/>
                <w:color w:val="auto"/>
                <w:szCs w:val="21"/>
                <w:highlight w:val="none"/>
                <w:lang w:val="en-US" w:eastAsia="zh-CN"/>
              </w:rPr>
              <w:t>供应商资格信用承诺函</w:t>
            </w:r>
          </w:p>
        </w:tc>
        <w:tc>
          <w:tcPr>
            <w:tcW w:w="5578" w:type="dxa"/>
            <w:vAlign w:val="center"/>
          </w:tcPr>
          <w:p>
            <w:pPr>
              <w:spacing w:line="320" w:lineRule="exact"/>
              <w:textAlignment w:val="baseline"/>
              <w:rPr>
                <w:rFonts w:hint="eastAsia" w:cs="Times New Roman"/>
                <w:color w:val="auto"/>
                <w:szCs w:val="21"/>
                <w:highlight w:val="none"/>
                <w:lang w:eastAsia="zh-CN"/>
              </w:rPr>
            </w:pPr>
            <w:r>
              <w:rPr>
                <w:rFonts w:hint="eastAsia" w:cs="Times New Roman"/>
                <w:color w:val="auto"/>
                <w:szCs w:val="21"/>
                <w:highlight w:val="none"/>
                <w:lang w:val="en-US" w:eastAsia="zh-CN"/>
              </w:rPr>
              <w:t>符合“温县政府采购供应商资格信用承诺函”格式要求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5" w:type="dxa"/>
            <w:vMerge w:val="continue"/>
            <w:vAlign w:val="center"/>
          </w:tcPr>
          <w:p>
            <w:pPr>
              <w:spacing w:line="440" w:lineRule="exact"/>
              <w:ind w:firstLine="420" w:firstLineChars="200"/>
              <w:textAlignment w:val="baseline"/>
              <w:rPr>
                <w:color w:val="auto"/>
                <w:szCs w:val="21"/>
                <w:highlight w:val="none"/>
              </w:rPr>
            </w:pPr>
          </w:p>
        </w:tc>
        <w:tc>
          <w:tcPr>
            <w:tcW w:w="645" w:type="dxa"/>
            <w:vMerge w:val="continue"/>
            <w:vAlign w:val="center"/>
          </w:tcPr>
          <w:p>
            <w:pPr>
              <w:spacing w:line="440" w:lineRule="exact"/>
              <w:ind w:firstLine="420" w:firstLineChars="200"/>
              <w:textAlignment w:val="baseline"/>
              <w:rPr>
                <w:color w:val="auto"/>
                <w:szCs w:val="21"/>
                <w:highlight w:val="none"/>
              </w:rPr>
            </w:pPr>
          </w:p>
        </w:tc>
        <w:tc>
          <w:tcPr>
            <w:tcW w:w="3125" w:type="dxa"/>
            <w:vAlign w:val="center"/>
          </w:tcPr>
          <w:p>
            <w:pPr>
              <w:spacing w:line="320" w:lineRule="exact"/>
              <w:textAlignment w:val="baseline"/>
              <w:rPr>
                <w:color w:val="auto"/>
                <w:szCs w:val="21"/>
                <w:highlight w:val="none"/>
              </w:rPr>
            </w:pPr>
            <w:r>
              <w:rPr>
                <w:rFonts w:hint="eastAsia"/>
                <w:color w:val="auto"/>
                <w:szCs w:val="21"/>
                <w:highlight w:val="none"/>
              </w:rPr>
              <w:t>法定代表人身份证明或授权委托书及被授权人本人身份证</w:t>
            </w:r>
          </w:p>
        </w:tc>
        <w:tc>
          <w:tcPr>
            <w:tcW w:w="5578" w:type="dxa"/>
            <w:vAlign w:val="center"/>
          </w:tcPr>
          <w:p>
            <w:pPr>
              <w:spacing w:line="320" w:lineRule="exact"/>
              <w:textAlignment w:val="baseline"/>
              <w:rPr>
                <w:color w:val="auto"/>
                <w:szCs w:val="21"/>
                <w:highlight w:val="none"/>
              </w:rPr>
            </w:pPr>
            <w:r>
              <w:rPr>
                <w:rFonts w:hint="eastAsia"/>
                <w:color w:val="auto"/>
                <w:szCs w:val="21"/>
                <w:highlight w:val="none"/>
              </w:rPr>
              <w:t>法定代表人身份证明或授权委托书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805" w:type="dxa"/>
            <w:vMerge w:val="continue"/>
            <w:vAlign w:val="center"/>
          </w:tcPr>
          <w:p>
            <w:pPr>
              <w:spacing w:line="440" w:lineRule="exact"/>
              <w:ind w:firstLine="420" w:firstLineChars="200"/>
              <w:textAlignment w:val="baseline"/>
              <w:rPr>
                <w:color w:val="auto"/>
                <w:szCs w:val="21"/>
                <w:highlight w:val="none"/>
              </w:rPr>
            </w:pPr>
          </w:p>
        </w:tc>
        <w:tc>
          <w:tcPr>
            <w:tcW w:w="645" w:type="dxa"/>
            <w:vMerge w:val="continue"/>
            <w:vAlign w:val="center"/>
          </w:tcPr>
          <w:p>
            <w:pPr>
              <w:spacing w:line="440" w:lineRule="exact"/>
              <w:ind w:firstLine="420" w:firstLineChars="200"/>
              <w:textAlignment w:val="baseline"/>
              <w:rPr>
                <w:color w:val="auto"/>
                <w:szCs w:val="21"/>
                <w:highlight w:val="none"/>
              </w:rPr>
            </w:pPr>
          </w:p>
        </w:tc>
        <w:tc>
          <w:tcPr>
            <w:tcW w:w="3125" w:type="dxa"/>
            <w:vAlign w:val="center"/>
          </w:tcPr>
          <w:p>
            <w:pPr>
              <w:spacing w:line="320" w:lineRule="exact"/>
              <w:textAlignment w:val="baseline"/>
              <w:rPr>
                <w:color w:val="auto"/>
                <w:szCs w:val="21"/>
                <w:highlight w:val="none"/>
              </w:rPr>
            </w:pPr>
            <w:r>
              <w:rPr>
                <w:rFonts w:hint="eastAsia"/>
                <w:color w:val="auto"/>
                <w:szCs w:val="21"/>
                <w:highlight w:val="none"/>
              </w:rPr>
              <w:t>无行贿犯罪记录</w:t>
            </w:r>
          </w:p>
        </w:tc>
        <w:tc>
          <w:tcPr>
            <w:tcW w:w="5578" w:type="dxa"/>
            <w:vAlign w:val="center"/>
          </w:tcPr>
          <w:p>
            <w:pPr>
              <w:spacing w:line="320" w:lineRule="exact"/>
              <w:textAlignment w:val="baseline"/>
              <w:rPr>
                <w:rFonts w:hint="eastAsia" w:cs="Times New Roman"/>
                <w:color w:val="auto"/>
                <w:szCs w:val="21"/>
                <w:highlight w:val="none"/>
              </w:rPr>
            </w:pPr>
            <w:r>
              <w:rPr>
                <w:rFonts w:hint="eastAsia" w:cs="Times New Roman"/>
                <w:color w:val="auto"/>
                <w:szCs w:val="21"/>
                <w:highlight w:val="none"/>
                <w:lang w:val="en-US" w:eastAsia="zh-CN"/>
              </w:rPr>
              <w:t>符合第二章供应商须知前附表1.3.4 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jc w:val="center"/>
        </w:trPr>
        <w:tc>
          <w:tcPr>
            <w:tcW w:w="805" w:type="dxa"/>
            <w:vMerge w:val="continue"/>
            <w:vAlign w:val="center"/>
          </w:tcPr>
          <w:p>
            <w:pPr>
              <w:spacing w:line="440" w:lineRule="exact"/>
              <w:ind w:firstLine="420" w:firstLineChars="200"/>
              <w:textAlignment w:val="baseline"/>
              <w:rPr>
                <w:color w:val="auto"/>
                <w:szCs w:val="21"/>
                <w:highlight w:val="none"/>
              </w:rPr>
            </w:pPr>
          </w:p>
        </w:tc>
        <w:tc>
          <w:tcPr>
            <w:tcW w:w="645" w:type="dxa"/>
            <w:vMerge w:val="continue"/>
            <w:vAlign w:val="center"/>
          </w:tcPr>
          <w:p>
            <w:pPr>
              <w:spacing w:line="440" w:lineRule="exact"/>
              <w:ind w:firstLine="420" w:firstLineChars="200"/>
              <w:textAlignment w:val="baseline"/>
              <w:rPr>
                <w:color w:val="auto"/>
                <w:szCs w:val="21"/>
                <w:highlight w:val="none"/>
              </w:rPr>
            </w:pPr>
          </w:p>
        </w:tc>
        <w:tc>
          <w:tcPr>
            <w:tcW w:w="3125" w:type="dxa"/>
            <w:vAlign w:val="center"/>
          </w:tcPr>
          <w:p>
            <w:pPr>
              <w:spacing w:line="320" w:lineRule="exact"/>
              <w:jc w:val="left"/>
              <w:textAlignment w:val="baseline"/>
              <w:rPr>
                <w:color w:val="auto"/>
                <w:szCs w:val="21"/>
                <w:highlight w:val="none"/>
              </w:rPr>
            </w:pPr>
            <w:r>
              <w:rPr>
                <w:rFonts w:hint="eastAsia"/>
                <w:color w:val="auto"/>
                <w:szCs w:val="21"/>
                <w:highlight w:val="none"/>
              </w:rPr>
              <w:t>信誉要求</w:t>
            </w:r>
          </w:p>
        </w:tc>
        <w:tc>
          <w:tcPr>
            <w:tcW w:w="5578" w:type="dxa"/>
            <w:vAlign w:val="center"/>
          </w:tcPr>
          <w:p>
            <w:pPr>
              <w:spacing w:line="320" w:lineRule="exact"/>
              <w:textAlignment w:val="baseline"/>
              <w:rPr>
                <w:rFonts w:hint="eastAsia" w:cs="Times New Roman"/>
                <w:color w:val="auto"/>
                <w:szCs w:val="21"/>
                <w:highlight w:val="none"/>
              </w:rPr>
            </w:pPr>
            <w:r>
              <w:rPr>
                <w:rFonts w:hint="eastAsia" w:cs="Times New Roman"/>
                <w:color w:val="auto"/>
                <w:szCs w:val="21"/>
                <w:highlight w:val="none"/>
                <w:lang w:val="en-US" w:eastAsia="zh-CN"/>
              </w:rPr>
              <w:t>符合第二章供应商须知前附表1.3.4 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jc w:val="center"/>
        </w:trPr>
        <w:tc>
          <w:tcPr>
            <w:tcW w:w="805" w:type="dxa"/>
            <w:vMerge w:val="restart"/>
            <w:vAlign w:val="center"/>
          </w:tcPr>
          <w:p>
            <w:pPr>
              <w:spacing w:line="440" w:lineRule="exact"/>
              <w:jc w:val="center"/>
              <w:textAlignment w:val="baseline"/>
              <w:rPr>
                <w:color w:val="auto"/>
                <w:szCs w:val="21"/>
                <w:highlight w:val="none"/>
              </w:rPr>
            </w:pPr>
            <w:r>
              <w:rPr>
                <w:rFonts w:hint="eastAsia" w:cs="Times New Roman"/>
                <w:color w:val="auto"/>
                <w:szCs w:val="21"/>
                <w:highlight w:val="none"/>
              </w:rPr>
              <w:t>评标委员会</w:t>
            </w:r>
          </w:p>
        </w:tc>
        <w:tc>
          <w:tcPr>
            <w:tcW w:w="645" w:type="dxa"/>
            <w:vMerge w:val="restart"/>
            <w:vAlign w:val="center"/>
          </w:tcPr>
          <w:p>
            <w:pPr>
              <w:spacing w:line="440" w:lineRule="exact"/>
              <w:jc w:val="center"/>
              <w:textAlignment w:val="baseline"/>
              <w:rPr>
                <w:color w:val="auto"/>
                <w:szCs w:val="21"/>
                <w:highlight w:val="none"/>
              </w:rPr>
            </w:pPr>
            <w:r>
              <w:rPr>
                <w:rFonts w:hint="eastAsia"/>
                <w:color w:val="auto"/>
                <w:szCs w:val="21"/>
                <w:highlight w:val="none"/>
              </w:rPr>
              <w:t>符合性评审标准</w:t>
            </w:r>
          </w:p>
          <w:p>
            <w:pPr>
              <w:spacing w:line="440" w:lineRule="exact"/>
              <w:ind w:firstLine="420" w:firstLineChars="200"/>
              <w:textAlignment w:val="baseline"/>
              <w:rPr>
                <w:color w:val="auto"/>
                <w:szCs w:val="21"/>
                <w:highlight w:val="none"/>
              </w:rPr>
            </w:pPr>
          </w:p>
        </w:tc>
        <w:tc>
          <w:tcPr>
            <w:tcW w:w="3125" w:type="dxa"/>
            <w:vAlign w:val="center"/>
          </w:tcPr>
          <w:p>
            <w:pPr>
              <w:spacing w:line="320" w:lineRule="exact"/>
              <w:jc w:val="left"/>
              <w:textAlignment w:val="baseline"/>
              <w:rPr>
                <w:color w:val="auto"/>
                <w:szCs w:val="21"/>
                <w:highlight w:val="none"/>
              </w:rPr>
            </w:pPr>
            <w:r>
              <w:rPr>
                <w:rFonts w:hint="eastAsia"/>
                <w:color w:val="auto"/>
                <w:szCs w:val="21"/>
                <w:highlight w:val="none"/>
              </w:rPr>
              <w:t>投标函签字盖章</w:t>
            </w:r>
          </w:p>
        </w:tc>
        <w:tc>
          <w:tcPr>
            <w:tcW w:w="5578" w:type="dxa"/>
            <w:vAlign w:val="center"/>
          </w:tcPr>
          <w:p>
            <w:pPr>
              <w:spacing w:line="320" w:lineRule="exact"/>
              <w:jc w:val="left"/>
              <w:textAlignment w:val="baseline"/>
              <w:rPr>
                <w:color w:val="auto"/>
                <w:szCs w:val="21"/>
                <w:highlight w:val="none"/>
              </w:rPr>
            </w:pPr>
            <w:r>
              <w:rPr>
                <w:rFonts w:hint="eastAsia"/>
                <w:color w:val="auto"/>
                <w:szCs w:val="21"/>
                <w:highlight w:val="none"/>
              </w:rPr>
              <w:t>由法定代表人（负责人）或委托代理人签字并加盖单位公章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805" w:type="dxa"/>
            <w:vMerge w:val="continue"/>
            <w:vAlign w:val="center"/>
          </w:tcPr>
          <w:p>
            <w:pPr>
              <w:spacing w:line="440" w:lineRule="exact"/>
              <w:jc w:val="center"/>
              <w:textAlignment w:val="baseline"/>
              <w:rPr>
                <w:color w:val="auto"/>
                <w:szCs w:val="21"/>
                <w:highlight w:val="none"/>
              </w:rPr>
            </w:pPr>
          </w:p>
        </w:tc>
        <w:tc>
          <w:tcPr>
            <w:tcW w:w="645" w:type="dxa"/>
            <w:vMerge w:val="continue"/>
            <w:vAlign w:val="center"/>
          </w:tcPr>
          <w:p>
            <w:pPr>
              <w:spacing w:line="440" w:lineRule="exact"/>
              <w:jc w:val="center"/>
              <w:textAlignment w:val="baseline"/>
              <w:rPr>
                <w:color w:val="auto"/>
                <w:szCs w:val="21"/>
                <w:highlight w:val="none"/>
              </w:rPr>
            </w:pPr>
          </w:p>
        </w:tc>
        <w:tc>
          <w:tcPr>
            <w:tcW w:w="3125" w:type="dxa"/>
            <w:vAlign w:val="center"/>
          </w:tcPr>
          <w:p>
            <w:pPr>
              <w:spacing w:line="320" w:lineRule="exact"/>
              <w:jc w:val="left"/>
              <w:textAlignment w:val="baseline"/>
              <w:rPr>
                <w:color w:val="auto"/>
                <w:szCs w:val="21"/>
                <w:highlight w:val="none"/>
              </w:rPr>
            </w:pPr>
            <w:r>
              <w:rPr>
                <w:rFonts w:hint="eastAsia"/>
                <w:color w:val="auto"/>
                <w:szCs w:val="21"/>
                <w:highlight w:val="none"/>
              </w:rPr>
              <w:t>投标文件格式</w:t>
            </w:r>
          </w:p>
        </w:tc>
        <w:tc>
          <w:tcPr>
            <w:tcW w:w="5578" w:type="dxa"/>
            <w:vAlign w:val="center"/>
          </w:tcPr>
          <w:p>
            <w:pPr>
              <w:spacing w:line="320" w:lineRule="exact"/>
              <w:jc w:val="left"/>
              <w:textAlignment w:val="baseline"/>
              <w:rPr>
                <w:color w:val="auto"/>
                <w:szCs w:val="21"/>
                <w:highlight w:val="none"/>
              </w:rPr>
            </w:pPr>
            <w:r>
              <w:rPr>
                <w:rFonts w:hint="eastAsia"/>
                <w:color w:val="auto"/>
                <w:szCs w:val="21"/>
                <w:highlight w:val="none"/>
              </w:rPr>
              <w:t>符合磋商文件格式要求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805" w:type="dxa"/>
            <w:vMerge w:val="continue"/>
            <w:vAlign w:val="center"/>
          </w:tcPr>
          <w:p>
            <w:pPr>
              <w:spacing w:line="440" w:lineRule="exact"/>
              <w:jc w:val="center"/>
              <w:textAlignment w:val="baseline"/>
              <w:rPr>
                <w:color w:val="auto"/>
                <w:szCs w:val="21"/>
                <w:highlight w:val="none"/>
              </w:rPr>
            </w:pPr>
          </w:p>
        </w:tc>
        <w:tc>
          <w:tcPr>
            <w:tcW w:w="645" w:type="dxa"/>
            <w:vMerge w:val="continue"/>
            <w:vAlign w:val="center"/>
          </w:tcPr>
          <w:p>
            <w:pPr>
              <w:spacing w:line="440" w:lineRule="exact"/>
              <w:jc w:val="center"/>
              <w:textAlignment w:val="baseline"/>
              <w:rPr>
                <w:color w:val="auto"/>
                <w:szCs w:val="21"/>
                <w:highlight w:val="none"/>
              </w:rPr>
            </w:pPr>
          </w:p>
        </w:tc>
        <w:tc>
          <w:tcPr>
            <w:tcW w:w="3125" w:type="dxa"/>
            <w:vAlign w:val="center"/>
          </w:tcPr>
          <w:p>
            <w:pPr>
              <w:spacing w:line="320" w:lineRule="exact"/>
              <w:jc w:val="left"/>
              <w:textAlignment w:val="baseline"/>
              <w:rPr>
                <w:color w:val="auto"/>
                <w:szCs w:val="21"/>
                <w:highlight w:val="none"/>
              </w:rPr>
            </w:pPr>
            <w:r>
              <w:rPr>
                <w:rFonts w:hint="eastAsia"/>
                <w:color w:val="auto"/>
                <w:szCs w:val="21"/>
                <w:highlight w:val="none"/>
              </w:rPr>
              <w:t>合同履行期限</w:t>
            </w:r>
          </w:p>
        </w:tc>
        <w:tc>
          <w:tcPr>
            <w:tcW w:w="5578" w:type="dxa"/>
            <w:vAlign w:val="center"/>
          </w:tcPr>
          <w:p>
            <w:pPr>
              <w:spacing w:line="320" w:lineRule="exact"/>
              <w:jc w:val="left"/>
              <w:textAlignment w:val="baseline"/>
              <w:rPr>
                <w:color w:val="auto"/>
                <w:szCs w:val="21"/>
                <w:highlight w:val="none"/>
              </w:rPr>
            </w:pPr>
            <w:r>
              <w:rPr>
                <w:rFonts w:hint="eastAsia"/>
                <w:color w:val="auto"/>
                <w:szCs w:val="21"/>
                <w:highlight w:val="none"/>
              </w:rPr>
              <w:t>符合第二章供应商须知前附表1.3.2规定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5" w:type="dxa"/>
            <w:vMerge w:val="continue"/>
            <w:vAlign w:val="center"/>
          </w:tcPr>
          <w:p>
            <w:pPr>
              <w:spacing w:line="440" w:lineRule="exact"/>
              <w:jc w:val="center"/>
              <w:textAlignment w:val="baseline"/>
              <w:rPr>
                <w:color w:val="auto"/>
                <w:szCs w:val="21"/>
                <w:highlight w:val="none"/>
              </w:rPr>
            </w:pPr>
          </w:p>
        </w:tc>
        <w:tc>
          <w:tcPr>
            <w:tcW w:w="645" w:type="dxa"/>
            <w:vMerge w:val="continue"/>
            <w:vAlign w:val="center"/>
          </w:tcPr>
          <w:p>
            <w:pPr>
              <w:spacing w:line="440" w:lineRule="exact"/>
              <w:jc w:val="center"/>
              <w:textAlignment w:val="baseline"/>
              <w:rPr>
                <w:color w:val="auto"/>
                <w:szCs w:val="21"/>
                <w:highlight w:val="none"/>
              </w:rPr>
            </w:pPr>
          </w:p>
        </w:tc>
        <w:tc>
          <w:tcPr>
            <w:tcW w:w="3125" w:type="dxa"/>
            <w:vAlign w:val="center"/>
          </w:tcPr>
          <w:p>
            <w:pPr>
              <w:spacing w:line="320" w:lineRule="exact"/>
              <w:jc w:val="left"/>
              <w:textAlignment w:val="baseline"/>
              <w:rPr>
                <w:color w:val="auto"/>
                <w:szCs w:val="21"/>
                <w:highlight w:val="none"/>
              </w:rPr>
            </w:pPr>
            <w:r>
              <w:rPr>
                <w:rFonts w:hint="eastAsia"/>
                <w:color w:val="auto"/>
                <w:szCs w:val="21"/>
                <w:highlight w:val="none"/>
              </w:rPr>
              <w:t>质量要求</w:t>
            </w:r>
          </w:p>
        </w:tc>
        <w:tc>
          <w:tcPr>
            <w:tcW w:w="5578" w:type="dxa"/>
            <w:vAlign w:val="center"/>
          </w:tcPr>
          <w:p>
            <w:pPr>
              <w:spacing w:line="320" w:lineRule="exact"/>
              <w:jc w:val="left"/>
              <w:textAlignment w:val="baseline"/>
              <w:rPr>
                <w:color w:val="auto"/>
                <w:szCs w:val="21"/>
                <w:highlight w:val="none"/>
              </w:rPr>
            </w:pPr>
            <w:r>
              <w:rPr>
                <w:rFonts w:hint="eastAsia"/>
                <w:color w:val="auto"/>
                <w:szCs w:val="21"/>
                <w:highlight w:val="none"/>
              </w:rPr>
              <w:t>合格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5" w:type="dxa"/>
            <w:vMerge w:val="continue"/>
            <w:vAlign w:val="center"/>
          </w:tcPr>
          <w:p>
            <w:pPr>
              <w:spacing w:line="440" w:lineRule="exact"/>
              <w:jc w:val="center"/>
              <w:textAlignment w:val="baseline"/>
              <w:rPr>
                <w:color w:val="auto"/>
                <w:szCs w:val="21"/>
                <w:highlight w:val="none"/>
              </w:rPr>
            </w:pPr>
          </w:p>
        </w:tc>
        <w:tc>
          <w:tcPr>
            <w:tcW w:w="645" w:type="dxa"/>
            <w:vMerge w:val="continue"/>
            <w:vAlign w:val="center"/>
          </w:tcPr>
          <w:p>
            <w:pPr>
              <w:spacing w:line="440" w:lineRule="exact"/>
              <w:jc w:val="center"/>
              <w:textAlignment w:val="baseline"/>
              <w:rPr>
                <w:color w:val="auto"/>
                <w:szCs w:val="21"/>
                <w:highlight w:val="none"/>
              </w:rPr>
            </w:pPr>
          </w:p>
        </w:tc>
        <w:tc>
          <w:tcPr>
            <w:tcW w:w="3125" w:type="dxa"/>
            <w:vAlign w:val="center"/>
          </w:tcPr>
          <w:p>
            <w:pPr>
              <w:spacing w:line="320" w:lineRule="exact"/>
              <w:jc w:val="left"/>
              <w:textAlignment w:val="baseline"/>
              <w:rPr>
                <w:color w:val="auto"/>
                <w:szCs w:val="21"/>
                <w:highlight w:val="none"/>
              </w:rPr>
            </w:pPr>
            <w:r>
              <w:rPr>
                <w:rFonts w:hint="eastAsia"/>
                <w:color w:val="auto"/>
                <w:szCs w:val="21"/>
                <w:highlight w:val="none"/>
              </w:rPr>
              <w:t>投标报价</w:t>
            </w:r>
          </w:p>
        </w:tc>
        <w:tc>
          <w:tcPr>
            <w:tcW w:w="5578" w:type="dxa"/>
            <w:vAlign w:val="center"/>
          </w:tcPr>
          <w:p>
            <w:pPr>
              <w:spacing w:line="320" w:lineRule="exact"/>
              <w:jc w:val="left"/>
              <w:textAlignment w:val="baseline"/>
              <w:rPr>
                <w:color w:val="auto"/>
                <w:szCs w:val="21"/>
                <w:highlight w:val="none"/>
              </w:rPr>
            </w:pPr>
            <w:r>
              <w:rPr>
                <w:rFonts w:hint="eastAsia"/>
                <w:color w:val="auto"/>
                <w:szCs w:val="21"/>
                <w:highlight w:val="none"/>
              </w:rPr>
              <w:t>只能有一个有效报价，且不能超过预算价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5" w:type="dxa"/>
            <w:vMerge w:val="continue"/>
            <w:vAlign w:val="center"/>
          </w:tcPr>
          <w:p>
            <w:pPr>
              <w:spacing w:line="440" w:lineRule="exact"/>
              <w:jc w:val="center"/>
              <w:textAlignment w:val="baseline"/>
              <w:rPr>
                <w:color w:val="auto"/>
                <w:szCs w:val="21"/>
                <w:highlight w:val="none"/>
              </w:rPr>
            </w:pPr>
          </w:p>
        </w:tc>
        <w:tc>
          <w:tcPr>
            <w:tcW w:w="645" w:type="dxa"/>
            <w:vMerge w:val="continue"/>
            <w:vAlign w:val="center"/>
          </w:tcPr>
          <w:p>
            <w:pPr>
              <w:spacing w:line="440" w:lineRule="exact"/>
              <w:jc w:val="center"/>
              <w:textAlignment w:val="baseline"/>
              <w:rPr>
                <w:color w:val="auto"/>
                <w:szCs w:val="21"/>
                <w:highlight w:val="none"/>
              </w:rPr>
            </w:pPr>
          </w:p>
        </w:tc>
        <w:tc>
          <w:tcPr>
            <w:tcW w:w="3125" w:type="dxa"/>
            <w:vAlign w:val="center"/>
          </w:tcPr>
          <w:p>
            <w:pPr>
              <w:spacing w:line="320" w:lineRule="exact"/>
              <w:jc w:val="left"/>
              <w:textAlignment w:val="baseline"/>
              <w:rPr>
                <w:color w:val="auto"/>
                <w:szCs w:val="21"/>
                <w:highlight w:val="none"/>
              </w:rPr>
            </w:pPr>
            <w:r>
              <w:rPr>
                <w:rFonts w:hint="eastAsia"/>
                <w:color w:val="auto"/>
                <w:szCs w:val="21"/>
                <w:highlight w:val="none"/>
              </w:rPr>
              <w:t>投标承诺函</w:t>
            </w:r>
          </w:p>
        </w:tc>
        <w:tc>
          <w:tcPr>
            <w:tcW w:w="5578" w:type="dxa"/>
            <w:vAlign w:val="center"/>
          </w:tcPr>
          <w:p>
            <w:pPr>
              <w:spacing w:line="320" w:lineRule="exact"/>
              <w:jc w:val="left"/>
              <w:textAlignment w:val="baseline"/>
              <w:rPr>
                <w:color w:val="auto"/>
                <w:szCs w:val="21"/>
                <w:highlight w:val="none"/>
              </w:rPr>
            </w:pPr>
            <w:r>
              <w:rPr>
                <w:rFonts w:hint="eastAsia"/>
                <w:color w:val="auto"/>
                <w:szCs w:val="21"/>
                <w:highlight w:val="none"/>
              </w:rPr>
              <w:t>符合第二章“供应商须知”规定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05" w:type="dxa"/>
            <w:vMerge w:val="continue"/>
            <w:vAlign w:val="center"/>
          </w:tcPr>
          <w:p>
            <w:pPr>
              <w:spacing w:line="440" w:lineRule="exact"/>
              <w:jc w:val="center"/>
              <w:textAlignment w:val="baseline"/>
              <w:rPr>
                <w:color w:val="auto"/>
                <w:szCs w:val="21"/>
                <w:highlight w:val="none"/>
              </w:rPr>
            </w:pPr>
          </w:p>
        </w:tc>
        <w:tc>
          <w:tcPr>
            <w:tcW w:w="645" w:type="dxa"/>
            <w:vMerge w:val="continue"/>
            <w:vAlign w:val="center"/>
          </w:tcPr>
          <w:p>
            <w:pPr>
              <w:spacing w:line="440" w:lineRule="exact"/>
              <w:jc w:val="center"/>
              <w:textAlignment w:val="baseline"/>
              <w:rPr>
                <w:color w:val="auto"/>
                <w:szCs w:val="21"/>
                <w:highlight w:val="none"/>
              </w:rPr>
            </w:pPr>
          </w:p>
        </w:tc>
        <w:tc>
          <w:tcPr>
            <w:tcW w:w="3125" w:type="dxa"/>
            <w:vAlign w:val="center"/>
          </w:tcPr>
          <w:p>
            <w:pPr>
              <w:spacing w:line="320" w:lineRule="exact"/>
              <w:jc w:val="left"/>
              <w:textAlignment w:val="baseline"/>
              <w:rPr>
                <w:color w:val="auto"/>
                <w:szCs w:val="21"/>
                <w:highlight w:val="none"/>
              </w:rPr>
            </w:pPr>
            <w:r>
              <w:rPr>
                <w:rFonts w:hint="eastAsia"/>
                <w:color w:val="auto"/>
                <w:szCs w:val="21"/>
                <w:highlight w:val="none"/>
              </w:rPr>
              <w:t>磋商有效期</w:t>
            </w:r>
          </w:p>
        </w:tc>
        <w:tc>
          <w:tcPr>
            <w:tcW w:w="5578" w:type="dxa"/>
            <w:vAlign w:val="center"/>
          </w:tcPr>
          <w:p>
            <w:pPr>
              <w:spacing w:line="320" w:lineRule="exact"/>
              <w:jc w:val="left"/>
              <w:textAlignment w:val="baseline"/>
              <w:rPr>
                <w:color w:val="auto"/>
                <w:szCs w:val="21"/>
                <w:highlight w:val="none"/>
              </w:rPr>
            </w:pPr>
            <w:r>
              <w:rPr>
                <w:rFonts w:hint="eastAsia"/>
                <w:color w:val="auto"/>
                <w:szCs w:val="21"/>
                <w:highlight w:val="none"/>
              </w:rPr>
              <w:t>响应文件递交截止日起60日历天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805" w:type="dxa"/>
            <w:vMerge w:val="continue"/>
            <w:vAlign w:val="center"/>
          </w:tcPr>
          <w:p>
            <w:pPr>
              <w:spacing w:line="440" w:lineRule="exact"/>
              <w:jc w:val="center"/>
              <w:textAlignment w:val="baseline"/>
              <w:rPr>
                <w:color w:val="auto"/>
                <w:szCs w:val="21"/>
                <w:highlight w:val="none"/>
              </w:rPr>
            </w:pPr>
          </w:p>
        </w:tc>
        <w:tc>
          <w:tcPr>
            <w:tcW w:w="645" w:type="dxa"/>
            <w:vMerge w:val="continue"/>
            <w:vAlign w:val="center"/>
          </w:tcPr>
          <w:p>
            <w:pPr>
              <w:spacing w:line="440" w:lineRule="exact"/>
              <w:jc w:val="center"/>
              <w:textAlignment w:val="baseline"/>
              <w:rPr>
                <w:color w:val="auto"/>
                <w:szCs w:val="21"/>
                <w:highlight w:val="none"/>
              </w:rPr>
            </w:pPr>
          </w:p>
        </w:tc>
        <w:tc>
          <w:tcPr>
            <w:tcW w:w="3125" w:type="dxa"/>
            <w:vAlign w:val="center"/>
          </w:tcPr>
          <w:p>
            <w:pPr>
              <w:spacing w:line="320" w:lineRule="exact"/>
              <w:jc w:val="left"/>
              <w:textAlignment w:val="baseline"/>
              <w:rPr>
                <w:color w:val="auto"/>
                <w:szCs w:val="21"/>
                <w:highlight w:val="none"/>
              </w:rPr>
            </w:pPr>
            <w:r>
              <w:rPr>
                <w:rFonts w:hint="eastAsia"/>
                <w:color w:val="auto"/>
                <w:szCs w:val="21"/>
                <w:highlight w:val="none"/>
              </w:rPr>
              <w:t>其他要求</w:t>
            </w:r>
          </w:p>
        </w:tc>
        <w:tc>
          <w:tcPr>
            <w:tcW w:w="5578" w:type="dxa"/>
            <w:vAlign w:val="center"/>
          </w:tcPr>
          <w:p>
            <w:pPr>
              <w:spacing w:line="320" w:lineRule="exact"/>
              <w:jc w:val="left"/>
              <w:textAlignment w:val="baseline"/>
              <w:rPr>
                <w:color w:val="auto"/>
                <w:szCs w:val="21"/>
                <w:highlight w:val="none"/>
              </w:rPr>
            </w:pPr>
            <w:r>
              <w:rPr>
                <w:rFonts w:hint="eastAsia"/>
                <w:color w:val="auto"/>
                <w:szCs w:val="21"/>
                <w:highlight w:val="none"/>
              </w:rPr>
              <w:t>符合法律、法规和磋商文件中规定的其他实质性要求的。</w:t>
            </w:r>
          </w:p>
        </w:tc>
      </w:tr>
    </w:tbl>
    <w:p>
      <w:pPr>
        <w:rPr>
          <w:color w:val="auto"/>
          <w:highlight w:val="none"/>
        </w:rPr>
      </w:pPr>
      <w:bookmarkStart w:id="69" w:name="_Toc388091815"/>
      <w:bookmarkStart w:id="70" w:name="_Toc13205"/>
      <w:bookmarkStart w:id="71" w:name="_Toc31363"/>
      <w:bookmarkStart w:id="72" w:name="_Toc421284754"/>
      <w:bookmarkStart w:id="73" w:name="_Toc371423273"/>
      <w:bookmarkStart w:id="74" w:name="_Toc18099"/>
      <w:bookmarkStart w:id="75" w:name="_Toc380581854"/>
      <w:bookmarkStart w:id="76" w:name="_Toc241"/>
      <w:bookmarkStart w:id="77" w:name="_Toc17206"/>
      <w:bookmarkStart w:id="78" w:name="_Toc388541209"/>
      <w:bookmarkStart w:id="79" w:name="_Toc371425844"/>
      <w:bookmarkStart w:id="80" w:name="_Toc31569"/>
    </w:p>
    <w:p>
      <w:pPr>
        <w:spacing w:line="260" w:lineRule="exact"/>
        <w:ind w:firstLine="422" w:firstLineChars="200"/>
        <w:rPr>
          <w:rFonts w:hint="eastAsia" w:ascii="宋体" w:hAnsi="宋体" w:cs="宋体"/>
          <w:b/>
          <w:bCs/>
          <w:color w:val="auto"/>
          <w:kern w:val="0"/>
          <w:szCs w:val="21"/>
          <w:highlight w:val="none"/>
        </w:rPr>
      </w:pPr>
    </w:p>
    <w:p>
      <w:pPr>
        <w:spacing w:line="260" w:lineRule="exact"/>
        <w:ind w:firstLine="422" w:firstLineChars="200"/>
        <w:rPr>
          <w:rFonts w:hint="eastAsia" w:ascii="宋体" w:hAnsi="宋体"/>
          <w:b/>
          <w:color w:val="auto"/>
          <w:highlight w:val="none"/>
        </w:rPr>
      </w:pPr>
      <w:r>
        <w:rPr>
          <w:rFonts w:hint="eastAsia" w:ascii="宋体" w:hAnsi="宋体" w:cs="宋体"/>
          <w:b/>
          <w:bCs/>
          <w:color w:val="auto"/>
          <w:kern w:val="0"/>
          <w:szCs w:val="21"/>
          <w:highlight w:val="none"/>
        </w:rPr>
        <w:t>2.2</w:t>
      </w:r>
      <w:r>
        <w:rPr>
          <w:rFonts w:hint="eastAsia" w:ascii="宋体" w:hAnsi="宋体"/>
          <w:b/>
          <w:color w:val="auto"/>
          <w:highlight w:val="none"/>
        </w:rPr>
        <w:t>详细评标标准</w:t>
      </w:r>
    </w:p>
    <w:p>
      <w:pPr>
        <w:pStyle w:val="8"/>
        <w:spacing w:line="260" w:lineRule="exact"/>
        <w:ind w:firstLine="402" w:firstLineChars="200"/>
        <w:rPr>
          <w:rFonts w:hint="eastAsia"/>
          <w:b/>
          <w:bCs/>
          <w:color w:val="auto"/>
          <w:highlight w:val="none"/>
        </w:rPr>
      </w:pPr>
      <w:r>
        <w:rPr>
          <w:rFonts w:hint="eastAsia" w:ascii="宋体" w:eastAsia="宋体" w:cs="宋体"/>
          <w:b/>
          <w:bCs/>
          <w:color w:val="auto"/>
          <w:kern w:val="0"/>
          <w:sz w:val="20"/>
          <w:szCs w:val="20"/>
          <w:highlight w:val="none"/>
        </w:rPr>
        <w:t xml:space="preserve">分值构成 (总分 100 分) </w:t>
      </w:r>
      <w:r>
        <w:rPr>
          <w:rFonts w:hint="eastAsia" w:ascii="宋体" w:cs="宋体"/>
          <w:b/>
          <w:bCs/>
          <w:color w:val="auto"/>
          <w:kern w:val="0"/>
          <w:sz w:val="20"/>
          <w:szCs w:val="20"/>
          <w:highlight w:val="none"/>
          <w:lang w:val="en-US" w:eastAsia="zh-CN"/>
        </w:rPr>
        <w:t>商务</w:t>
      </w:r>
      <w:r>
        <w:rPr>
          <w:rFonts w:hint="eastAsia" w:ascii="宋体" w:eastAsia="宋体" w:cs="宋体"/>
          <w:b/>
          <w:bCs/>
          <w:color w:val="auto"/>
          <w:kern w:val="0"/>
          <w:sz w:val="20"/>
          <w:szCs w:val="20"/>
          <w:highlight w:val="none"/>
        </w:rPr>
        <w:t>部分：</w:t>
      </w:r>
      <w:r>
        <w:rPr>
          <w:rFonts w:hint="eastAsia" w:ascii="宋体" w:cs="宋体"/>
          <w:b/>
          <w:bCs/>
          <w:color w:val="auto"/>
          <w:kern w:val="0"/>
          <w:sz w:val="20"/>
          <w:szCs w:val="20"/>
          <w:highlight w:val="none"/>
          <w:lang w:val="en-US" w:eastAsia="zh-CN"/>
        </w:rPr>
        <w:t>40</w:t>
      </w:r>
      <w:r>
        <w:rPr>
          <w:rFonts w:hint="eastAsia" w:ascii="宋体" w:eastAsia="宋体" w:cs="宋体"/>
          <w:b/>
          <w:bCs/>
          <w:color w:val="auto"/>
          <w:kern w:val="0"/>
          <w:sz w:val="20"/>
          <w:szCs w:val="20"/>
          <w:highlight w:val="none"/>
        </w:rPr>
        <w:t>分</w:t>
      </w:r>
      <w:r>
        <w:rPr>
          <w:rFonts w:hint="eastAsia" w:ascii="宋体" w:cs="宋体"/>
          <w:b/>
          <w:bCs/>
          <w:color w:val="auto"/>
          <w:kern w:val="0"/>
          <w:sz w:val="20"/>
          <w:szCs w:val="20"/>
          <w:highlight w:val="none"/>
          <w:lang w:eastAsia="zh-CN"/>
        </w:rPr>
        <w:t>；</w:t>
      </w:r>
      <w:r>
        <w:rPr>
          <w:rFonts w:hint="eastAsia" w:ascii="宋体" w:cs="宋体"/>
          <w:b/>
          <w:bCs/>
          <w:color w:val="auto"/>
          <w:kern w:val="0"/>
          <w:sz w:val="20"/>
          <w:szCs w:val="20"/>
          <w:highlight w:val="none"/>
          <w:lang w:val="en-US" w:eastAsia="zh-CN"/>
        </w:rPr>
        <w:t>综合</w:t>
      </w:r>
      <w:r>
        <w:rPr>
          <w:rFonts w:hint="eastAsia" w:ascii="宋体" w:eastAsia="宋体" w:cs="宋体"/>
          <w:b/>
          <w:bCs/>
          <w:color w:val="auto"/>
          <w:kern w:val="0"/>
          <w:sz w:val="20"/>
          <w:szCs w:val="20"/>
          <w:highlight w:val="none"/>
        </w:rPr>
        <w:t>部分：</w:t>
      </w:r>
      <w:r>
        <w:rPr>
          <w:rFonts w:hint="eastAsia" w:ascii="宋体" w:cs="宋体"/>
          <w:b/>
          <w:bCs/>
          <w:color w:val="auto"/>
          <w:kern w:val="0"/>
          <w:sz w:val="20"/>
          <w:szCs w:val="20"/>
          <w:highlight w:val="none"/>
          <w:lang w:val="en-US" w:eastAsia="zh-CN"/>
        </w:rPr>
        <w:t>55</w:t>
      </w:r>
      <w:r>
        <w:rPr>
          <w:rFonts w:hint="eastAsia" w:ascii="宋体" w:eastAsia="宋体" w:cs="宋体"/>
          <w:b/>
          <w:bCs/>
          <w:color w:val="auto"/>
          <w:kern w:val="0"/>
          <w:sz w:val="20"/>
          <w:szCs w:val="20"/>
          <w:highlight w:val="none"/>
        </w:rPr>
        <w:t>分</w:t>
      </w:r>
      <w:r>
        <w:rPr>
          <w:rFonts w:hint="eastAsia" w:ascii="宋体" w:cs="宋体"/>
          <w:b/>
          <w:bCs/>
          <w:color w:val="auto"/>
          <w:kern w:val="0"/>
          <w:sz w:val="20"/>
          <w:szCs w:val="20"/>
          <w:highlight w:val="none"/>
        </w:rPr>
        <w:t>；</w:t>
      </w:r>
      <w:r>
        <w:rPr>
          <w:rFonts w:hint="eastAsia" w:ascii="宋体" w:cs="宋体"/>
          <w:b/>
          <w:bCs/>
          <w:color w:val="auto"/>
          <w:kern w:val="0"/>
          <w:sz w:val="20"/>
          <w:szCs w:val="20"/>
          <w:highlight w:val="none"/>
          <w:lang w:val="en-US" w:eastAsia="zh-CN"/>
        </w:rPr>
        <w:t>服务承诺</w:t>
      </w:r>
      <w:r>
        <w:rPr>
          <w:rFonts w:hint="eastAsia" w:ascii="宋体" w:eastAsia="宋体" w:cs="宋体"/>
          <w:b/>
          <w:bCs/>
          <w:color w:val="auto"/>
          <w:kern w:val="0"/>
          <w:sz w:val="20"/>
          <w:szCs w:val="20"/>
          <w:highlight w:val="none"/>
        </w:rPr>
        <w:t>：</w:t>
      </w:r>
      <w:r>
        <w:rPr>
          <w:rFonts w:hint="eastAsia" w:ascii="宋体" w:cs="宋体"/>
          <w:b/>
          <w:bCs/>
          <w:color w:val="auto"/>
          <w:kern w:val="0"/>
          <w:sz w:val="20"/>
          <w:szCs w:val="20"/>
          <w:highlight w:val="none"/>
          <w:lang w:val="en-US" w:eastAsia="zh-CN"/>
        </w:rPr>
        <w:t>5</w:t>
      </w:r>
      <w:r>
        <w:rPr>
          <w:rFonts w:hint="eastAsia" w:ascii="宋体" w:eastAsia="宋体" w:cs="宋体"/>
          <w:b/>
          <w:bCs/>
          <w:color w:val="auto"/>
          <w:kern w:val="0"/>
          <w:sz w:val="20"/>
          <w:szCs w:val="20"/>
          <w:highlight w:val="none"/>
        </w:rPr>
        <w:t>分</w:t>
      </w:r>
      <w:r>
        <w:rPr>
          <w:rFonts w:hint="eastAsia" w:ascii="宋体" w:cs="宋体"/>
          <w:b/>
          <w:bCs/>
          <w:color w:val="auto"/>
          <w:kern w:val="0"/>
          <w:sz w:val="20"/>
          <w:szCs w:val="20"/>
          <w:highlight w:val="none"/>
        </w:rPr>
        <w:t>；</w:t>
      </w:r>
    </w:p>
    <w:tbl>
      <w:tblPr>
        <w:tblStyle w:val="25"/>
        <w:tblpPr w:leftFromText="180" w:rightFromText="180" w:vertAnchor="text" w:horzAnchor="page" w:tblpX="1024" w:tblpY="460"/>
        <w:tblOverlap w:val="never"/>
        <w:tblW w:w="1022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4"/>
        <w:gridCol w:w="1183"/>
        <w:gridCol w:w="1131"/>
        <w:gridCol w:w="536"/>
        <w:gridCol w:w="68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514" w:type="dxa"/>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183" w:type="dxa"/>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评分内容</w:t>
            </w:r>
          </w:p>
        </w:tc>
        <w:tc>
          <w:tcPr>
            <w:tcW w:w="1667" w:type="dxa"/>
            <w:gridSpan w:val="2"/>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分值</w:t>
            </w:r>
          </w:p>
        </w:tc>
        <w:tc>
          <w:tcPr>
            <w:tcW w:w="6857" w:type="dxa"/>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评分标准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514" w:type="dxa"/>
            <w:vAlign w:val="center"/>
          </w:tcPr>
          <w:p>
            <w:pPr>
              <w:pageBreakBefore w:val="0"/>
              <w:kinsoku/>
              <w:wordWrap/>
              <w:overflowPunct/>
              <w:topLinePunct w:val="0"/>
              <w:bidi w:val="0"/>
              <w:snapToGrid/>
              <w:spacing w:line="360" w:lineRule="exact"/>
              <w:jc w:val="center"/>
              <w:outlineLvl w:val="9"/>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1</w:t>
            </w:r>
          </w:p>
        </w:tc>
        <w:tc>
          <w:tcPr>
            <w:tcW w:w="1183" w:type="dxa"/>
            <w:vAlign w:val="center"/>
          </w:tcPr>
          <w:p>
            <w:pPr>
              <w:pageBreakBefore w:val="0"/>
              <w:kinsoku/>
              <w:wordWrap/>
              <w:overflowPunct/>
              <w:topLinePunct w:val="0"/>
              <w:bidi w:val="0"/>
              <w:snapToGrid/>
              <w:spacing w:line="360" w:lineRule="exact"/>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商务部分</w:t>
            </w:r>
          </w:p>
          <w:p>
            <w:pPr>
              <w:pageBreakBefore w:val="0"/>
              <w:kinsoku/>
              <w:wordWrap/>
              <w:overflowPunct/>
              <w:topLinePunct w:val="0"/>
              <w:bidi w:val="0"/>
              <w:snapToGrid/>
              <w:spacing w:line="360" w:lineRule="exact"/>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cs="宋体"/>
                <w:color w:val="auto"/>
                <w:sz w:val="21"/>
                <w:szCs w:val="21"/>
                <w:highlight w:val="none"/>
                <w:lang w:val="en-US" w:eastAsia="zh-CN"/>
              </w:rPr>
              <w:t>4</w:t>
            </w:r>
            <w:r>
              <w:rPr>
                <w:rFonts w:hint="eastAsia" w:ascii="宋体" w:hAnsi="宋体" w:eastAsia="宋体" w:cs="宋体"/>
                <w:color w:val="auto"/>
                <w:sz w:val="21"/>
                <w:szCs w:val="21"/>
                <w:highlight w:val="none"/>
                <w:lang w:val="en-US" w:eastAsia="zh-CN"/>
              </w:rPr>
              <w:t>0分</w:t>
            </w:r>
            <w:r>
              <w:rPr>
                <w:rFonts w:hint="eastAsia" w:ascii="宋体" w:hAnsi="宋体" w:eastAsia="宋体" w:cs="宋体"/>
                <w:color w:val="auto"/>
                <w:sz w:val="21"/>
                <w:szCs w:val="21"/>
                <w:highlight w:val="none"/>
              </w:rPr>
              <w:t>）</w:t>
            </w:r>
          </w:p>
        </w:tc>
        <w:tc>
          <w:tcPr>
            <w:tcW w:w="1131" w:type="dxa"/>
            <w:vAlign w:val="center"/>
          </w:tcPr>
          <w:p>
            <w:pPr>
              <w:pageBreakBefore w:val="0"/>
              <w:kinsoku/>
              <w:wordWrap/>
              <w:overflowPunct/>
              <w:topLinePunct w:val="0"/>
              <w:bidi w:val="0"/>
              <w:snapToGrid/>
              <w:spacing w:line="360" w:lineRule="exact"/>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投标报价</w:t>
            </w:r>
          </w:p>
        </w:tc>
        <w:tc>
          <w:tcPr>
            <w:tcW w:w="536" w:type="dxa"/>
            <w:vAlign w:val="center"/>
          </w:tcPr>
          <w:p>
            <w:pPr>
              <w:pageBreakBefore w:val="0"/>
              <w:kinsoku/>
              <w:wordWrap/>
              <w:overflowPunct/>
              <w:topLinePunct w:val="0"/>
              <w:bidi w:val="0"/>
              <w:snapToGrid/>
              <w:spacing w:line="360" w:lineRule="exact"/>
              <w:jc w:val="center"/>
              <w:outlineLvl w:val="9"/>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40</w:t>
            </w:r>
            <w:r>
              <w:rPr>
                <w:rFonts w:hint="eastAsia" w:ascii="宋体" w:hAnsi="宋体" w:cs="宋体"/>
                <w:color w:val="auto"/>
                <w:kern w:val="2"/>
                <w:sz w:val="21"/>
                <w:szCs w:val="21"/>
                <w:highlight w:val="none"/>
                <w:lang w:val="en-US" w:eastAsia="zh-CN" w:bidi="ar-SA"/>
              </w:rPr>
              <w:t>分</w:t>
            </w:r>
          </w:p>
        </w:tc>
        <w:tc>
          <w:tcPr>
            <w:tcW w:w="6857" w:type="dxa"/>
          </w:tcPr>
          <w:p>
            <w:pPr>
              <w:spacing w:line="300" w:lineRule="exact"/>
              <w:ind w:left="218" w:leftChars="104" w:right="113" w:rightChars="54"/>
              <w:jc w:val="left"/>
              <w:rPr>
                <w:rFonts w:hint="eastAsia"/>
                <w:color w:val="auto"/>
                <w:highlight w:val="none"/>
                <w:lang w:val="zh-CN"/>
              </w:rPr>
            </w:pPr>
            <w:r>
              <w:rPr>
                <w:rFonts w:hint="eastAsia"/>
                <w:color w:val="auto"/>
                <w:highlight w:val="none"/>
                <w:lang w:val="zh-CN"/>
              </w:rPr>
              <w:t>（1）价格分采用低价优先法计算，即通过资格性和符合性审查且投标价格最低的投标报价为评标基准价，其价格得分为满分</w:t>
            </w:r>
            <w:r>
              <w:rPr>
                <w:rFonts w:hint="eastAsia"/>
                <w:color w:val="auto"/>
                <w:highlight w:val="none"/>
                <w:lang w:val="en-US" w:eastAsia="zh-CN"/>
              </w:rPr>
              <w:t>40</w:t>
            </w:r>
            <w:r>
              <w:rPr>
                <w:rFonts w:hint="eastAsia"/>
                <w:color w:val="auto"/>
                <w:highlight w:val="none"/>
                <w:lang w:val="zh-CN"/>
              </w:rPr>
              <w:t>分。</w:t>
            </w:r>
          </w:p>
          <w:p>
            <w:pPr>
              <w:spacing w:line="300" w:lineRule="exact"/>
              <w:ind w:left="218" w:leftChars="104" w:right="113" w:rightChars="54"/>
              <w:jc w:val="left"/>
              <w:rPr>
                <w:rFonts w:hint="eastAsia"/>
                <w:color w:val="auto"/>
                <w:highlight w:val="none"/>
                <w:lang w:val="zh-CN"/>
              </w:rPr>
            </w:pPr>
            <w:r>
              <w:rPr>
                <w:rFonts w:hint="eastAsia"/>
                <w:color w:val="auto"/>
                <w:highlight w:val="none"/>
                <w:lang w:val="zh-CN"/>
              </w:rPr>
              <w:t>（2）其他投标人的价格分统一按照下列公式计算：</w:t>
            </w:r>
          </w:p>
          <w:p>
            <w:pPr>
              <w:spacing w:line="300" w:lineRule="exact"/>
              <w:ind w:left="218" w:leftChars="104" w:right="113" w:rightChars="54"/>
              <w:jc w:val="left"/>
              <w:rPr>
                <w:rFonts w:hint="default"/>
                <w:color w:val="auto"/>
                <w:highlight w:val="none"/>
                <w:lang w:val="en-US"/>
              </w:rPr>
            </w:pPr>
            <w:r>
              <w:rPr>
                <w:rFonts w:hint="eastAsia"/>
                <w:color w:val="auto"/>
                <w:highlight w:val="none"/>
                <w:lang w:val="zh-CN"/>
              </w:rPr>
              <w:t>投标报价得分=（评标基准价／投标报价）×</w:t>
            </w:r>
            <w:r>
              <w:rPr>
                <w:rFonts w:hint="eastAsia"/>
                <w:color w:val="auto"/>
                <w:highlight w:val="none"/>
                <w:lang w:val="en-US" w:eastAsia="zh-CN"/>
              </w:rPr>
              <w:t>4</w:t>
            </w:r>
            <w:r>
              <w:rPr>
                <w:rFonts w:hint="default"/>
                <w:color w:val="auto"/>
                <w:highlight w:val="none"/>
                <w:lang w:val="en-US"/>
              </w:rPr>
              <w:t>0</w:t>
            </w:r>
          </w:p>
          <w:p>
            <w:pPr>
              <w:spacing w:line="300" w:lineRule="exact"/>
              <w:ind w:left="218" w:leftChars="104" w:right="113" w:rightChars="54"/>
              <w:jc w:val="left"/>
              <w:rPr>
                <w:rFonts w:hint="eastAsia"/>
                <w:color w:val="auto"/>
                <w:highlight w:val="none"/>
                <w:lang w:val="zh-CN"/>
              </w:rPr>
            </w:pPr>
            <w:r>
              <w:rPr>
                <w:rFonts w:hint="eastAsia"/>
                <w:color w:val="auto"/>
                <w:highlight w:val="none"/>
                <w:lang w:val="zh-CN"/>
              </w:rPr>
              <w:t>注：</w:t>
            </w:r>
            <w:r>
              <w:rPr>
                <w:rFonts w:hint="eastAsia"/>
                <w:color w:val="auto"/>
                <w:highlight w:val="none"/>
                <w:lang w:val="en-US" w:eastAsia="zh-CN"/>
              </w:rPr>
              <w:t>1、</w:t>
            </w:r>
            <w:r>
              <w:rPr>
                <w:rFonts w:hint="eastAsia"/>
                <w:color w:val="auto"/>
                <w:highlight w:val="none"/>
                <w:lang w:val="zh-CN"/>
              </w:rPr>
              <w:t>价格分计算保留小数点后二位。</w:t>
            </w:r>
          </w:p>
          <w:p>
            <w:pPr>
              <w:keepNext w:val="0"/>
              <w:keepLines w:val="0"/>
              <w:pageBreakBefore w:val="0"/>
              <w:widowControl w:val="0"/>
              <w:kinsoku/>
              <w:wordWrap/>
              <w:overflowPunct/>
              <w:topLinePunct w:val="0"/>
              <w:autoSpaceDE/>
              <w:autoSpaceDN/>
              <w:bidi w:val="0"/>
              <w:adjustRightInd/>
              <w:snapToGrid/>
              <w:spacing w:line="300" w:lineRule="exact"/>
              <w:ind w:firstLine="630" w:firstLineChars="300"/>
              <w:textAlignment w:val="auto"/>
              <w:rPr>
                <w:rFonts w:hint="eastAsia" w:ascii="宋体" w:hAnsi="宋体" w:eastAsia="宋体" w:cs="宋体"/>
                <w:color w:val="auto"/>
                <w:sz w:val="21"/>
                <w:szCs w:val="21"/>
                <w:highlight w:val="none"/>
              </w:rPr>
            </w:pPr>
            <w:r>
              <w:rPr>
                <w:rFonts w:hint="eastAsia"/>
                <w:color w:val="auto"/>
                <w:highlight w:val="none"/>
                <w:lang w:val="en-US" w:eastAsia="zh-CN"/>
              </w:rPr>
              <w:t>2、</w:t>
            </w:r>
            <w:r>
              <w:rPr>
                <w:rFonts w:hint="eastAsia" w:ascii="宋体" w:hAnsi="宋体" w:eastAsia="宋体" w:cs="宋体"/>
                <w:color w:val="auto"/>
                <w:sz w:val="21"/>
                <w:szCs w:val="21"/>
                <w:highlight w:val="none"/>
              </w:rPr>
              <w:t>根据《政府采购促进中小企业发展暂行办法》的相关规定，对小型和微型企业制造（生产）产品的价格给予6%的扣除，用扣除后的价格参与评审。</w:t>
            </w:r>
          </w:p>
          <w:p>
            <w:pPr>
              <w:keepNext w:val="0"/>
              <w:keepLines w:val="0"/>
              <w:pageBreakBefore w:val="0"/>
              <w:widowControl w:val="0"/>
              <w:kinsoku/>
              <w:wordWrap/>
              <w:overflowPunct/>
              <w:topLinePunct w:val="0"/>
              <w:autoSpaceDE/>
              <w:autoSpaceDN/>
              <w:bidi w:val="0"/>
              <w:adjustRightInd/>
              <w:snapToGrid/>
              <w:spacing w:line="300" w:lineRule="exact"/>
              <w:ind w:firstLine="630" w:firstLineChars="3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监狱企业与小微企业享受同样待遇。</w:t>
            </w:r>
          </w:p>
          <w:p>
            <w:pPr>
              <w:pageBreakBefore w:val="0"/>
              <w:kinsoku/>
              <w:wordWrap/>
              <w:overflowPunct/>
              <w:topLinePunct w:val="0"/>
              <w:bidi w:val="0"/>
              <w:snapToGrid/>
              <w:spacing w:line="360" w:lineRule="exact"/>
              <w:jc w:val="left"/>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rPr>
              <w:t>若供应商既是小微企业也是监狱企业，只给予一次6%的扣除，不叠加计算。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4" w:hRule="atLeast"/>
        </w:trPr>
        <w:tc>
          <w:tcPr>
            <w:tcW w:w="514" w:type="dxa"/>
            <w:vMerge w:val="restart"/>
            <w:vAlign w:val="center"/>
          </w:tcPr>
          <w:p>
            <w:pPr>
              <w:pageBreakBefore w:val="0"/>
              <w:kinsoku/>
              <w:wordWrap/>
              <w:overflowPunct/>
              <w:topLinePunct w:val="0"/>
              <w:bidi w:val="0"/>
              <w:snapToGrid/>
              <w:spacing w:line="360" w:lineRule="exact"/>
              <w:jc w:val="center"/>
              <w:outlineLvl w:val="9"/>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2</w:t>
            </w:r>
          </w:p>
        </w:tc>
        <w:tc>
          <w:tcPr>
            <w:tcW w:w="1183" w:type="dxa"/>
            <w:vMerge w:val="restart"/>
            <w:vAlign w:val="center"/>
          </w:tcPr>
          <w:p>
            <w:pPr>
              <w:pageBreakBefore w:val="0"/>
              <w:kinsoku/>
              <w:wordWrap/>
              <w:overflowPunct/>
              <w:topLinePunct w:val="0"/>
              <w:bidi w:val="0"/>
              <w:snapToGrid/>
              <w:spacing w:line="360" w:lineRule="exact"/>
              <w:jc w:val="center"/>
              <w:outlineLvl w:val="9"/>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综合部分</w:t>
            </w:r>
          </w:p>
        </w:tc>
        <w:tc>
          <w:tcPr>
            <w:tcW w:w="1131" w:type="dxa"/>
            <w:vAlign w:val="center"/>
          </w:tcPr>
          <w:p>
            <w:pPr>
              <w:pageBreakBefore w:val="0"/>
              <w:kinsoku/>
              <w:wordWrap/>
              <w:overflowPunct/>
              <w:topLinePunct w:val="0"/>
              <w:bidi w:val="0"/>
              <w:snapToGrid/>
              <w:spacing w:line="36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智慧社区矫正自助矫正终端（桌面式）</w:t>
            </w:r>
          </w:p>
        </w:tc>
        <w:tc>
          <w:tcPr>
            <w:tcW w:w="536" w:type="dxa"/>
            <w:vAlign w:val="center"/>
          </w:tcPr>
          <w:p>
            <w:pPr>
              <w:pageBreakBefore w:val="0"/>
              <w:kinsoku/>
              <w:wordWrap/>
              <w:overflowPunct/>
              <w:topLinePunct w:val="0"/>
              <w:bidi w:val="0"/>
              <w:snapToGrid/>
              <w:spacing w:line="360" w:lineRule="exact"/>
              <w:jc w:val="center"/>
              <w:outlineLvl w:val="9"/>
              <w:rPr>
                <w:rFonts w:hint="default" w:ascii="宋体" w:hAnsi="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4分</w:t>
            </w:r>
          </w:p>
        </w:tc>
        <w:tc>
          <w:tcPr>
            <w:tcW w:w="6857" w:type="dxa"/>
            <w:vAlign w:val="center"/>
          </w:tcPr>
          <w:p>
            <w:pPr>
              <w:pageBreakBefore w:val="0"/>
              <w:kinsoku/>
              <w:wordWrap/>
              <w:overflowPunct/>
              <w:topLinePunct w:val="0"/>
              <w:bidi w:val="0"/>
              <w:snapToGrid/>
              <w:spacing w:line="360" w:lineRule="exact"/>
              <w:jc w:val="left"/>
              <w:outlineLvl w:val="9"/>
              <w:rPr>
                <w:rFonts w:hint="eastAsia"/>
                <w:color w:val="auto"/>
                <w:highlight w:val="none"/>
                <w:lang w:eastAsia="zh-CN"/>
              </w:rPr>
            </w:pPr>
            <w:r>
              <w:rPr>
                <w:rFonts w:hint="eastAsia"/>
                <w:color w:val="auto"/>
                <w:highlight w:val="none"/>
                <w:lang w:val="en-US" w:eastAsia="zh-CN"/>
              </w:rPr>
              <w:t>1、所投产品：需支持双目活体检测：像素：200万（WDR），200万（B/W），分辨率：1920*1080（WDR），1920*1080（B/W），支持活体检测，支持人脸比对，品牌厂商具有相关活体检测及人证比对系统软件著作权，（需提供著作权证书复印件并加盖厂家公章）；得2分，</w:t>
            </w:r>
            <w:r>
              <w:rPr>
                <w:rFonts w:hint="eastAsia"/>
                <w:color w:val="auto"/>
                <w:highlight w:val="none"/>
                <w:lang w:eastAsia="zh-CN"/>
              </w:rPr>
              <w:t>不提供不得分；</w:t>
            </w:r>
          </w:p>
          <w:p>
            <w:pPr>
              <w:pageBreakBefore w:val="0"/>
              <w:kinsoku/>
              <w:wordWrap/>
              <w:overflowPunct/>
              <w:topLinePunct w:val="0"/>
              <w:bidi w:val="0"/>
              <w:snapToGrid/>
              <w:spacing w:line="360" w:lineRule="exact"/>
              <w:jc w:val="left"/>
              <w:outlineLvl w:val="9"/>
              <w:rPr>
                <w:rFonts w:hint="eastAsia"/>
                <w:color w:val="auto"/>
                <w:highlight w:val="none"/>
                <w:lang w:val="en-US" w:eastAsia="zh-CN"/>
              </w:rPr>
            </w:pPr>
            <w:r>
              <w:rPr>
                <w:rFonts w:hint="eastAsia" w:cs="Times New Roman"/>
                <w:b w:val="0"/>
                <w:bCs w:val="0"/>
                <w:color w:val="auto"/>
                <w:kern w:val="2"/>
                <w:sz w:val="21"/>
                <w:szCs w:val="22"/>
                <w:highlight w:val="none"/>
                <w:lang w:val="en-US" w:eastAsia="zh-CN" w:bidi="ar-SA"/>
              </w:rPr>
              <w:t>2、</w:t>
            </w:r>
            <w:r>
              <w:rPr>
                <w:rFonts w:hint="eastAsia" w:ascii="Calibri" w:hAnsi="Calibri" w:eastAsia="宋体" w:cs="Times New Roman"/>
                <w:b w:val="0"/>
                <w:bCs w:val="0"/>
                <w:color w:val="auto"/>
                <w:kern w:val="2"/>
                <w:sz w:val="21"/>
                <w:szCs w:val="22"/>
                <w:highlight w:val="none"/>
                <w:lang w:val="en-US" w:eastAsia="zh-CN" w:bidi="ar-SA"/>
              </w:rPr>
              <w:t>所投产品：需提供中国国家强制性产品（3C）认证证书（复印件并加盖厂家公章）</w:t>
            </w:r>
            <w:r>
              <w:rPr>
                <w:rFonts w:hint="eastAsia"/>
                <w:color w:val="auto"/>
                <w:highlight w:val="none"/>
                <w:lang w:val="en-US" w:eastAsia="zh-CN"/>
              </w:rPr>
              <w:t>；得2分，</w:t>
            </w:r>
            <w:r>
              <w:rPr>
                <w:rFonts w:hint="eastAsia"/>
                <w:color w:val="auto"/>
                <w:highlight w:val="none"/>
                <w:lang w:eastAsia="zh-CN"/>
              </w:rPr>
              <w:t>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3" w:hRule="atLeast"/>
        </w:trPr>
        <w:tc>
          <w:tcPr>
            <w:tcW w:w="514" w:type="dxa"/>
            <w:vMerge w:val="continue"/>
            <w:vAlign w:val="center"/>
          </w:tcPr>
          <w:p>
            <w:pPr>
              <w:pageBreakBefore w:val="0"/>
              <w:kinsoku/>
              <w:wordWrap/>
              <w:overflowPunct/>
              <w:topLinePunct w:val="0"/>
              <w:bidi w:val="0"/>
              <w:snapToGrid/>
              <w:spacing w:line="360" w:lineRule="exact"/>
              <w:jc w:val="center"/>
              <w:outlineLvl w:val="9"/>
              <w:rPr>
                <w:rFonts w:hint="eastAsia" w:ascii="宋体" w:hAnsi="宋体" w:eastAsia="宋体" w:cs="宋体"/>
                <w:color w:val="auto"/>
                <w:sz w:val="21"/>
                <w:szCs w:val="21"/>
                <w:highlight w:val="none"/>
              </w:rPr>
            </w:pPr>
          </w:p>
        </w:tc>
        <w:tc>
          <w:tcPr>
            <w:tcW w:w="1183" w:type="dxa"/>
            <w:vMerge w:val="continue"/>
            <w:vAlign w:val="center"/>
          </w:tcPr>
          <w:p>
            <w:pPr>
              <w:pageBreakBefore w:val="0"/>
              <w:kinsoku/>
              <w:wordWrap/>
              <w:overflowPunct/>
              <w:topLinePunct w:val="0"/>
              <w:bidi w:val="0"/>
              <w:snapToGrid/>
              <w:spacing w:line="360" w:lineRule="exact"/>
              <w:jc w:val="center"/>
              <w:outlineLvl w:val="9"/>
              <w:rPr>
                <w:rFonts w:hint="eastAsia" w:ascii="宋体" w:hAnsi="宋体" w:eastAsia="宋体" w:cs="宋体"/>
                <w:color w:val="auto"/>
                <w:sz w:val="21"/>
                <w:szCs w:val="21"/>
                <w:highlight w:val="none"/>
              </w:rPr>
            </w:pPr>
          </w:p>
        </w:tc>
        <w:tc>
          <w:tcPr>
            <w:tcW w:w="1131" w:type="dxa"/>
            <w:vAlign w:val="center"/>
          </w:tcPr>
          <w:p>
            <w:pPr>
              <w:pageBreakBefore w:val="0"/>
              <w:kinsoku/>
              <w:wordWrap/>
              <w:overflowPunct/>
              <w:topLinePunct w:val="0"/>
              <w:bidi w:val="0"/>
              <w:snapToGrid/>
              <w:spacing w:line="36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智慧社区矫正指挥综合管理矫情态势软件（服务端）</w:t>
            </w:r>
          </w:p>
        </w:tc>
        <w:tc>
          <w:tcPr>
            <w:tcW w:w="536" w:type="dxa"/>
            <w:vAlign w:val="center"/>
          </w:tcPr>
          <w:p>
            <w:pPr>
              <w:pageBreakBefore w:val="0"/>
              <w:kinsoku/>
              <w:wordWrap/>
              <w:overflowPunct/>
              <w:topLinePunct w:val="0"/>
              <w:bidi w:val="0"/>
              <w:snapToGrid/>
              <w:spacing w:line="360" w:lineRule="exact"/>
              <w:jc w:val="center"/>
              <w:outlineLvl w:val="9"/>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6分</w:t>
            </w:r>
          </w:p>
        </w:tc>
        <w:tc>
          <w:tcPr>
            <w:tcW w:w="6857" w:type="dxa"/>
            <w:vAlign w:val="center"/>
          </w:tcPr>
          <w:p>
            <w:pPr>
              <w:pageBreakBefore w:val="0"/>
              <w:kinsoku/>
              <w:wordWrap/>
              <w:overflowPunct/>
              <w:topLinePunct w:val="0"/>
              <w:bidi w:val="0"/>
              <w:snapToGrid/>
              <w:spacing w:line="360" w:lineRule="exact"/>
              <w:jc w:val="left"/>
              <w:outlineLvl w:val="9"/>
              <w:rPr>
                <w:rFonts w:hint="eastAsia"/>
                <w:color w:val="auto"/>
                <w:highlight w:val="none"/>
                <w:lang w:val="en-US" w:eastAsia="zh-CN"/>
              </w:rPr>
            </w:pPr>
            <w:r>
              <w:rPr>
                <w:rFonts w:hint="eastAsia"/>
                <w:color w:val="auto"/>
                <w:highlight w:val="none"/>
                <w:lang w:val="en-US" w:eastAsia="zh-CN"/>
              </w:rPr>
              <w:t>1.、所投产品：需支持提供社区矫正中心、司法所每日矫正态势的概览，支持基于二维GIS地理信息技术，融合智慧矫正一体化大平台信息动态挂屏展示辖区社区矫正对象综合信息、业务开展情况、值班情况、预测预警情况、工作机构情况、矫正中心信息化建设情况的整体感知；（需提供截图证明并加盖厂家公章）得3分，不提供不得分；</w:t>
            </w:r>
          </w:p>
          <w:p>
            <w:pPr>
              <w:pageBreakBefore w:val="0"/>
              <w:kinsoku/>
              <w:wordWrap/>
              <w:overflowPunct/>
              <w:topLinePunct w:val="0"/>
              <w:bidi w:val="0"/>
              <w:snapToGrid/>
              <w:spacing w:line="360" w:lineRule="exact"/>
              <w:jc w:val="left"/>
              <w:outlineLvl w:val="9"/>
              <w:rPr>
                <w:rFonts w:hint="eastAsia"/>
                <w:color w:val="auto"/>
                <w:highlight w:val="none"/>
                <w:lang w:val="en-US" w:eastAsia="zh-CN"/>
              </w:rPr>
            </w:pPr>
            <w:r>
              <w:rPr>
                <w:rFonts w:hint="eastAsia"/>
                <w:color w:val="auto"/>
                <w:highlight w:val="none"/>
                <w:lang w:val="en-US" w:eastAsia="zh-CN"/>
              </w:rPr>
              <w:t>2、所投产品：需支持社区矫正预测预警情况包括：实时报警情况、定位异常警告、视频监控报警、脱漏管预警、再犯罪预警、同案犯交叉预警等；（需提供截图证明并加盖厂家公章）得3分，不提供不得分；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5" w:hRule="atLeast"/>
        </w:trPr>
        <w:tc>
          <w:tcPr>
            <w:tcW w:w="514" w:type="dxa"/>
            <w:vMerge w:val="continue"/>
            <w:vAlign w:val="center"/>
          </w:tcPr>
          <w:p>
            <w:pPr>
              <w:pageBreakBefore w:val="0"/>
              <w:kinsoku/>
              <w:wordWrap/>
              <w:overflowPunct/>
              <w:topLinePunct w:val="0"/>
              <w:bidi w:val="0"/>
              <w:snapToGrid/>
              <w:spacing w:line="360" w:lineRule="exact"/>
              <w:jc w:val="center"/>
              <w:outlineLvl w:val="9"/>
              <w:rPr>
                <w:rFonts w:hint="eastAsia" w:ascii="宋体" w:hAnsi="宋体" w:eastAsia="宋体" w:cs="宋体"/>
                <w:color w:val="auto"/>
                <w:sz w:val="21"/>
                <w:szCs w:val="21"/>
                <w:highlight w:val="none"/>
              </w:rPr>
            </w:pPr>
          </w:p>
        </w:tc>
        <w:tc>
          <w:tcPr>
            <w:tcW w:w="1183" w:type="dxa"/>
            <w:vMerge w:val="continue"/>
            <w:vAlign w:val="center"/>
          </w:tcPr>
          <w:p>
            <w:pPr>
              <w:pageBreakBefore w:val="0"/>
              <w:kinsoku/>
              <w:wordWrap/>
              <w:overflowPunct/>
              <w:topLinePunct w:val="0"/>
              <w:bidi w:val="0"/>
              <w:snapToGrid/>
              <w:spacing w:line="360" w:lineRule="exact"/>
              <w:jc w:val="center"/>
              <w:outlineLvl w:val="9"/>
              <w:rPr>
                <w:rFonts w:hint="eastAsia" w:ascii="宋体" w:hAnsi="宋体" w:eastAsia="宋体" w:cs="宋体"/>
                <w:color w:val="auto"/>
                <w:sz w:val="21"/>
                <w:szCs w:val="21"/>
                <w:highlight w:val="none"/>
              </w:rPr>
            </w:pPr>
          </w:p>
        </w:tc>
        <w:tc>
          <w:tcPr>
            <w:tcW w:w="1131" w:type="dxa"/>
            <w:vAlign w:val="center"/>
          </w:tcPr>
          <w:p>
            <w:pPr>
              <w:pageBreakBefore w:val="0"/>
              <w:kinsoku/>
              <w:wordWrap/>
              <w:overflowPunct/>
              <w:topLinePunct w:val="0"/>
              <w:bidi w:val="0"/>
              <w:snapToGrid/>
              <w:spacing w:line="360" w:lineRule="exact"/>
              <w:jc w:val="center"/>
              <w:outlineLvl w:val="9"/>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智慧社区矫正指挥管理重点视频服务软件（服务端）</w:t>
            </w:r>
          </w:p>
        </w:tc>
        <w:tc>
          <w:tcPr>
            <w:tcW w:w="536" w:type="dxa"/>
            <w:vAlign w:val="center"/>
          </w:tcPr>
          <w:p>
            <w:pPr>
              <w:pageBreakBefore w:val="0"/>
              <w:kinsoku/>
              <w:wordWrap/>
              <w:overflowPunct/>
              <w:topLinePunct w:val="0"/>
              <w:bidi w:val="0"/>
              <w:snapToGrid/>
              <w:spacing w:line="360" w:lineRule="exact"/>
              <w:jc w:val="center"/>
              <w:outlineLvl w:val="9"/>
              <w:rPr>
                <w:rFonts w:hint="default" w:ascii="宋体" w:hAnsi="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3分</w:t>
            </w:r>
          </w:p>
        </w:tc>
        <w:tc>
          <w:tcPr>
            <w:tcW w:w="6857" w:type="dxa"/>
            <w:vAlign w:val="center"/>
          </w:tcPr>
          <w:p>
            <w:pPr>
              <w:pageBreakBefore w:val="0"/>
              <w:kinsoku/>
              <w:wordWrap/>
              <w:overflowPunct/>
              <w:topLinePunct w:val="0"/>
              <w:bidi w:val="0"/>
              <w:snapToGrid/>
              <w:spacing w:line="360" w:lineRule="exact"/>
              <w:jc w:val="left"/>
              <w:outlineLvl w:val="9"/>
              <w:rPr>
                <w:rFonts w:hint="eastAsia" w:ascii="宋体" w:hAnsi="宋体" w:cs="宋体"/>
                <w:i w:val="0"/>
                <w:iCs w:val="0"/>
                <w:color w:val="auto"/>
                <w:kern w:val="0"/>
                <w:sz w:val="21"/>
                <w:szCs w:val="21"/>
                <w:highlight w:val="none"/>
                <w:u w:val="none"/>
                <w:lang w:val="en-US" w:eastAsia="zh-CN"/>
              </w:rPr>
            </w:pPr>
            <w:r>
              <w:rPr>
                <w:rFonts w:hint="eastAsia"/>
                <w:color w:val="auto"/>
                <w:highlight w:val="none"/>
                <w:lang w:val="en-US" w:eastAsia="zh-CN"/>
              </w:rPr>
              <w:t>所投产品：需</w:t>
            </w:r>
            <w:r>
              <w:rPr>
                <w:rFonts w:hint="eastAsia" w:ascii="宋体" w:hAnsi="宋体" w:cs="宋体"/>
                <w:i w:val="0"/>
                <w:iCs w:val="0"/>
                <w:color w:val="auto"/>
                <w:kern w:val="0"/>
                <w:sz w:val="21"/>
                <w:szCs w:val="21"/>
                <w:highlight w:val="none"/>
                <w:u w:val="none"/>
                <w:lang w:val="en-US" w:eastAsia="zh-CN"/>
              </w:rPr>
              <w:t>支持对矫正督察档案查看包括按照事件ID、事件类型、事件类型详细分类、事件发生单位名称、事件发生单位编码、事件等级、数据产生方式、开始时间、记录人姓名、结束时间、记录人所在单位进行督察事件查询督察记录，同时支持查看督察抓拍图片和抓录视频；矫正督察档案的补录以及关联相关视频图片材料查询督察记录；（需提供截图证明并加盖厂家公章）</w:t>
            </w:r>
            <w:r>
              <w:rPr>
                <w:rFonts w:hint="eastAsia"/>
                <w:color w:val="auto"/>
                <w:highlight w:val="none"/>
                <w:lang w:val="en-US" w:eastAsia="zh-CN"/>
              </w:rPr>
              <w:t>得3分，不提供不得分；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2" w:hRule="atLeast"/>
        </w:trPr>
        <w:tc>
          <w:tcPr>
            <w:tcW w:w="514" w:type="dxa"/>
            <w:vMerge w:val="continue"/>
            <w:vAlign w:val="center"/>
          </w:tcPr>
          <w:p>
            <w:pPr>
              <w:pageBreakBefore w:val="0"/>
              <w:kinsoku/>
              <w:wordWrap/>
              <w:overflowPunct/>
              <w:topLinePunct w:val="0"/>
              <w:bidi w:val="0"/>
              <w:snapToGrid/>
              <w:spacing w:line="360" w:lineRule="exact"/>
              <w:jc w:val="center"/>
              <w:outlineLvl w:val="9"/>
              <w:rPr>
                <w:rFonts w:hint="eastAsia" w:ascii="宋体" w:hAnsi="宋体" w:eastAsia="宋体" w:cs="宋体"/>
                <w:color w:val="auto"/>
                <w:sz w:val="21"/>
                <w:szCs w:val="21"/>
                <w:highlight w:val="none"/>
              </w:rPr>
            </w:pPr>
          </w:p>
        </w:tc>
        <w:tc>
          <w:tcPr>
            <w:tcW w:w="1183" w:type="dxa"/>
            <w:vMerge w:val="continue"/>
            <w:vAlign w:val="center"/>
          </w:tcPr>
          <w:p>
            <w:pPr>
              <w:pageBreakBefore w:val="0"/>
              <w:kinsoku/>
              <w:wordWrap/>
              <w:overflowPunct/>
              <w:topLinePunct w:val="0"/>
              <w:bidi w:val="0"/>
              <w:snapToGrid/>
              <w:spacing w:line="360" w:lineRule="exact"/>
              <w:jc w:val="center"/>
              <w:outlineLvl w:val="9"/>
              <w:rPr>
                <w:rFonts w:hint="eastAsia" w:ascii="宋体" w:hAnsi="宋体" w:eastAsia="宋体" w:cs="宋体"/>
                <w:color w:val="auto"/>
                <w:sz w:val="21"/>
                <w:szCs w:val="21"/>
                <w:highlight w:val="none"/>
              </w:rPr>
            </w:pPr>
          </w:p>
        </w:tc>
        <w:tc>
          <w:tcPr>
            <w:tcW w:w="1131" w:type="dxa"/>
            <w:vAlign w:val="center"/>
          </w:tcPr>
          <w:p>
            <w:pPr>
              <w:pageBreakBefore w:val="0"/>
              <w:kinsoku/>
              <w:wordWrap/>
              <w:overflowPunct/>
              <w:topLinePunct w:val="0"/>
              <w:bidi w:val="0"/>
              <w:snapToGrid/>
              <w:spacing w:line="360" w:lineRule="exact"/>
              <w:jc w:val="center"/>
              <w:outlineLvl w:val="9"/>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智慧社区矫正自助矫正终端（移动式）</w:t>
            </w:r>
          </w:p>
        </w:tc>
        <w:tc>
          <w:tcPr>
            <w:tcW w:w="536" w:type="dxa"/>
            <w:vAlign w:val="center"/>
          </w:tcPr>
          <w:p>
            <w:pPr>
              <w:pageBreakBefore w:val="0"/>
              <w:kinsoku/>
              <w:wordWrap/>
              <w:overflowPunct/>
              <w:topLinePunct w:val="0"/>
              <w:bidi w:val="0"/>
              <w:snapToGrid/>
              <w:spacing w:line="360" w:lineRule="exact"/>
              <w:jc w:val="center"/>
              <w:outlineLvl w:val="9"/>
              <w:rPr>
                <w:rFonts w:hint="default" w:ascii="宋体" w:hAnsi="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4分</w:t>
            </w:r>
          </w:p>
        </w:tc>
        <w:tc>
          <w:tcPr>
            <w:tcW w:w="6857" w:type="dxa"/>
            <w:vAlign w:val="center"/>
          </w:tcPr>
          <w:p>
            <w:pPr>
              <w:widowControl w:val="0"/>
              <w:numPr>
                <w:ilvl w:val="0"/>
                <w:numId w:val="0"/>
              </w:numPr>
              <w:jc w:val="both"/>
              <w:rPr>
                <w:rFonts w:hint="eastAsia"/>
                <w:color w:val="auto"/>
                <w:highlight w:val="none"/>
                <w:lang w:val="en-US" w:eastAsia="zh-CN"/>
              </w:rPr>
            </w:pPr>
            <w:r>
              <w:rPr>
                <w:rFonts w:hint="eastAsia"/>
                <w:color w:val="auto"/>
                <w:highlight w:val="none"/>
                <w:lang w:val="en-US" w:eastAsia="zh-CN"/>
              </w:rPr>
              <w:t>1、所投产品：需支持双目活体检测：像素：300万（WDR），130万（B/W），分辨率：2048*1536（WDR），1280*960（B/W），最大帧率：20fps（2048*1536 WDR）,30fps（1280*960 B/W），支持活体检测，支持人脸比对，品牌厂商具有相关活体检测及人证比对系统软件著作权，（需提供著作权证书复印件并加盖厂家公章）；得2分，不提供不得分；</w:t>
            </w:r>
          </w:p>
          <w:p>
            <w:pPr>
              <w:widowControl w:val="0"/>
              <w:numPr>
                <w:ilvl w:val="0"/>
                <w:numId w:val="0"/>
              </w:numPr>
              <w:jc w:val="both"/>
              <w:rPr>
                <w:rFonts w:hint="eastAsia"/>
                <w:color w:val="auto"/>
                <w:highlight w:val="none"/>
                <w:lang w:val="en-US" w:eastAsia="zh-CN"/>
              </w:rPr>
            </w:pPr>
            <w:r>
              <w:rPr>
                <w:rFonts w:hint="eastAsia" w:cs="Times New Roman"/>
                <w:b w:val="0"/>
                <w:bCs w:val="0"/>
                <w:color w:val="auto"/>
                <w:kern w:val="2"/>
                <w:sz w:val="21"/>
                <w:szCs w:val="22"/>
                <w:highlight w:val="none"/>
                <w:lang w:val="en-US" w:eastAsia="zh-CN" w:bidi="ar-SA"/>
              </w:rPr>
              <w:t>2、</w:t>
            </w:r>
            <w:r>
              <w:rPr>
                <w:rFonts w:hint="eastAsia" w:ascii="Calibri" w:hAnsi="Calibri" w:eastAsia="宋体" w:cs="Times New Roman"/>
                <w:b w:val="0"/>
                <w:bCs w:val="0"/>
                <w:color w:val="auto"/>
                <w:kern w:val="2"/>
                <w:sz w:val="21"/>
                <w:szCs w:val="22"/>
                <w:highlight w:val="none"/>
                <w:lang w:val="en-US" w:eastAsia="zh-CN" w:bidi="ar-SA"/>
              </w:rPr>
              <w:t>所投产品：需提供中国国家强制性产品（3C）认证证书（复印件并加盖厂家公章）</w:t>
            </w:r>
            <w:r>
              <w:rPr>
                <w:rFonts w:hint="eastAsia"/>
                <w:color w:val="auto"/>
                <w:highlight w:val="none"/>
                <w:lang w:val="en-US" w:eastAsia="zh-CN"/>
              </w:rPr>
              <w:t>；得2分，</w:t>
            </w:r>
            <w:r>
              <w:rPr>
                <w:rFonts w:hint="eastAsia"/>
                <w:color w:val="auto"/>
                <w:highlight w:val="none"/>
                <w:lang w:eastAsia="zh-CN"/>
              </w:rPr>
              <w:t>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9" w:hRule="atLeast"/>
        </w:trPr>
        <w:tc>
          <w:tcPr>
            <w:tcW w:w="514" w:type="dxa"/>
            <w:vMerge w:val="continue"/>
            <w:vAlign w:val="center"/>
          </w:tcPr>
          <w:p>
            <w:pPr>
              <w:pageBreakBefore w:val="0"/>
              <w:kinsoku/>
              <w:wordWrap/>
              <w:overflowPunct/>
              <w:topLinePunct w:val="0"/>
              <w:bidi w:val="0"/>
              <w:snapToGrid/>
              <w:spacing w:line="360" w:lineRule="exact"/>
              <w:jc w:val="center"/>
              <w:outlineLvl w:val="9"/>
              <w:rPr>
                <w:rFonts w:hint="eastAsia" w:ascii="宋体" w:hAnsi="宋体" w:eastAsia="宋体" w:cs="宋体"/>
                <w:color w:val="auto"/>
                <w:sz w:val="21"/>
                <w:szCs w:val="21"/>
                <w:highlight w:val="none"/>
              </w:rPr>
            </w:pPr>
          </w:p>
        </w:tc>
        <w:tc>
          <w:tcPr>
            <w:tcW w:w="1183" w:type="dxa"/>
            <w:vMerge w:val="continue"/>
            <w:vAlign w:val="center"/>
          </w:tcPr>
          <w:p>
            <w:pPr>
              <w:pageBreakBefore w:val="0"/>
              <w:kinsoku/>
              <w:wordWrap/>
              <w:overflowPunct/>
              <w:topLinePunct w:val="0"/>
              <w:bidi w:val="0"/>
              <w:snapToGrid/>
              <w:spacing w:line="360" w:lineRule="exact"/>
              <w:jc w:val="center"/>
              <w:outlineLvl w:val="9"/>
              <w:rPr>
                <w:rFonts w:hint="eastAsia" w:ascii="宋体" w:hAnsi="宋体" w:eastAsia="宋体" w:cs="宋体"/>
                <w:color w:val="auto"/>
                <w:sz w:val="21"/>
                <w:szCs w:val="21"/>
                <w:highlight w:val="none"/>
              </w:rPr>
            </w:pPr>
          </w:p>
        </w:tc>
        <w:tc>
          <w:tcPr>
            <w:tcW w:w="1131" w:type="dxa"/>
            <w:vAlign w:val="center"/>
          </w:tcPr>
          <w:p>
            <w:pPr>
              <w:pageBreakBefore w:val="0"/>
              <w:kinsoku/>
              <w:wordWrap/>
              <w:overflowPunct/>
              <w:topLinePunct w:val="0"/>
              <w:bidi w:val="0"/>
              <w:snapToGrid/>
              <w:spacing w:line="360" w:lineRule="exact"/>
              <w:jc w:val="center"/>
              <w:outlineLvl w:val="9"/>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智慧社区矫正指挥管理重点视频服务器</w:t>
            </w:r>
          </w:p>
          <w:p>
            <w:pPr>
              <w:pageBreakBefore w:val="0"/>
              <w:kinsoku/>
              <w:wordWrap/>
              <w:overflowPunct/>
              <w:topLinePunct w:val="0"/>
              <w:bidi w:val="0"/>
              <w:snapToGrid/>
              <w:spacing w:line="360" w:lineRule="exact"/>
              <w:jc w:val="center"/>
              <w:outlineLvl w:val="9"/>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、远程督查指挥综合管理服务器</w:t>
            </w:r>
          </w:p>
        </w:tc>
        <w:tc>
          <w:tcPr>
            <w:tcW w:w="536" w:type="dxa"/>
            <w:vAlign w:val="center"/>
          </w:tcPr>
          <w:p>
            <w:pPr>
              <w:widowControl w:val="0"/>
              <w:numPr>
                <w:ilvl w:val="0"/>
                <w:numId w:val="0"/>
              </w:numPr>
              <w:jc w:val="center"/>
              <w:rPr>
                <w:rFonts w:hint="default"/>
                <w:color w:val="auto"/>
                <w:highlight w:val="none"/>
                <w:lang w:val="en-US" w:eastAsia="zh-CN"/>
              </w:rPr>
            </w:pPr>
            <w:r>
              <w:rPr>
                <w:rFonts w:hint="eastAsia"/>
                <w:color w:val="auto"/>
                <w:highlight w:val="none"/>
                <w:lang w:val="en-US" w:eastAsia="zh-CN"/>
              </w:rPr>
              <w:t>8</w:t>
            </w:r>
            <w:r>
              <w:rPr>
                <w:rFonts w:hint="eastAsia" w:ascii="宋体" w:hAnsi="宋体" w:cs="宋体"/>
                <w:color w:val="auto"/>
                <w:kern w:val="2"/>
                <w:sz w:val="21"/>
                <w:szCs w:val="21"/>
                <w:highlight w:val="none"/>
                <w:lang w:val="en-US" w:eastAsia="zh-CN" w:bidi="ar-SA"/>
              </w:rPr>
              <w:t>分</w:t>
            </w:r>
          </w:p>
        </w:tc>
        <w:tc>
          <w:tcPr>
            <w:tcW w:w="6857" w:type="dxa"/>
            <w:vAlign w:val="center"/>
          </w:tcPr>
          <w:p>
            <w:pPr>
              <w:widowControl w:val="0"/>
              <w:numPr>
                <w:ilvl w:val="0"/>
                <w:numId w:val="5"/>
              </w:numPr>
              <w:jc w:val="both"/>
              <w:rPr>
                <w:rFonts w:hint="eastAsia"/>
                <w:color w:val="auto"/>
                <w:highlight w:val="none"/>
                <w:lang w:val="en-US" w:eastAsia="zh-CN"/>
              </w:rPr>
            </w:pPr>
            <w:r>
              <w:rPr>
                <w:rFonts w:hint="eastAsia"/>
                <w:color w:val="auto"/>
                <w:highlight w:val="none"/>
                <w:lang w:val="en-US" w:eastAsia="zh-CN"/>
              </w:rPr>
              <w:t>所投产品：需自带能源管理工具：支持能源管理软件，可对数据中心内同一品牌的塔式、 机架、刀片服务器以及超融合节点等提供实时电源能耗、健康状况以 及温度等的监控和分析，可查看和控制服务器散热，提供优化的能源方案，提供官网软件下载链接并加盖厂家公章；得2分，不提供不得分；</w:t>
            </w:r>
          </w:p>
          <w:p>
            <w:pPr>
              <w:widowControl w:val="0"/>
              <w:numPr>
                <w:ilvl w:val="0"/>
                <w:numId w:val="5"/>
              </w:numPr>
              <w:jc w:val="both"/>
              <w:rPr>
                <w:rFonts w:hint="eastAsia"/>
                <w:color w:val="auto"/>
                <w:highlight w:val="none"/>
                <w:lang w:val="en-US" w:eastAsia="zh-CN"/>
              </w:rPr>
            </w:pPr>
            <w:r>
              <w:rPr>
                <w:rFonts w:hint="eastAsia"/>
                <w:color w:val="auto"/>
                <w:highlight w:val="none"/>
                <w:lang w:val="en-US" w:eastAsia="zh-CN"/>
              </w:rPr>
              <w:t>所投产品：需自带系统管理软件：中文管理界面，要求提供（但不限于）以下功能（需提供此系统管理软件的软件著作权登记证书复印件（或扫描件）和软件官方下载网址链接并加盖厂家公章）得2分，不提供不得分；</w:t>
            </w:r>
          </w:p>
          <w:p>
            <w:pPr>
              <w:widowControl w:val="0"/>
              <w:numPr>
                <w:ilvl w:val="0"/>
                <w:numId w:val="5"/>
              </w:numPr>
              <w:jc w:val="both"/>
              <w:rPr>
                <w:rFonts w:hint="eastAsia"/>
                <w:color w:val="auto"/>
                <w:highlight w:val="none"/>
                <w:lang w:val="en-US" w:eastAsia="zh-CN"/>
              </w:rPr>
            </w:pPr>
            <w:r>
              <w:rPr>
                <w:rFonts w:hint="eastAsia"/>
                <w:color w:val="auto"/>
                <w:highlight w:val="none"/>
                <w:lang w:val="en-US" w:eastAsia="zh-CN"/>
              </w:rPr>
              <w:t>所投产品：需自带系统移动 APP 管理：支持 Android 和 IOS 的移动 APP，通过 APP 可以 集中监控查看设备的状态、审计日志和报警信息，以及执行设备电源 开关动作等，要求提供可用的移动 APP 软件下载网址链接并加盖厂家公章；得2分，不提供不得分；</w:t>
            </w:r>
          </w:p>
          <w:p>
            <w:pPr>
              <w:widowControl w:val="0"/>
              <w:numPr>
                <w:ilvl w:val="0"/>
                <w:numId w:val="5"/>
              </w:numPr>
              <w:jc w:val="both"/>
              <w:rPr>
                <w:rFonts w:hint="default"/>
                <w:color w:val="auto"/>
                <w:highlight w:val="none"/>
                <w:lang w:val="en-US" w:eastAsia="zh-CN"/>
              </w:rPr>
            </w:pPr>
            <w:r>
              <w:rPr>
                <w:rFonts w:hint="eastAsia"/>
                <w:color w:val="auto"/>
                <w:highlight w:val="none"/>
                <w:lang w:val="en-US" w:eastAsia="zh-CN"/>
              </w:rPr>
              <w:t>所投产品：需经过产品认证：产品通过中国 3C 认证、中国节能产品认证、中国环境标志 产品认证,要求提供所有证书（或报告）的复印件或扫描件；得2分，不提供不得分；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3" w:hRule="atLeast"/>
        </w:trPr>
        <w:tc>
          <w:tcPr>
            <w:tcW w:w="514" w:type="dxa"/>
            <w:vMerge w:val="continue"/>
            <w:vAlign w:val="center"/>
          </w:tcPr>
          <w:p>
            <w:pPr>
              <w:pageBreakBefore w:val="0"/>
              <w:kinsoku/>
              <w:wordWrap/>
              <w:overflowPunct/>
              <w:topLinePunct w:val="0"/>
              <w:bidi w:val="0"/>
              <w:snapToGrid/>
              <w:spacing w:line="360" w:lineRule="exact"/>
              <w:jc w:val="center"/>
              <w:outlineLvl w:val="9"/>
              <w:rPr>
                <w:rFonts w:hint="eastAsia" w:ascii="宋体" w:hAnsi="宋体" w:eastAsia="宋体" w:cs="宋体"/>
                <w:color w:val="auto"/>
                <w:sz w:val="21"/>
                <w:szCs w:val="21"/>
                <w:highlight w:val="none"/>
              </w:rPr>
            </w:pPr>
          </w:p>
        </w:tc>
        <w:tc>
          <w:tcPr>
            <w:tcW w:w="1183" w:type="dxa"/>
            <w:vMerge w:val="continue"/>
            <w:vAlign w:val="center"/>
          </w:tcPr>
          <w:p>
            <w:pPr>
              <w:pageBreakBefore w:val="0"/>
              <w:kinsoku/>
              <w:wordWrap/>
              <w:overflowPunct/>
              <w:topLinePunct w:val="0"/>
              <w:bidi w:val="0"/>
              <w:snapToGrid/>
              <w:spacing w:line="360" w:lineRule="exact"/>
              <w:jc w:val="center"/>
              <w:outlineLvl w:val="9"/>
              <w:rPr>
                <w:rFonts w:hint="eastAsia" w:ascii="宋体" w:hAnsi="宋体" w:eastAsia="宋体" w:cs="宋体"/>
                <w:color w:val="auto"/>
                <w:sz w:val="21"/>
                <w:szCs w:val="21"/>
                <w:highlight w:val="none"/>
              </w:rPr>
            </w:pPr>
          </w:p>
        </w:tc>
        <w:tc>
          <w:tcPr>
            <w:tcW w:w="1131" w:type="dxa"/>
            <w:vAlign w:val="center"/>
          </w:tcPr>
          <w:p>
            <w:pPr>
              <w:pageBreakBefore w:val="0"/>
              <w:kinsoku/>
              <w:wordWrap/>
              <w:overflowPunct/>
              <w:topLinePunct w:val="0"/>
              <w:bidi w:val="0"/>
              <w:snapToGrid/>
              <w:spacing w:line="36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移动执法终端</w:t>
            </w:r>
          </w:p>
        </w:tc>
        <w:tc>
          <w:tcPr>
            <w:tcW w:w="536" w:type="dxa"/>
            <w:vAlign w:val="center"/>
          </w:tcPr>
          <w:p>
            <w:pPr>
              <w:pageBreakBefore w:val="0"/>
              <w:kinsoku/>
              <w:wordWrap/>
              <w:overflowPunct/>
              <w:topLinePunct w:val="0"/>
              <w:bidi w:val="0"/>
              <w:snapToGrid/>
              <w:spacing w:line="360" w:lineRule="exact"/>
              <w:jc w:val="center"/>
              <w:outlineLvl w:val="9"/>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4分</w:t>
            </w:r>
          </w:p>
        </w:tc>
        <w:tc>
          <w:tcPr>
            <w:tcW w:w="6857" w:type="dxa"/>
            <w:vAlign w:val="center"/>
          </w:tcPr>
          <w:p>
            <w:pPr>
              <w:widowControl w:val="0"/>
              <w:numPr>
                <w:ilvl w:val="0"/>
                <w:numId w:val="0"/>
              </w:numPr>
              <w:jc w:val="both"/>
              <w:rPr>
                <w:rFonts w:hint="default" w:ascii="宋体" w:hAnsi="宋体" w:cs="宋体"/>
                <w:color w:val="auto"/>
                <w:kern w:val="2"/>
                <w:sz w:val="21"/>
                <w:szCs w:val="21"/>
                <w:highlight w:val="none"/>
                <w:lang w:val="en-US" w:eastAsia="zh-CN" w:bidi="ar-SA"/>
              </w:rPr>
            </w:pPr>
            <w:r>
              <w:rPr>
                <w:rFonts w:hint="eastAsia"/>
                <w:color w:val="auto"/>
                <w:highlight w:val="none"/>
                <w:lang w:val="en-US" w:eastAsia="zh-CN"/>
              </w:rPr>
              <w:t>1、所投产品：</w:t>
            </w:r>
            <w:r>
              <w:rPr>
                <w:rFonts w:hint="default" w:ascii="宋体" w:hAnsi="宋体" w:cs="宋体"/>
                <w:color w:val="auto"/>
                <w:kern w:val="2"/>
                <w:sz w:val="21"/>
                <w:szCs w:val="21"/>
                <w:highlight w:val="none"/>
                <w:lang w:val="en-US" w:eastAsia="zh-CN" w:bidi="ar-SA"/>
              </w:rPr>
              <w:t>需具备安全密码模块，并提供国家密码管理局签发的商用密码产品型号证书（复印件并加盖厂家公章）；</w:t>
            </w:r>
            <w:r>
              <w:rPr>
                <w:rFonts w:hint="eastAsia"/>
                <w:color w:val="auto"/>
                <w:highlight w:val="none"/>
                <w:lang w:val="en-US" w:eastAsia="zh-CN"/>
              </w:rPr>
              <w:t>得2分，不提供不得分；</w:t>
            </w:r>
          </w:p>
          <w:p>
            <w:pPr>
              <w:widowControl w:val="0"/>
              <w:numPr>
                <w:ilvl w:val="0"/>
                <w:numId w:val="0"/>
              </w:numPr>
              <w:jc w:val="both"/>
              <w:rPr>
                <w:rFonts w:hint="default" w:ascii="宋体" w:hAnsi="宋体" w:cs="宋体"/>
                <w:color w:val="auto"/>
                <w:kern w:val="2"/>
                <w:sz w:val="21"/>
                <w:szCs w:val="21"/>
                <w:highlight w:val="none"/>
                <w:lang w:val="en-US" w:eastAsia="zh-CN" w:bidi="ar-SA"/>
              </w:rPr>
            </w:pPr>
            <w:r>
              <w:rPr>
                <w:rFonts w:hint="eastAsia"/>
                <w:color w:val="auto"/>
                <w:highlight w:val="none"/>
                <w:lang w:val="en-US" w:eastAsia="zh-CN"/>
              </w:rPr>
              <w:t>2、所投产品：</w:t>
            </w:r>
            <w:r>
              <w:rPr>
                <w:rFonts w:hint="default" w:ascii="宋体" w:hAnsi="宋体" w:cs="宋体"/>
                <w:color w:val="auto"/>
                <w:kern w:val="2"/>
                <w:sz w:val="21"/>
                <w:szCs w:val="21"/>
                <w:highlight w:val="none"/>
                <w:lang w:val="en-US" w:eastAsia="zh-CN" w:bidi="ar-SA"/>
              </w:rPr>
              <w:t>需具备安全密码模块，并须具备计算机信息系统安全专用产品销售许可证（复印件并加盖厂家公章）；</w:t>
            </w:r>
            <w:r>
              <w:rPr>
                <w:rFonts w:hint="eastAsia"/>
                <w:color w:val="auto"/>
                <w:highlight w:val="none"/>
                <w:lang w:val="en-US" w:eastAsia="zh-CN"/>
              </w:rPr>
              <w:t>得2分，不提供不得分；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3" w:hRule="atLeast"/>
        </w:trPr>
        <w:tc>
          <w:tcPr>
            <w:tcW w:w="514" w:type="dxa"/>
            <w:vMerge w:val="continue"/>
            <w:vAlign w:val="center"/>
          </w:tcPr>
          <w:p>
            <w:pPr>
              <w:pageBreakBefore w:val="0"/>
              <w:kinsoku/>
              <w:wordWrap/>
              <w:overflowPunct/>
              <w:topLinePunct w:val="0"/>
              <w:bidi w:val="0"/>
              <w:snapToGrid/>
              <w:spacing w:line="360" w:lineRule="exact"/>
              <w:jc w:val="center"/>
              <w:outlineLvl w:val="9"/>
              <w:rPr>
                <w:rFonts w:hint="eastAsia" w:ascii="宋体" w:hAnsi="宋体" w:eastAsia="宋体" w:cs="宋体"/>
                <w:color w:val="auto"/>
                <w:sz w:val="21"/>
                <w:szCs w:val="21"/>
                <w:highlight w:val="none"/>
              </w:rPr>
            </w:pPr>
          </w:p>
        </w:tc>
        <w:tc>
          <w:tcPr>
            <w:tcW w:w="1183" w:type="dxa"/>
            <w:vMerge w:val="continue"/>
            <w:vAlign w:val="center"/>
          </w:tcPr>
          <w:p>
            <w:pPr>
              <w:pageBreakBefore w:val="0"/>
              <w:kinsoku/>
              <w:wordWrap/>
              <w:overflowPunct/>
              <w:topLinePunct w:val="0"/>
              <w:bidi w:val="0"/>
              <w:snapToGrid/>
              <w:spacing w:line="360" w:lineRule="exact"/>
              <w:jc w:val="center"/>
              <w:outlineLvl w:val="9"/>
              <w:rPr>
                <w:rFonts w:hint="eastAsia" w:ascii="宋体" w:hAnsi="宋体" w:eastAsia="宋体" w:cs="宋体"/>
                <w:color w:val="auto"/>
                <w:sz w:val="21"/>
                <w:szCs w:val="21"/>
                <w:highlight w:val="none"/>
              </w:rPr>
            </w:pPr>
          </w:p>
        </w:tc>
        <w:tc>
          <w:tcPr>
            <w:tcW w:w="1131" w:type="dxa"/>
            <w:vAlign w:val="center"/>
          </w:tcPr>
          <w:p>
            <w:pPr>
              <w:pageBreakBefore w:val="0"/>
              <w:kinsoku/>
              <w:wordWrap/>
              <w:overflowPunct/>
              <w:topLinePunct w:val="0"/>
              <w:bidi w:val="0"/>
              <w:snapToGrid/>
              <w:spacing w:line="36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电子定位终端</w:t>
            </w:r>
          </w:p>
        </w:tc>
        <w:tc>
          <w:tcPr>
            <w:tcW w:w="536" w:type="dxa"/>
            <w:vAlign w:val="center"/>
          </w:tcPr>
          <w:p>
            <w:pPr>
              <w:pageBreakBefore w:val="0"/>
              <w:kinsoku/>
              <w:wordWrap/>
              <w:overflowPunct/>
              <w:topLinePunct w:val="0"/>
              <w:bidi w:val="0"/>
              <w:snapToGrid/>
              <w:spacing w:line="360" w:lineRule="exact"/>
              <w:jc w:val="center"/>
              <w:outlineLvl w:val="9"/>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2分</w:t>
            </w:r>
          </w:p>
        </w:tc>
        <w:tc>
          <w:tcPr>
            <w:tcW w:w="6857" w:type="dxa"/>
            <w:vAlign w:val="center"/>
          </w:tcPr>
          <w:p>
            <w:pPr>
              <w:pStyle w:val="24"/>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outlineLvl w:val="9"/>
              <w:rPr>
                <w:rFonts w:hint="eastAsia" w:ascii="宋体" w:hAnsi="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具备安全性能、电池安全性能、电池兼容性（需提供省级以上检测机构出具的检测报告复印机并加盖厂家公章）；</w:t>
            </w:r>
            <w:r>
              <w:rPr>
                <w:rFonts w:hint="eastAsia"/>
                <w:color w:val="auto"/>
                <w:highlight w:val="none"/>
                <w:lang w:val="en-US" w:eastAsia="zh-CN"/>
              </w:rPr>
              <w:t>得2分，不提供不得分；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8" w:hRule="atLeast"/>
        </w:trPr>
        <w:tc>
          <w:tcPr>
            <w:tcW w:w="514" w:type="dxa"/>
            <w:vMerge w:val="continue"/>
            <w:vAlign w:val="center"/>
          </w:tcPr>
          <w:p>
            <w:pPr>
              <w:pageBreakBefore w:val="0"/>
              <w:kinsoku/>
              <w:wordWrap/>
              <w:overflowPunct/>
              <w:topLinePunct w:val="0"/>
              <w:bidi w:val="0"/>
              <w:snapToGrid/>
              <w:spacing w:line="360" w:lineRule="exact"/>
              <w:jc w:val="center"/>
              <w:outlineLvl w:val="9"/>
              <w:rPr>
                <w:rFonts w:hint="eastAsia" w:ascii="宋体" w:hAnsi="宋体" w:eastAsia="宋体" w:cs="宋体"/>
                <w:color w:val="auto"/>
                <w:sz w:val="21"/>
                <w:szCs w:val="21"/>
                <w:highlight w:val="none"/>
              </w:rPr>
            </w:pPr>
          </w:p>
        </w:tc>
        <w:tc>
          <w:tcPr>
            <w:tcW w:w="1183" w:type="dxa"/>
            <w:vMerge w:val="continue"/>
            <w:vAlign w:val="center"/>
          </w:tcPr>
          <w:p>
            <w:pPr>
              <w:pageBreakBefore w:val="0"/>
              <w:kinsoku/>
              <w:wordWrap/>
              <w:overflowPunct/>
              <w:topLinePunct w:val="0"/>
              <w:bidi w:val="0"/>
              <w:snapToGrid/>
              <w:spacing w:line="360" w:lineRule="exact"/>
              <w:jc w:val="center"/>
              <w:outlineLvl w:val="9"/>
              <w:rPr>
                <w:rFonts w:hint="eastAsia" w:ascii="宋体" w:hAnsi="宋体" w:eastAsia="宋体" w:cs="宋体"/>
                <w:color w:val="auto"/>
                <w:sz w:val="21"/>
                <w:szCs w:val="21"/>
                <w:highlight w:val="none"/>
              </w:rPr>
            </w:pPr>
          </w:p>
        </w:tc>
        <w:tc>
          <w:tcPr>
            <w:tcW w:w="1131" w:type="dxa"/>
            <w:vAlign w:val="center"/>
          </w:tcPr>
          <w:p>
            <w:pPr>
              <w:pageBreakBefore w:val="0"/>
              <w:kinsoku/>
              <w:wordWrap/>
              <w:overflowPunct/>
              <w:topLinePunct w:val="0"/>
              <w:bidi w:val="0"/>
              <w:snapToGrid/>
              <w:spacing w:line="36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网络高清半球</w:t>
            </w:r>
            <w:r>
              <w:rPr>
                <w:rFonts w:hint="eastAsia" w:ascii="宋体" w:hAnsi="宋体" w:cs="宋体"/>
                <w:color w:val="auto"/>
                <w:kern w:val="2"/>
                <w:sz w:val="21"/>
                <w:szCs w:val="21"/>
                <w:highlight w:val="none"/>
                <w:lang w:val="en-US" w:eastAsia="zh-CN" w:bidi="ar-SA"/>
              </w:rPr>
              <w:t>、</w:t>
            </w:r>
            <w:r>
              <w:rPr>
                <w:rFonts w:hint="eastAsia" w:ascii="宋体" w:hAnsi="宋体" w:eastAsia="宋体" w:cs="宋体"/>
                <w:color w:val="auto"/>
                <w:kern w:val="2"/>
                <w:sz w:val="21"/>
                <w:szCs w:val="21"/>
                <w:highlight w:val="none"/>
                <w:lang w:val="en-US" w:eastAsia="zh-CN" w:bidi="ar-SA"/>
              </w:rPr>
              <w:t>网络高清球机</w:t>
            </w:r>
            <w:r>
              <w:rPr>
                <w:rFonts w:hint="eastAsia" w:ascii="宋体" w:hAnsi="宋体" w:cs="宋体"/>
                <w:color w:val="auto"/>
                <w:kern w:val="2"/>
                <w:sz w:val="21"/>
                <w:szCs w:val="21"/>
                <w:highlight w:val="none"/>
                <w:lang w:val="en-US" w:eastAsia="zh-CN" w:bidi="ar-SA"/>
              </w:rPr>
              <w:t>、NVR</w:t>
            </w:r>
          </w:p>
        </w:tc>
        <w:tc>
          <w:tcPr>
            <w:tcW w:w="536" w:type="dxa"/>
            <w:vAlign w:val="center"/>
          </w:tcPr>
          <w:p>
            <w:pPr>
              <w:pageBreakBefore w:val="0"/>
              <w:kinsoku/>
              <w:wordWrap/>
              <w:overflowPunct/>
              <w:topLinePunct w:val="0"/>
              <w:bidi w:val="0"/>
              <w:snapToGrid/>
              <w:spacing w:line="360" w:lineRule="exact"/>
              <w:jc w:val="center"/>
              <w:outlineLvl w:val="9"/>
              <w:rPr>
                <w:rFonts w:hint="default" w:ascii="宋体" w:hAnsi="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9分</w:t>
            </w:r>
          </w:p>
        </w:tc>
        <w:tc>
          <w:tcPr>
            <w:tcW w:w="6857" w:type="dxa"/>
            <w:vAlign w:val="center"/>
          </w:tcPr>
          <w:p>
            <w:pPr>
              <w:pStyle w:val="24"/>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outlineLvl w:val="9"/>
              <w:rPr>
                <w:rFonts w:hint="eastAsia"/>
                <w:color w:val="auto"/>
                <w:highlight w:val="none"/>
                <w:lang w:val="en-US" w:eastAsia="zh-CN"/>
              </w:rPr>
            </w:pPr>
            <w:r>
              <w:rPr>
                <w:rFonts w:hint="eastAsia"/>
                <w:color w:val="auto"/>
                <w:highlight w:val="none"/>
                <w:lang w:val="en-US" w:eastAsia="zh-CN"/>
              </w:rPr>
              <w:t>1、所投产品：厂家提供发改委印发的国家地方联合工程研究中心或国家地方联合联合工程实验室扫描件并加盖厂家公章；得2分，不提供不得分；</w:t>
            </w:r>
          </w:p>
          <w:p>
            <w:pPr>
              <w:numPr>
                <w:ilvl w:val="0"/>
                <w:numId w:val="0"/>
              </w:numPr>
              <w:rPr>
                <w:rFonts w:hint="eastAsia"/>
                <w:color w:val="auto"/>
                <w:highlight w:val="none"/>
                <w:lang w:val="en-US" w:eastAsia="zh-CN"/>
              </w:rPr>
            </w:pPr>
            <w:r>
              <w:rPr>
                <w:rFonts w:hint="eastAsia"/>
                <w:color w:val="auto"/>
                <w:highlight w:val="none"/>
                <w:lang w:val="en-US" w:eastAsia="zh-CN"/>
              </w:rPr>
              <w:t>2、所投产品：厂家提供厂家具备CCC现场检测实验室资质的扫描件并加盖厂家公章；得2分，不提供不得分；</w:t>
            </w:r>
          </w:p>
          <w:p>
            <w:pPr>
              <w:pStyle w:val="24"/>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outlineLvl w:val="9"/>
              <w:rPr>
                <w:rFonts w:hint="eastAsia"/>
                <w:color w:val="auto"/>
                <w:highlight w:val="none"/>
                <w:lang w:val="en-US" w:eastAsia="zh-CN"/>
              </w:rPr>
            </w:pPr>
            <w:r>
              <w:rPr>
                <w:rFonts w:hint="eastAsia"/>
                <w:color w:val="auto"/>
                <w:highlight w:val="none"/>
                <w:lang w:val="en-US" w:eastAsia="zh-CN"/>
              </w:rPr>
              <w:t>3、所投产品：厂家提供厂家具备中国信息安全测评中心颁发的信息安全服务资质（安全开发类）资质的扫描件并加盖厂家公章；得2分，不提供不得分；</w:t>
            </w:r>
          </w:p>
          <w:p>
            <w:pPr>
              <w:numPr>
                <w:ilvl w:val="0"/>
                <w:numId w:val="0"/>
              </w:numPr>
              <w:rPr>
                <w:rFonts w:hint="eastAsia"/>
                <w:color w:val="auto"/>
                <w:highlight w:val="none"/>
                <w:lang w:val="en-US" w:eastAsia="zh-CN"/>
              </w:rPr>
            </w:pPr>
            <w:r>
              <w:rPr>
                <w:rFonts w:hint="eastAsia"/>
                <w:color w:val="auto"/>
                <w:highlight w:val="none"/>
                <w:lang w:val="en-US" w:eastAsia="zh-CN"/>
              </w:rPr>
              <w:t>4、所投产品：需提供加盖制造厂家公章的相关检验报告扫描件；提供1份得1分，最多得3分不提供不得分；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8" w:hRule="atLeast"/>
        </w:trPr>
        <w:tc>
          <w:tcPr>
            <w:tcW w:w="514" w:type="dxa"/>
            <w:vMerge w:val="continue"/>
            <w:vAlign w:val="center"/>
          </w:tcPr>
          <w:p>
            <w:pPr>
              <w:pageBreakBefore w:val="0"/>
              <w:kinsoku/>
              <w:wordWrap/>
              <w:overflowPunct/>
              <w:topLinePunct w:val="0"/>
              <w:bidi w:val="0"/>
              <w:snapToGrid/>
              <w:spacing w:line="360" w:lineRule="exact"/>
              <w:jc w:val="center"/>
              <w:outlineLvl w:val="9"/>
              <w:rPr>
                <w:rFonts w:hint="eastAsia" w:ascii="宋体" w:hAnsi="宋体" w:eastAsia="宋体" w:cs="宋体"/>
                <w:color w:val="auto"/>
                <w:sz w:val="21"/>
                <w:szCs w:val="21"/>
                <w:highlight w:val="none"/>
              </w:rPr>
            </w:pPr>
          </w:p>
        </w:tc>
        <w:tc>
          <w:tcPr>
            <w:tcW w:w="1183" w:type="dxa"/>
            <w:vMerge w:val="continue"/>
            <w:vAlign w:val="center"/>
          </w:tcPr>
          <w:p>
            <w:pPr>
              <w:pageBreakBefore w:val="0"/>
              <w:kinsoku/>
              <w:wordWrap/>
              <w:overflowPunct/>
              <w:topLinePunct w:val="0"/>
              <w:bidi w:val="0"/>
              <w:snapToGrid/>
              <w:spacing w:line="360" w:lineRule="exact"/>
              <w:jc w:val="center"/>
              <w:outlineLvl w:val="9"/>
              <w:rPr>
                <w:rFonts w:hint="eastAsia" w:ascii="宋体" w:hAnsi="宋体" w:eastAsia="宋体" w:cs="宋体"/>
                <w:color w:val="auto"/>
                <w:sz w:val="21"/>
                <w:szCs w:val="21"/>
                <w:highlight w:val="none"/>
              </w:rPr>
            </w:pPr>
          </w:p>
        </w:tc>
        <w:tc>
          <w:tcPr>
            <w:tcW w:w="1131" w:type="dxa"/>
            <w:vAlign w:val="center"/>
          </w:tcPr>
          <w:p>
            <w:pPr>
              <w:pageBreakBefore w:val="0"/>
              <w:kinsoku/>
              <w:wordWrap/>
              <w:overflowPunct/>
              <w:topLinePunct w:val="0"/>
              <w:bidi w:val="0"/>
              <w:snapToGrid/>
              <w:spacing w:line="360" w:lineRule="exact"/>
              <w:jc w:val="center"/>
              <w:outlineLvl w:val="9"/>
              <w:rPr>
                <w:rFonts w:hint="eastAsia"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核心</w:t>
            </w:r>
            <w:r>
              <w:rPr>
                <w:rFonts w:hint="eastAsia" w:ascii="宋体" w:hAnsi="宋体" w:eastAsia="宋体" w:cs="宋体"/>
                <w:color w:val="auto"/>
                <w:kern w:val="2"/>
                <w:sz w:val="21"/>
                <w:szCs w:val="21"/>
                <w:highlight w:val="none"/>
                <w:lang w:val="en-US" w:eastAsia="zh-CN" w:bidi="ar-SA"/>
              </w:rPr>
              <w:t>交换机</w:t>
            </w:r>
          </w:p>
        </w:tc>
        <w:tc>
          <w:tcPr>
            <w:tcW w:w="536" w:type="dxa"/>
            <w:vAlign w:val="center"/>
          </w:tcPr>
          <w:p>
            <w:pPr>
              <w:pageBreakBefore w:val="0"/>
              <w:kinsoku/>
              <w:wordWrap/>
              <w:overflowPunct/>
              <w:topLinePunct w:val="0"/>
              <w:bidi w:val="0"/>
              <w:snapToGrid/>
              <w:spacing w:line="360" w:lineRule="exact"/>
              <w:jc w:val="center"/>
              <w:outlineLvl w:val="9"/>
              <w:rPr>
                <w:rFonts w:hint="default" w:ascii="宋体" w:hAnsi="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10分</w:t>
            </w:r>
          </w:p>
        </w:tc>
        <w:tc>
          <w:tcPr>
            <w:tcW w:w="6857" w:type="dxa"/>
            <w:vAlign w:val="center"/>
          </w:tcPr>
          <w:p>
            <w:pPr>
              <w:numPr>
                <w:ilvl w:val="0"/>
                <w:numId w:val="0"/>
              </w:numPr>
              <w:rPr>
                <w:rFonts w:hint="eastAsia"/>
                <w:color w:val="auto"/>
                <w:highlight w:val="none"/>
                <w:lang w:val="en-US" w:eastAsia="zh-CN"/>
              </w:rPr>
            </w:pPr>
            <w:r>
              <w:rPr>
                <w:rFonts w:hint="eastAsia"/>
                <w:color w:val="auto"/>
                <w:highlight w:val="none"/>
                <w:lang w:val="en-US" w:eastAsia="zh-CN"/>
              </w:rPr>
              <w:t>1、所投产品：要求设备采用静音无风扇节能设计，且支持IEEE 802.3az标准的 EEE节能技术，提供设备配置截图并加盖厂家投标专用章作为证明；保留测试权力；得2分，不提供不得分；</w:t>
            </w:r>
          </w:p>
          <w:p>
            <w:pPr>
              <w:rPr>
                <w:rFonts w:hint="eastAsia"/>
                <w:color w:val="auto"/>
                <w:highlight w:val="none"/>
                <w:lang w:val="en-US" w:eastAsia="zh-CN"/>
              </w:rPr>
            </w:pPr>
            <w:r>
              <w:rPr>
                <w:rFonts w:hint="eastAsia"/>
                <w:color w:val="auto"/>
                <w:highlight w:val="none"/>
                <w:lang w:val="en-US" w:eastAsia="zh-CN"/>
              </w:rPr>
              <w:t>2、所投产品：要求可以通过同一品牌的网管软件实现CPU，内存利用率的查看，以及交换机VLAN划分等功能，实配网管平台，提供设备配置截图及软件产品登记测试报告并加盖厂家投标专用章作为证明；保留测试权力；得2分，不提供不得分；</w:t>
            </w:r>
          </w:p>
          <w:p>
            <w:pPr>
              <w:rPr>
                <w:rFonts w:hint="eastAsia"/>
                <w:color w:val="auto"/>
                <w:highlight w:val="none"/>
                <w:lang w:val="en-US" w:eastAsia="zh-CN"/>
              </w:rPr>
            </w:pPr>
            <w:r>
              <w:rPr>
                <w:rFonts w:hint="eastAsia"/>
                <w:color w:val="auto"/>
                <w:highlight w:val="none"/>
                <w:lang w:val="en-US" w:eastAsia="zh-CN"/>
              </w:rPr>
              <w:t>3、所投产品：厂家需获得信息技术服务运行维护标准符合性证书；标书内应附加盖制造厂家投标专用章的相关证书扫描件；得2分，不提供不得分；</w:t>
            </w:r>
          </w:p>
          <w:p>
            <w:pPr>
              <w:rPr>
                <w:rFonts w:hint="eastAsia"/>
                <w:color w:val="auto"/>
                <w:highlight w:val="none"/>
                <w:lang w:val="en-US" w:eastAsia="zh-CN"/>
              </w:rPr>
            </w:pPr>
            <w:r>
              <w:rPr>
                <w:rFonts w:hint="eastAsia"/>
                <w:color w:val="auto"/>
                <w:highlight w:val="none"/>
                <w:lang w:val="en-US" w:eastAsia="zh-CN"/>
              </w:rPr>
              <w:t>4、投标人所投交换机设备产品厂家：需自2014年以来荣获过国家工商行政管理总局“守合同重信用”资格荣誉证书；标书内应附加盖制造厂家投标专用章的相关证书扫描件；得2分，不提供不得分；</w:t>
            </w:r>
          </w:p>
          <w:p>
            <w:pPr>
              <w:rPr>
                <w:rFonts w:hint="eastAsia"/>
                <w:color w:val="auto"/>
                <w:highlight w:val="none"/>
                <w:lang w:val="en-US" w:eastAsia="zh-CN"/>
              </w:rPr>
            </w:pPr>
            <w:r>
              <w:rPr>
                <w:rFonts w:hint="eastAsia"/>
                <w:color w:val="auto"/>
                <w:highlight w:val="none"/>
                <w:lang w:val="en-US" w:eastAsia="zh-CN"/>
              </w:rPr>
              <w:t>5、投标人所投交换机设备产品厂家：需获得售后服务五星级认证证书；标书内应附加盖制造厂家投标专用章的相关证书扫描件；得2分，不提供不得分；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3" w:hRule="atLeast"/>
        </w:trPr>
        <w:tc>
          <w:tcPr>
            <w:tcW w:w="514" w:type="dxa"/>
            <w:vMerge w:val="continue"/>
            <w:vAlign w:val="center"/>
          </w:tcPr>
          <w:p>
            <w:pPr>
              <w:pageBreakBefore w:val="0"/>
              <w:kinsoku/>
              <w:wordWrap/>
              <w:overflowPunct/>
              <w:topLinePunct w:val="0"/>
              <w:bidi w:val="0"/>
              <w:snapToGrid/>
              <w:spacing w:line="360" w:lineRule="exact"/>
              <w:jc w:val="center"/>
              <w:outlineLvl w:val="9"/>
              <w:rPr>
                <w:rFonts w:hint="eastAsia" w:ascii="宋体" w:hAnsi="宋体" w:eastAsia="宋体" w:cs="宋体"/>
                <w:color w:val="auto"/>
                <w:sz w:val="21"/>
                <w:szCs w:val="21"/>
                <w:highlight w:val="none"/>
              </w:rPr>
            </w:pPr>
          </w:p>
        </w:tc>
        <w:tc>
          <w:tcPr>
            <w:tcW w:w="1183" w:type="dxa"/>
            <w:vMerge w:val="continue"/>
            <w:vAlign w:val="center"/>
          </w:tcPr>
          <w:p>
            <w:pPr>
              <w:pageBreakBefore w:val="0"/>
              <w:kinsoku/>
              <w:wordWrap/>
              <w:overflowPunct/>
              <w:topLinePunct w:val="0"/>
              <w:bidi w:val="0"/>
              <w:snapToGrid/>
              <w:spacing w:line="360" w:lineRule="exact"/>
              <w:jc w:val="center"/>
              <w:outlineLvl w:val="9"/>
              <w:rPr>
                <w:rFonts w:hint="eastAsia" w:ascii="宋体" w:hAnsi="宋体" w:eastAsia="宋体" w:cs="宋体"/>
                <w:color w:val="auto"/>
                <w:sz w:val="21"/>
                <w:szCs w:val="21"/>
                <w:highlight w:val="none"/>
              </w:rPr>
            </w:pPr>
          </w:p>
        </w:tc>
        <w:tc>
          <w:tcPr>
            <w:tcW w:w="1131" w:type="dxa"/>
            <w:vAlign w:val="center"/>
          </w:tcPr>
          <w:p>
            <w:pPr>
              <w:pageBreakBefore w:val="0"/>
              <w:kinsoku/>
              <w:wordWrap/>
              <w:overflowPunct/>
              <w:topLinePunct w:val="0"/>
              <w:bidi w:val="0"/>
              <w:snapToGrid/>
              <w:spacing w:line="360" w:lineRule="exact"/>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安装、调试方案</w:t>
            </w:r>
          </w:p>
        </w:tc>
        <w:tc>
          <w:tcPr>
            <w:tcW w:w="536" w:type="dxa"/>
            <w:vAlign w:val="center"/>
          </w:tcPr>
          <w:p>
            <w:pPr>
              <w:pageBreakBefore w:val="0"/>
              <w:kinsoku/>
              <w:wordWrap/>
              <w:overflowPunct/>
              <w:topLinePunct w:val="0"/>
              <w:bidi w:val="0"/>
              <w:snapToGrid/>
              <w:spacing w:line="360" w:lineRule="exact"/>
              <w:jc w:val="center"/>
              <w:outlineLvl w:val="9"/>
              <w:rPr>
                <w:rFonts w:hint="default" w:ascii="宋体" w:hAnsi="宋体" w:eastAsia="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5分</w:t>
            </w:r>
          </w:p>
        </w:tc>
        <w:tc>
          <w:tcPr>
            <w:tcW w:w="6857" w:type="dxa"/>
            <w:vAlign w:val="center"/>
          </w:tcPr>
          <w:p>
            <w:pPr>
              <w:pageBreakBefore w:val="0"/>
              <w:kinsoku/>
              <w:wordWrap/>
              <w:overflowPunct/>
              <w:topLinePunct w:val="0"/>
              <w:bidi w:val="0"/>
              <w:snapToGrid/>
              <w:spacing w:line="360" w:lineRule="exact"/>
              <w:jc w:val="left"/>
              <w:outlineLvl w:val="9"/>
              <w:rPr>
                <w:rFonts w:hint="default"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根据供应商安装、调试方案的可行性、合理性、科学性等各方面对比评审，方案</w:t>
            </w:r>
            <w:r>
              <w:rPr>
                <w:rFonts w:hint="eastAsia" w:ascii="宋体" w:hAnsi="宋体" w:cs="宋体"/>
                <w:color w:val="auto"/>
                <w:szCs w:val="21"/>
                <w:highlight w:val="none"/>
                <w:lang w:val="en-US" w:eastAsia="zh-CN"/>
              </w:rPr>
              <w:t>科学合理、可行性高的得5分，基本合理、可行得3分，方案描述不清楚、可行性低</w:t>
            </w:r>
            <w:r>
              <w:rPr>
                <w:rFonts w:hint="eastAsia" w:ascii="宋体" w:hAnsi="宋体" w:eastAsia="宋体" w:cs="宋体"/>
                <w:color w:val="auto"/>
                <w:kern w:val="2"/>
                <w:sz w:val="21"/>
                <w:szCs w:val="21"/>
                <w:highlight w:val="none"/>
                <w:lang w:val="en-US" w:eastAsia="zh-CN" w:bidi="ar-SA"/>
              </w:rPr>
              <w:t>的得1分</w:t>
            </w:r>
            <w:r>
              <w:rPr>
                <w:rFonts w:hint="eastAsia" w:ascii="宋体" w:hAnsi="宋体" w:cs="宋体"/>
                <w:color w:val="auto"/>
                <w:kern w:val="2"/>
                <w:sz w:val="21"/>
                <w:szCs w:val="21"/>
                <w:highlight w:val="none"/>
                <w:lang w:val="en-US" w:eastAsia="zh-CN" w:bidi="ar-SA"/>
              </w:rPr>
              <w:t>，</w:t>
            </w:r>
            <w:r>
              <w:rPr>
                <w:rFonts w:hint="eastAsia" w:ascii="宋体" w:hAnsi="宋体" w:eastAsia="宋体" w:cs="宋体"/>
                <w:color w:val="auto"/>
                <w:kern w:val="2"/>
                <w:sz w:val="21"/>
                <w:szCs w:val="21"/>
                <w:highlight w:val="none"/>
                <w:lang w:val="en-US" w:eastAsia="zh-CN" w:bidi="ar-SA"/>
              </w:rPr>
              <w:t>没有的不得分。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7" w:hRule="atLeast"/>
        </w:trPr>
        <w:tc>
          <w:tcPr>
            <w:tcW w:w="514" w:type="dxa"/>
            <w:vAlign w:val="center"/>
          </w:tcPr>
          <w:p>
            <w:pPr>
              <w:pageBreakBefore w:val="0"/>
              <w:kinsoku/>
              <w:wordWrap/>
              <w:overflowPunct/>
              <w:topLinePunct w:val="0"/>
              <w:bidi w:val="0"/>
              <w:snapToGrid/>
              <w:spacing w:line="360" w:lineRule="exact"/>
              <w:jc w:val="center"/>
              <w:outlineLvl w:val="9"/>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p>
        </w:tc>
        <w:tc>
          <w:tcPr>
            <w:tcW w:w="1183" w:type="dxa"/>
            <w:vAlign w:val="center"/>
          </w:tcPr>
          <w:p>
            <w:pPr>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服务承诺</w:t>
            </w:r>
          </w:p>
        </w:tc>
        <w:tc>
          <w:tcPr>
            <w:tcW w:w="1131" w:type="dxa"/>
            <w:vAlign w:val="center"/>
          </w:tcPr>
          <w:p>
            <w:pPr>
              <w:jc w:val="center"/>
              <w:rPr>
                <w:rFonts w:hint="default" w:ascii="宋体" w:hAnsi="宋体" w:cs="宋体"/>
                <w:color w:val="auto"/>
                <w:szCs w:val="21"/>
                <w:highlight w:val="none"/>
                <w:lang w:val="en-US" w:eastAsia="zh-CN"/>
              </w:rPr>
            </w:pPr>
            <w:r>
              <w:rPr>
                <w:rFonts w:hint="eastAsia" w:ascii="宋体" w:hAnsi="宋体" w:cs="宋体"/>
                <w:color w:val="auto"/>
                <w:szCs w:val="21"/>
                <w:highlight w:val="none"/>
                <w:lang w:val="en-US" w:eastAsia="zh-CN"/>
              </w:rPr>
              <w:t>厂家售后承诺函</w:t>
            </w:r>
          </w:p>
        </w:tc>
        <w:tc>
          <w:tcPr>
            <w:tcW w:w="536" w:type="dxa"/>
            <w:vAlign w:val="center"/>
          </w:tcPr>
          <w:p>
            <w:pPr>
              <w:pageBreakBefore w:val="0"/>
              <w:kinsoku/>
              <w:wordWrap/>
              <w:overflowPunct/>
              <w:topLinePunct w:val="0"/>
              <w:bidi w:val="0"/>
              <w:snapToGrid/>
              <w:spacing w:line="360" w:lineRule="exact"/>
              <w:jc w:val="center"/>
              <w:outlineLvl w:val="9"/>
              <w:rPr>
                <w:rFonts w:hint="default" w:ascii="宋体" w:hAnsi="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5分</w:t>
            </w:r>
          </w:p>
        </w:tc>
        <w:tc>
          <w:tcPr>
            <w:tcW w:w="6857" w:type="dxa"/>
          </w:tcPr>
          <w:p>
            <w:pPr>
              <w:pageBreakBefore w:val="0"/>
              <w:kinsoku/>
              <w:wordWrap/>
              <w:overflowPunct/>
              <w:topLinePunct w:val="0"/>
              <w:bidi w:val="0"/>
              <w:snapToGrid/>
              <w:spacing w:line="360" w:lineRule="exact"/>
              <w:jc w:val="left"/>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所投产品</w:t>
            </w:r>
          </w:p>
          <w:p>
            <w:pPr>
              <w:pageBreakBefore w:val="0"/>
              <w:kinsoku/>
              <w:wordWrap/>
              <w:overflowPunct/>
              <w:topLinePunct w:val="0"/>
              <w:bidi w:val="0"/>
              <w:snapToGrid/>
              <w:spacing w:line="360" w:lineRule="exact"/>
              <w:jc w:val="left"/>
              <w:outlineLvl w:val="9"/>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智慧社区矫正指挥综合管理服务软件（服务端）</w:t>
            </w:r>
            <w:r>
              <w:rPr>
                <w:rFonts w:hint="eastAsia" w:ascii="宋体" w:hAnsi="宋体" w:cs="宋体"/>
                <w:i w:val="0"/>
                <w:iCs w:val="0"/>
                <w:color w:val="auto"/>
                <w:kern w:val="0"/>
                <w:sz w:val="21"/>
                <w:szCs w:val="21"/>
                <w:highlight w:val="none"/>
                <w:u w:val="none"/>
                <w:lang w:val="en-US" w:eastAsia="zh-CN"/>
              </w:rPr>
              <w:t>；</w:t>
            </w:r>
          </w:p>
          <w:p>
            <w:pPr>
              <w:pageBreakBefore w:val="0"/>
              <w:kinsoku/>
              <w:wordWrap/>
              <w:overflowPunct/>
              <w:topLinePunct w:val="0"/>
              <w:bidi w:val="0"/>
              <w:snapToGrid/>
              <w:spacing w:line="360" w:lineRule="exact"/>
              <w:jc w:val="left"/>
              <w:outlineLvl w:val="9"/>
              <w:rPr>
                <w:rFonts w:hint="eastAsia" w:ascii="宋体" w:hAnsi="宋体" w:cs="宋体"/>
                <w:color w:val="auto"/>
                <w:kern w:val="2"/>
                <w:sz w:val="21"/>
                <w:szCs w:val="21"/>
                <w:highlight w:val="none"/>
                <w:lang w:val="en-US" w:eastAsia="zh-CN" w:bidi="ar-SA"/>
              </w:rPr>
            </w:pPr>
            <w:r>
              <w:rPr>
                <w:rFonts w:hint="eastAsia" w:ascii="宋体" w:hAnsi="宋体" w:eastAsia="宋体" w:cs="宋体"/>
                <w:i w:val="0"/>
                <w:iCs w:val="0"/>
                <w:color w:val="auto"/>
                <w:kern w:val="0"/>
                <w:sz w:val="21"/>
                <w:szCs w:val="21"/>
                <w:highlight w:val="none"/>
                <w:u w:val="none"/>
                <w:lang w:val="en-US" w:eastAsia="zh-CN"/>
              </w:rPr>
              <w:t>智慧社</w:t>
            </w:r>
            <w:r>
              <w:rPr>
                <w:rFonts w:hint="eastAsia" w:ascii="宋体" w:hAnsi="宋体" w:cs="宋体"/>
                <w:color w:val="auto"/>
                <w:kern w:val="2"/>
                <w:sz w:val="21"/>
                <w:szCs w:val="21"/>
                <w:highlight w:val="none"/>
                <w:lang w:val="en-US" w:eastAsia="zh-CN" w:bidi="ar-SA"/>
              </w:rPr>
              <w:t>区矫正自助矫正终端（桌面式）；</w:t>
            </w:r>
          </w:p>
          <w:p>
            <w:pPr>
              <w:pageBreakBefore w:val="0"/>
              <w:kinsoku/>
              <w:wordWrap/>
              <w:overflowPunct/>
              <w:topLinePunct w:val="0"/>
              <w:bidi w:val="0"/>
              <w:snapToGrid/>
              <w:spacing w:line="360" w:lineRule="exact"/>
              <w:jc w:val="left"/>
              <w:outlineLvl w:val="9"/>
              <w:rPr>
                <w:rFonts w:hint="eastAsia" w:ascii="宋体" w:hAnsi="宋体" w:cs="宋体"/>
                <w:color w:val="auto"/>
                <w:kern w:val="2"/>
                <w:sz w:val="21"/>
                <w:szCs w:val="21"/>
                <w:highlight w:val="none"/>
                <w:lang w:val="en-US" w:eastAsia="zh-CN" w:bidi="ar-SA"/>
              </w:rPr>
            </w:pPr>
            <w:r>
              <w:rPr>
                <w:rFonts w:hint="eastAsia" w:ascii="宋体" w:hAnsi="宋体" w:cs="宋体"/>
                <w:color w:val="auto"/>
                <w:kern w:val="2"/>
                <w:sz w:val="21"/>
                <w:szCs w:val="21"/>
                <w:highlight w:val="none"/>
                <w:lang w:val="en-US" w:eastAsia="zh-CN" w:bidi="ar-SA"/>
              </w:rPr>
              <w:t>智慧社区矫正指挥管理重点视频服务器、远程督查指挥综合管理服务器；</w:t>
            </w:r>
          </w:p>
          <w:p>
            <w:pPr>
              <w:rPr>
                <w:rFonts w:hint="eastAsia" w:ascii="宋体" w:hAnsi="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电子定位终端</w:t>
            </w:r>
            <w:r>
              <w:rPr>
                <w:rFonts w:hint="eastAsia" w:ascii="宋体" w:hAnsi="宋体" w:cs="宋体"/>
                <w:color w:val="auto"/>
                <w:kern w:val="2"/>
                <w:sz w:val="21"/>
                <w:szCs w:val="21"/>
                <w:highlight w:val="none"/>
                <w:lang w:val="en-US" w:eastAsia="zh-CN" w:bidi="ar-SA"/>
              </w:rPr>
              <w:t>；</w:t>
            </w:r>
          </w:p>
          <w:p>
            <w:pP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网络高清半球</w:t>
            </w:r>
            <w:r>
              <w:rPr>
                <w:rFonts w:hint="eastAsia" w:ascii="宋体" w:hAnsi="宋体" w:cs="宋体"/>
                <w:color w:val="auto"/>
                <w:kern w:val="2"/>
                <w:sz w:val="21"/>
                <w:szCs w:val="21"/>
                <w:highlight w:val="none"/>
                <w:lang w:val="en-US" w:eastAsia="zh-CN" w:bidi="ar-SA"/>
              </w:rPr>
              <w:t>、</w:t>
            </w:r>
            <w:r>
              <w:rPr>
                <w:rFonts w:hint="eastAsia" w:ascii="宋体" w:hAnsi="宋体" w:eastAsia="宋体" w:cs="宋体"/>
                <w:color w:val="auto"/>
                <w:kern w:val="2"/>
                <w:sz w:val="21"/>
                <w:szCs w:val="21"/>
                <w:highlight w:val="none"/>
                <w:lang w:val="en-US" w:eastAsia="zh-CN" w:bidi="ar-SA"/>
              </w:rPr>
              <w:t>网络高清球机</w:t>
            </w:r>
            <w:r>
              <w:rPr>
                <w:rFonts w:hint="eastAsia" w:ascii="宋体" w:hAnsi="宋体" w:cs="宋体"/>
                <w:color w:val="auto"/>
                <w:kern w:val="2"/>
                <w:sz w:val="21"/>
                <w:szCs w:val="21"/>
                <w:highlight w:val="none"/>
                <w:lang w:val="en-US" w:eastAsia="zh-CN" w:bidi="ar-SA"/>
              </w:rPr>
              <w:t>、NVR；</w:t>
            </w:r>
          </w:p>
          <w:p>
            <w:pPr>
              <w:pageBreakBefore w:val="0"/>
              <w:kinsoku/>
              <w:wordWrap/>
              <w:overflowPunct/>
              <w:topLinePunct w:val="0"/>
              <w:bidi w:val="0"/>
              <w:snapToGrid/>
              <w:spacing w:line="360" w:lineRule="exact"/>
              <w:jc w:val="left"/>
              <w:outlineLvl w:val="9"/>
              <w:rPr>
                <w:rFonts w:hint="eastAsia" w:ascii="宋体" w:hAnsi="宋体" w:cs="宋体"/>
                <w:color w:val="auto"/>
                <w:szCs w:val="21"/>
                <w:highlight w:val="none"/>
                <w:lang w:val="en-US" w:eastAsia="zh-CN"/>
              </w:rPr>
            </w:pPr>
            <w:r>
              <w:rPr>
                <w:rFonts w:hint="eastAsia" w:ascii="宋体" w:hAnsi="宋体" w:cs="宋体"/>
                <w:color w:val="auto"/>
                <w:kern w:val="2"/>
                <w:sz w:val="21"/>
                <w:szCs w:val="21"/>
                <w:highlight w:val="none"/>
                <w:lang w:val="en-US" w:eastAsia="zh-CN" w:bidi="ar-SA"/>
              </w:rPr>
              <w:t>以上产品需提供</w:t>
            </w:r>
            <w:r>
              <w:rPr>
                <w:rFonts w:hint="eastAsia" w:ascii="宋体" w:hAnsi="宋体" w:eastAsia="宋体" w:cs="宋体"/>
                <w:i w:val="0"/>
                <w:iCs w:val="0"/>
                <w:color w:val="auto"/>
                <w:kern w:val="0"/>
                <w:sz w:val="21"/>
                <w:szCs w:val="21"/>
                <w:highlight w:val="none"/>
                <w:u w:val="none"/>
                <w:lang w:val="en-US" w:eastAsia="zh-CN"/>
              </w:rPr>
              <w:t>生产厂家针对本项目的售后服务承诺函</w:t>
            </w:r>
            <w:r>
              <w:rPr>
                <w:rFonts w:hint="eastAsia" w:ascii="宋体" w:hAnsi="宋体" w:eastAsia="宋体" w:cs="宋体"/>
                <w:bCs/>
                <w:color w:val="auto"/>
                <w:sz w:val="21"/>
                <w:szCs w:val="21"/>
                <w:highlight w:val="none"/>
              </w:rPr>
              <w:t>（提供</w:t>
            </w:r>
            <w:r>
              <w:rPr>
                <w:rFonts w:hint="eastAsia" w:ascii="宋体" w:hAnsi="宋体" w:cs="宋体"/>
                <w:bCs/>
                <w:color w:val="auto"/>
                <w:sz w:val="21"/>
                <w:szCs w:val="21"/>
                <w:highlight w:val="none"/>
                <w:lang w:val="en-US" w:eastAsia="zh-CN"/>
              </w:rPr>
              <w:t>厂家加盖公章的原件扫描件</w:t>
            </w:r>
            <w:r>
              <w:rPr>
                <w:rFonts w:hint="eastAsia" w:ascii="宋体" w:hAnsi="宋体" w:eastAsia="宋体" w:cs="宋体"/>
                <w:bCs/>
                <w:color w:val="auto"/>
                <w:sz w:val="21"/>
                <w:szCs w:val="21"/>
                <w:highlight w:val="none"/>
              </w:rPr>
              <w:t>）</w:t>
            </w:r>
            <w:r>
              <w:rPr>
                <w:rFonts w:hint="eastAsia" w:ascii="宋体" w:hAnsi="宋体" w:eastAsia="宋体" w:cs="宋体"/>
                <w:color w:val="auto"/>
                <w:sz w:val="21"/>
                <w:szCs w:val="21"/>
                <w:highlight w:val="none"/>
                <w:lang w:eastAsia="zh-CN"/>
              </w:rPr>
              <w:t>，</w:t>
            </w:r>
            <w:r>
              <w:rPr>
                <w:rFonts w:hint="eastAsia" w:ascii="宋体" w:hAnsi="宋体" w:cs="宋体"/>
                <w:color w:val="auto"/>
                <w:sz w:val="21"/>
                <w:szCs w:val="21"/>
                <w:highlight w:val="none"/>
                <w:lang w:eastAsia="zh-CN"/>
              </w:rPr>
              <w:t>每提供</w:t>
            </w:r>
            <w:r>
              <w:rPr>
                <w:rFonts w:hint="eastAsia" w:ascii="宋体" w:hAnsi="宋体" w:cs="宋体"/>
                <w:color w:val="auto"/>
                <w:sz w:val="21"/>
                <w:szCs w:val="21"/>
                <w:highlight w:val="none"/>
                <w:lang w:val="en-US" w:eastAsia="zh-CN"/>
              </w:rPr>
              <w:t>1项得1分，最多</w:t>
            </w:r>
            <w:r>
              <w:rPr>
                <w:rFonts w:hint="eastAsia" w:ascii="宋体" w:hAnsi="宋体" w:eastAsia="宋体" w:cs="宋体"/>
                <w:color w:val="auto"/>
                <w:sz w:val="21"/>
                <w:szCs w:val="21"/>
                <w:highlight w:val="none"/>
                <w:lang w:eastAsia="zh-CN"/>
              </w:rPr>
              <w:t>得</w:t>
            </w:r>
            <w:r>
              <w:rPr>
                <w:rFonts w:hint="eastAsia" w:ascii="宋体" w:hAnsi="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分，</w:t>
            </w:r>
            <w:r>
              <w:rPr>
                <w:rFonts w:hint="eastAsia" w:ascii="宋体" w:hAnsi="宋体" w:eastAsia="宋体" w:cs="宋体"/>
                <w:bCs/>
                <w:color w:val="auto"/>
                <w:sz w:val="21"/>
                <w:szCs w:val="21"/>
                <w:highlight w:val="none"/>
                <w:lang w:eastAsia="zh-CN"/>
              </w:rPr>
              <w:t>不提供不得分</w:t>
            </w:r>
            <w:r>
              <w:rPr>
                <w:rFonts w:hint="eastAsia" w:ascii="宋体" w:hAnsi="宋体" w:cs="宋体"/>
                <w:bCs/>
                <w:color w:val="auto"/>
                <w:sz w:val="21"/>
                <w:szCs w:val="21"/>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trPr>
        <w:tc>
          <w:tcPr>
            <w:tcW w:w="10221" w:type="dxa"/>
            <w:gridSpan w:val="5"/>
            <w:vAlign w:val="center"/>
          </w:tcPr>
          <w:p>
            <w:pPr>
              <w:keepNext w:val="0"/>
              <w:keepLines w:val="0"/>
              <w:pageBreakBefore w:val="0"/>
              <w:widowControl/>
              <w:kinsoku/>
              <w:wordWrap/>
              <w:overflowPunct/>
              <w:topLinePunct w:val="0"/>
              <w:autoSpaceDE/>
              <w:autoSpaceDN/>
              <w:bidi w:val="0"/>
              <w:adjustRightInd/>
              <w:snapToGrid/>
              <w:spacing w:line="480" w:lineRule="exact"/>
              <w:jc w:val="left"/>
              <w:textAlignment w:val="center"/>
              <w:outlineLvl w:val="9"/>
              <w:rPr>
                <w:rFonts w:hint="eastAsia" w:ascii="宋体" w:hAnsi="宋体" w:eastAsia="宋体" w:cs="宋体"/>
                <w:color w:val="auto"/>
                <w:kern w:val="0"/>
                <w:sz w:val="21"/>
                <w:szCs w:val="21"/>
                <w:highlight w:val="none"/>
              </w:rPr>
            </w:pPr>
            <w:r>
              <w:rPr>
                <w:rFonts w:hint="eastAsia" w:ascii="宋体" w:hAnsi="宋体" w:eastAsia="宋体" w:cs="宋体"/>
                <w:b/>
                <w:bCs/>
                <w:color w:val="auto"/>
                <w:sz w:val="21"/>
                <w:szCs w:val="21"/>
                <w:highlight w:val="none"/>
              </w:rPr>
              <w:t>注：</w:t>
            </w:r>
            <w:r>
              <w:rPr>
                <w:rFonts w:hint="eastAsia" w:ascii="宋体" w:hAnsi="宋体" w:eastAsia="宋体" w:cs="宋体"/>
                <w:color w:val="auto"/>
                <w:sz w:val="21"/>
                <w:szCs w:val="21"/>
                <w:highlight w:val="none"/>
              </w:rPr>
              <w:t>采购人有权对</w:t>
            </w:r>
            <w:r>
              <w:rPr>
                <w:rFonts w:hint="eastAsia" w:ascii="宋体" w:hAnsi="宋体" w:eastAsia="宋体" w:cs="宋体"/>
                <w:color w:val="auto"/>
                <w:sz w:val="21"/>
                <w:szCs w:val="21"/>
                <w:highlight w:val="none"/>
                <w:lang w:eastAsia="zh-CN"/>
              </w:rPr>
              <w:t>中标</w:t>
            </w:r>
            <w:r>
              <w:rPr>
                <w:rFonts w:hint="eastAsia" w:ascii="宋体" w:hAnsi="宋体" w:eastAsia="宋体" w:cs="宋体"/>
                <w:color w:val="auto"/>
                <w:sz w:val="21"/>
                <w:szCs w:val="21"/>
                <w:highlight w:val="none"/>
              </w:rPr>
              <w:t>候选人所投货物的技术指标、系统功能进行逐一测试，对所提供的资质证书、证明文件及检测报告资料等进行核查，如发现与其投标文件中的描述不一，或提供虚假材料，采购人有权取消其中标（成交）资格，并报政府采购主管部门进行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trPr>
        <w:tc>
          <w:tcPr>
            <w:tcW w:w="10221" w:type="dxa"/>
            <w:gridSpan w:val="5"/>
            <w:vAlign w:val="center"/>
          </w:tcPr>
          <w:p>
            <w:pPr>
              <w:keepNext w:val="0"/>
              <w:keepLines w:val="0"/>
              <w:pageBreakBefore w:val="0"/>
              <w:kinsoku/>
              <w:wordWrap/>
              <w:overflowPunct/>
              <w:topLinePunct w:val="0"/>
              <w:autoSpaceDE/>
              <w:autoSpaceDN/>
              <w:bidi w:val="0"/>
              <w:adjustRightInd/>
              <w:snapToGrid/>
              <w:spacing w:line="480" w:lineRule="exact"/>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投标人综合得分=商务部分+</w:t>
            </w:r>
            <w:r>
              <w:rPr>
                <w:rFonts w:hint="eastAsia" w:ascii="宋体" w:hAnsi="宋体" w:cs="宋体"/>
                <w:color w:val="auto"/>
                <w:sz w:val="21"/>
                <w:szCs w:val="21"/>
                <w:highlight w:val="none"/>
                <w:lang w:val="en-US" w:eastAsia="zh-CN"/>
              </w:rPr>
              <w:t>综合</w:t>
            </w:r>
            <w:r>
              <w:rPr>
                <w:rFonts w:hint="eastAsia" w:ascii="宋体" w:hAnsi="宋体" w:eastAsia="宋体" w:cs="宋体"/>
                <w:color w:val="auto"/>
                <w:sz w:val="21"/>
                <w:szCs w:val="21"/>
                <w:highlight w:val="none"/>
              </w:rPr>
              <w:t>部分+</w:t>
            </w:r>
            <w:r>
              <w:rPr>
                <w:rFonts w:hint="eastAsia" w:ascii="宋体" w:hAnsi="宋体" w:cs="宋体"/>
                <w:color w:val="auto"/>
                <w:szCs w:val="21"/>
                <w:highlight w:val="none"/>
                <w:lang w:val="en-US" w:eastAsia="zh-CN"/>
              </w:rPr>
              <w:t>服务承诺</w:t>
            </w:r>
            <w:r>
              <w:rPr>
                <w:rFonts w:hint="eastAsia" w:ascii="宋体" w:hAnsi="宋体" w:eastAsia="宋体" w:cs="宋体"/>
                <w:color w:val="auto"/>
                <w:sz w:val="21"/>
                <w:szCs w:val="21"/>
                <w:highlight w:val="none"/>
              </w:rPr>
              <w:t>得分。</w:t>
            </w:r>
          </w:p>
          <w:p>
            <w:pPr>
              <w:keepNext w:val="0"/>
              <w:keepLines w:val="0"/>
              <w:pageBreakBefore w:val="0"/>
              <w:kinsoku/>
              <w:wordWrap/>
              <w:overflowPunct/>
              <w:topLinePunct w:val="0"/>
              <w:autoSpaceDE/>
              <w:autoSpaceDN/>
              <w:bidi w:val="0"/>
              <w:adjustRightInd/>
              <w:snapToGrid/>
              <w:spacing w:line="480" w:lineRule="exact"/>
              <w:jc w:val="lef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最终得分：各评委按照评标因素对投标人分别进行独立评审打分，取所有评委打分分数的算术平均值作为该供应商的各项得分，计算结果保留2位小数，第3位四舍五入。各评标因素得分相加为该投标人的最终得分。</w:t>
            </w:r>
          </w:p>
        </w:tc>
      </w:tr>
    </w:tbl>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bCs/>
          <w:color w:val="auto"/>
          <w:kern w:val="0"/>
          <w:szCs w:val="21"/>
          <w:highlight w:val="none"/>
        </w:rPr>
      </w:pPr>
    </w:p>
    <w:p>
      <w:pPr>
        <w:pStyle w:val="2"/>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ascii="宋体" w:hAnsi="宋体" w:eastAsia="宋体" w:cs="宋体"/>
          <w:b/>
          <w:bCs/>
          <w:color w:val="auto"/>
          <w:kern w:val="0"/>
          <w:szCs w:val="21"/>
          <w:highlight w:val="none"/>
        </w:rPr>
      </w:pPr>
      <w:r>
        <w:rPr>
          <w:rFonts w:hint="eastAsia" w:ascii="宋体" w:hAnsi="宋体" w:eastAsia="宋体" w:cs="宋体"/>
          <w:b/>
          <w:bCs/>
          <w:color w:val="auto"/>
          <w:kern w:val="0"/>
          <w:szCs w:val="21"/>
          <w:highlight w:val="none"/>
        </w:rPr>
        <w:t>备注：本评分办法中的所有业绩和证书不重复计算，以相关证明资料为准，未提供不得分。</w:t>
      </w:r>
    </w:p>
    <w:p>
      <w:pPr>
        <w:spacing w:line="420" w:lineRule="exact"/>
        <w:rPr>
          <w:rFonts w:ascii="宋体" w:cs="宋体"/>
          <w:color w:val="auto"/>
          <w:kern w:val="0"/>
          <w:szCs w:val="21"/>
          <w:highlight w:val="none"/>
        </w:rPr>
      </w:pPr>
      <w:r>
        <w:rPr>
          <w:rFonts w:hint="eastAsia" w:ascii="宋体" w:cs="宋体"/>
          <w:color w:val="auto"/>
          <w:kern w:val="0"/>
          <w:szCs w:val="21"/>
          <w:highlight w:val="none"/>
        </w:rPr>
        <w:t>1.磋商小组根据磋商文件要求，在满足符合性审查的前提下，对</w:t>
      </w:r>
      <w:r>
        <w:rPr>
          <w:rFonts w:hint="eastAsia" w:ascii="宋体" w:cs="宋体"/>
          <w:color w:val="auto"/>
          <w:kern w:val="0"/>
          <w:szCs w:val="21"/>
          <w:highlight w:val="none"/>
          <w:lang w:val="en-US" w:eastAsia="zh-CN"/>
        </w:rPr>
        <w:t>商务</w:t>
      </w:r>
      <w:r>
        <w:rPr>
          <w:rFonts w:hint="eastAsia" w:ascii="宋体" w:cs="宋体"/>
          <w:color w:val="auto"/>
          <w:kern w:val="0"/>
          <w:szCs w:val="21"/>
          <w:highlight w:val="none"/>
        </w:rPr>
        <w:t>部分、综合部分、</w:t>
      </w:r>
      <w:r>
        <w:rPr>
          <w:rFonts w:hint="eastAsia" w:ascii="宋体" w:cs="宋体"/>
          <w:color w:val="auto"/>
          <w:kern w:val="0"/>
          <w:szCs w:val="21"/>
          <w:highlight w:val="none"/>
          <w:lang w:val="en-US" w:eastAsia="zh-CN"/>
        </w:rPr>
        <w:t>服务承诺</w:t>
      </w:r>
      <w:r>
        <w:rPr>
          <w:rFonts w:hint="eastAsia" w:ascii="宋体" w:cs="宋体"/>
          <w:color w:val="auto"/>
          <w:kern w:val="0"/>
          <w:szCs w:val="21"/>
          <w:highlight w:val="none"/>
        </w:rPr>
        <w:t>的分值实行磋商小组署名评审打分，平均值为该项得分。</w:t>
      </w:r>
    </w:p>
    <w:p>
      <w:pPr>
        <w:spacing w:line="420" w:lineRule="exact"/>
        <w:rPr>
          <w:rFonts w:ascii="宋体" w:cs="宋体"/>
          <w:color w:val="auto"/>
          <w:kern w:val="0"/>
          <w:szCs w:val="21"/>
          <w:highlight w:val="none"/>
        </w:rPr>
      </w:pPr>
      <w:r>
        <w:rPr>
          <w:rFonts w:hint="eastAsia" w:ascii="宋体" w:cs="宋体"/>
          <w:color w:val="auto"/>
          <w:kern w:val="0"/>
          <w:szCs w:val="21"/>
          <w:highlight w:val="none"/>
        </w:rPr>
        <w:t>2.统分原则：供应商最终得分=</w:t>
      </w:r>
      <w:r>
        <w:rPr>
          <w:rFonts w:hint="eastAsia" w:ascii="宋体" w:hAnsi="宋体" w:eastAsia="宋体" w:cs="宋体"/>
          <w:color w:val="auto"/>
          <w:sz w:val="21"/>
          <w:szCs w:val="21"/>
          <w:highlight w:val="none"/>
        </w:rPr>
        <w:t>商务部分+</w:t>
      </w:r>
      <w:r>
        <w:rPr>
          <w:rFonts w:hint="eastAsia" w:ascii="宋体" w:hAnsi="宋体" w:cs="宋体"/>
          <w:color w:val="auto"/>
          <w:sz w:val="21"/>
          <w:szCs w:val="21"/>
          <w:highlight w:val="none"/>
          <w:lang w:val="en-US" w:eastAsia="zh-CN"/>
        </w:rPr>
        <w:t>综合</w:t>
      </w:r>
      <w:r>
        <w:rPr>
          <w:rFonts w:hint="eastAsia" w:ascii="宋体" w:hAnsi="宋体" w:eastAsia="宋体" w:cs="宋体"/>
          <w:color w:val="auto"/>
          <w:sz w:val="21"/>
          <w:szCs w:val="21"/>
          <w:highlight w:val="none"/>
        </w:rPr>
        <w:t>部分+</w:t>
      </w:r>
      <w:r>
        <w:rPr>
          <w:rFonts w:hint="eastAsia" w:ascii="宋体" w:hAnsi="宋体" w:cs="宋体"/>
          <w:color w:val="auto"/>
          <w:szCs w:val="21"/>
          <w:highlight w:val="none"/>
          <w:lang w:val="en-US" w:eastAsia="zh-CN"/>
        </w:rPr>
        <w:t>服务承诺</w:t>
      </w:r>
      <w:r>
        <w:rPr>
          <w:rFonts w:hint="eastAsia" w:ascii="宋体" w:hAnsi="宋体" w:eastAsia="宋体" w:cs="宋体"/>
          <w:color w:val="auto"/>
          <w:sz w:val="21"/>
          <w:szCs w:val="21"/>
          <w:highlight w:val="none"/>
        </w:rPr>
        <w:t>得分</w:t>
      </w:r>
      <w:r>
        <w:rPr>
          <w:rFonts w:hint="eastAsia" w:ascii="宋体" w:cs="宋体"/>
          <w:color w:val="auto"/>
          <w:kern w:val="0"/>
          <w:szCs w:val="21"/>
          <w:highlight w:val="none"/>
        </w:rPr>
        <w:t>（所有得分四舍五入取小数点后两位）。</w:t>
      </w:r>
    </w:p>
    <w:p>
      <w:pPr>
        <w:spacing w:line="420" w:lineRule="exact"/>
        <w:rPr>
          <w:rFonts w:hint="eastAsia" w:ascii="宋体" w:cs="宋体"/>
          <w:color w:val="auto"/>
          <w:kern w:val="0"/>
          <w:szCs w:val="21"/>
          <w:highlight w:val="none"/>
        </w:rPr>
      </w:pPr>
      <w:r>
        <w:rPr>
          <w:rFonts w:hint="eastAsia" w:ascii="宋体" w:cs="宋体"/>
          <w:color w:val="auto"/>
          <w:kern w:val="0"/>
          <w:szCs w:val="21"/>
          <w:highlight w:val="none"/>
        </w:rPr>
        <w:t>3.磋商小组根据综合评分情况，按照评审得分由高到低顺序推荐1名成交候选供应商，并编写评审报告。</w:t>
      </w:r>
    </w:p>
    <w:p>
      <w:pPr>
        <w:spacing w:line="420" w:lineRule="exact"/>
        <w:rPr>
          <w:rFonts w:ascii="宋体" w:cs="宋体"/>
          <w:color w:val="auto"/>
          <w:kern w:val="0"/>
          <w:szCs w:val="21"/>
          <w:highlight w:val="none"/>
        </w:rPr>
      </w:pPr>
      <w:r>
        <w:rPr>
          <w:rFonts w:hint="eastAsia" w:ascii="宋体" w:cs="宋体"/>
          <w:color w:val="auto"/>
          <w:kern w:val="0"/>
          <w:szCs w:val="21"/>
          <w:highlight w:val="none"/>
        </w:rPr>
        <w:t>4.最终得分一致时报价低的优先。</w:t>
      </w:r>
    </w:p>
    <w:p>
      <w:pPr>
        <w:spacing w:line="420" w:lineRule="exact"/>
        <w:rPr>
          <w:rFonts w:ascii="宋体" w:cs="宋体"/>
          <w:color w:val="auto"/>
          <w:kern w:val="0"/>
          <w:szCs w:val="21"/>
          <w:highlight w:val="none"/>
        </w:rPr>
      </w:pPr>
      <w:r>
        <w:rPr>
          <w:rFonts w:hint="eastAsia" w:ascii="宋体" w:cs="宋体"/>
          <w:color w:val="auto"/>
          <w:kern w:val="0"/>
          <w:szCs w:val="21"/>
          <w:highlight w:val="none"/>
        </w:rPr>
        <w:t>5.</w:t>
      </w:r>
      <w:r>
        <w:rPr>
          <w:rFonts w:ascii="宋体" w:cs="宋体"/>
          <w:color w:val="auto"/>
          <w:kern w:val="0"/>
          <w:szCs w:val="21"/>
          <w:highlight w:val="none"/>
        </w:rPr>
        <w:t>采购人应当在收到评审报告后5个工作日内，从评审报告提出的成交候选供应商中按照排序由高到低的原则确定成交供应商，也可以书面授权磋商小组直接确定成交供应商。采购人逾期未确定成交供应商且不提出异议的，视为确定评审报告提出的排序第一的供应商为成交供应商</w:t>
      </w:r>
      <w:r>
        <w:rPr>
          <w:rFonts w:hint="eastAsia" w:ascii="宋体" w:cs="宋体"/>
          <w:color w:val="auto"/>
          <w:kern w:val="0"/>
          <w:szCs w:val="21"/>
          <w:highlight w:val="none"/>
        </w:rPr>
        <w:t>。</w:t>
      </w:r>
    </w:p>
    <w:p>
      <w:pPr>
        <w:spacing w:line="420" w:lineRule="exact"/>
        <w:rPr>
          <w:rFonts w:ascii="宋体" w:cs="宋体"/>
          <w:color w:val="auto"/>
          <w:kern w:val="0"/>
          <w:szCs w:val="21"/>
          <w:highlight w:val="none"/>
        </w:rPr>
      </w:pPr>
      <w:r>
        <w:rPr>
          <w:rFonts w:hint="eastAsia" w:ascii="宋体" w:cs="宋体"/>
          <w:color w:val="auto"/>
          <w:kern w:val="0"/>
          <w:szCs w:val="21"/>
          <w:highlight w:val="none"/>
        </w:rPr>
        <w:t>6.若供应商的最后报价高于项目预算，磋商小组有权拒绝该报价。</w:t>
      </w:r>
    </w:p>
    <w:p>
      <w:pPr>
        <w:spacing w:line="420" w:lineRule="exact"/>
        <w:rPr>
          <w:rFonts w:ascii="宋体" w:cs="宋体"/>
          <w:color w:val="auto"/>
          <w:kern w:val="0"/>
          <w:szCs w:val="21"/>
          <w:highlight w:val="none"/>
        </w:rPr>
      </w:pPr>
      <w:r>
        <w:rPr>
          <w:rFonts w:hint="eastAsia" w:ascii="宋体" w:cs="宋体"/>
          <w:color w:val="auto"/>
          <w:kern w:val="0"/>
          <w:szCs w:val="21"/>
          <w:highlight w:val="none"/>
        </w:rPr>
        <w:t>7. 在竞争性磋商期间，采购代理机构将有专门人员与供应商进行联络。</w:t>
      </w:r>
    </w:p>
    <w:p>
      <w:pPr>
        <w:spacing w:line="420" w:lineRule="exact"/>
        <w:rPr>
          <w:rFonts w:ascii="宋体" w:cs="宋体"/>
          <w:color w:val="auto"/>
          <w:kern w:val="0"/>
          <w:szCs w:val="21"/>
          <w:highlight w:val="none"/>
        </w:rPr>
      </w:pPr>
      <w:r>
        <w:rPr>
          <w:rFonts w:hint="eastAsia" w:ascii="宋体" w:cs="宋体"/>
          <w:color w:val="auto"/>
          <w:kern w:val="0"/>
          <w:szCs w:val="21"/>
          <w:highlight w:val="none"/>
        </w:rPr>
        <w:t>8.竞争性磋商终止</w:t>
      </w:r>
    </w:p>
    <w:p>
      <w:pPr>
        <w:spacing w:line="420" w:lineRule="exact"/>
        <w:rPr>
          <w:rFonts w:ascii="宋体" w:cs="宋体"/>
          <w:color w:val="auto"/>
          <w:kern w:val="0"/>
          <w:szCs w:val="21"/>
          <w:highlight w:val="none"/>
        </w:rPr>
      </w:pPr>
      <w:r>
        <w:rPr>
          <w:rFonts w:hint="eastAsia" w:ascii="宋体" w:cs="宋体"/>
          <w:color w:val="auto"/>
          <w:kern w:val="0"/>
          <w:szCs w:val="21"/>
          <w:highlight w:val="none"/>
        </w:rPr>
        <w:t>8.1出现下列情形之一的，采购人或者采购代理机构应当终止竞争性磋商采购活动，发布项目终止公告并说明原因，重新开展采购活动：</w:t>
      </w:r>
    </w:p>
    <w:p>
      <w:pPr>
        <w:spacing w:line="420" w:lineRule="exact"/>
        <w:rPr>
          <w:rFonts w:ascii="宋体" w:cs="宋体"/>
          <w:color w:val="auto"/>
          <w:kern w:val="0"/>
          <w:szCs w:val="21"/>
          <w:highlight w:val="none"/>
        </w:rPr>
      </w:pPr>
      <w:r>
        <w:rPr>
          <w:rFonts w:hint="eastAsia" w:ascii="宋体" w:cs="宋体"/>
          <w:color w:val="auto"/>
          <w:kern w:val="0"/>
          <w:szCs w:val="21"/>
          <w:highlight w:val="none"/>
        </w:rPr>
        <w:t>　　 （一）因情况变化，不再符合规定的竞争性磋商采购方式适用情形的；</w:t>
      </w:r>
    </w:p>
    <w:p>
      <w:pPr>
        <w:spacing w:line="420" w:lineRule="exact"/>
        <w:rPr>
          <w:rFonts w:ascii="宋体" w:cs="宋体"/>
          <w:color w:val="auto"/>
          <w:kern w:val="0"/>
          <w:szCs w:val="21"/>
          <w:highlight w:val="none"/>
        </w:rPr>
      </w:pPr>
      <w:r>
        <w:rPr>
          <w:rFonts w:hint="eastAsia" w:ascii="宋体" w:cs="宋体"/>
          <w:color w:val="auto"/>
          <w:kern w:val="0"/>
          <w:szCs w:val="21"/>
          <w:highlight w:val="none"/>
        </w:rPr>
        <w:t>　　 （二）出现影响采购公正的违法、违规行为的；</w:t>
      </w:r>
    </w:p>
    <w:p>
      <w:pPr>
        <w:spacing w:line="420" w:lineRule="exact"/>
        <w:rPr>
          <w:rFonts w:hint="eastAsia" w:ascii="宋体" w:cs="宋体"/>
          <w:color w:val="auto"/>
          <w:kern w:val="0"/>
          <w:szCs w:val="21"/>
          <w:highlight w:val="none"/>
        </w:rPr>
      </w:pPr>
      <w:r>
        <w:rPr>
          <w:rFonts w:hint="eastAsia" w:ascii="宋体" w:cs="宋体"/>
          <w:color w:val="auto"/>
          <w:kern w:val="0"/>
          <w:szCs w:val="21"/>
          <w:highlight w:val="none"/>
        </w:rPr>
        <w:t>　　 （三）除《政府采购竞争性磋商采购方式管理暂行办法》第二十一条第三款规定的情形外，在采购过程中符合要求的供应商或者报价未超过采购预算的供应商不足3家的。</w:t>
      </w:r>
      <w:bookmarkEnd w:id="69"/>
      <w:bookmarkEnd w:id="70"/>
      <w:bookmarkEnd w:id="71"/>
      <w:bookmarkEnd w:id="72"/>
      <w:bookmarkEnd w:id="73"/>
      <w:bookmarkEnd w:id="74"/>
      <w:bookmarkEnd w:id="75"/>
      <w:bookmarkEnd w:id="76"/>
      <w:bookmarkEnd w:id="77"/>
      <w:bookmarkEnd w:id="78"/>
      <w:bookmarkEnd w:id="79"/>
    </w:p>
    <w:p>
      <w:pPr>
        <w:pStyle w:val="29"/>
        <w:rPr>
          <w:rFonts w:hint="eastAsia" w:ascii="宋体" w:cs="宋体"/>
          <w:color w:val="auto"/>
          <w:kern w:val="0"/>
          <w:szCs w:val="21"/>
          <w:highlight w:val="none"/>
        </w:rPr>
      </w:pPr>
    </w:p>
    <w:p>
      <w:pPr>
        <w:rPr>
          <w:rFonts w:hint="eastAsia"/>
          <w:color w:val="auto"/>
          <w:highlight w:val="none"/>
          <w:lang w:eastAsia="zh-CN"/>
        </w:rPr>
      </w:pPr>
    </w:p>
    <w:p>
      <w:pPr>
        <w:pStyle w:val="28"/>
        <w:rPr>
          <w:rFonts w:hint="eastAsia"/>
          <w:color w:val="auto"/>
          <w:highlight w:val="none"/>
          <w:lang w:eastAsia="zh-CN"/>
        </w:rPr>
      </w:pPr>
    </w:p>
    <w:p>
      <w:pPr>
        <w:pStyle w:val="28"/>
        <w:rPr>
          <w:rFonts w:hint="eastAsia"/>
          <w:color w:val="auto"/>
          <w:highlight w:val="none"/>
          <w:lang w:eastAsia="zh-CN"/>
        </w:rPr>
      </w:pPr>
    </w:p>
    <w:p>
      <w:pPr>
        <w:pStyle w:val="28"/>
        <w:rPr>
          <w:rFonts w:hint="eastAsia"/>
          <w:color w:val="auto"/>
          <w:highlight w:val="none"/>
          <w:lang w:eastAsia="zh-CN"/>
        </w:rPr>
      </w:pPr>
    </w:p>
    <w:p>
      <w:pPr>
        <w:pStyle w:val="28"/>
        <w:rPr>
          <w:rFonts w:hint="eastAsia"/>
          <w:color w:val="auto"/>
          <w:highlight w:val="none"/>
          <w:lang w:eastAsia="zh-CN"/>
        </w:rPr>
      </w:pPr>
    </w:p>
    <w:p>
      <w:pPr>
        <w:pStyle w:val="28"/>
        <w:rPr>
          <w:rFonts w:hint="eastAsia"/>
          <w:color w:val="auto"/>
          <w:highlight w:val="none"/>
          <w:lang w:eastAsia="zh-CN"/>
        </w:rPr>
      </w:pPr>
    </w:p>
    <w:p>
      <w:pPr>
        <w:pStyle w:val="28"/>
        <w:rPr>
          <w:rFonts w:hint="eastAsia"/>
          <w:color w:val="auto"/>
          <w:highlight w:val="none"/>
          <w:lang w:eastAsia="zh-CN"/>
        </w:rPr>
      </w:pPr>
    </w:p>
    <w:p>
      <w:pPr>
        <w:pStyle w:val="28"/>
        <w:rPr>
          <w:rFonts w:hint="eastAsia"/>
          <w:color w:val="auto"/>
          <w:highlight w:val="none"/>
          <w:lang w:eastAsia="zh-CN"/>
        </w:rPr>
      </w:pPr>
    </w:p>
    <w:p>
      <w:pPr>
        <w:pStyle w:val="28"/>
        <w:rPr>
          <w:rFonts w:hint="eastAsia"/>
          <w:color w:val="auto"/>
          <w:highlight w:val="none"/>
          <w:lang w:eastAsia="zh-CN"/>
        </w:rPr>
      </w:pPr>
    </w:p>
    <w:p>
      <w:pPr>
        <w:pStyle w:val="28"/>
        <w:rPr>
          <w:rFonts w:hint="eastAsia"/>
          <w:color w:val="auto"/>
          <w:highlight w:val="none"/>
          <w:lang w:eastAsia="zh-CN"/>
        </w:rPr>
      </w:pPr>
    </w:p>
    <w:p>
      <w:pPr>
        <w:pStyle w:val="28"/>
        <w:rPr>
          <w:rFonts w:hint="eastAsia"/>
          <w:color w:val="auto"/>
          <w:highlight w:val="none"/>
          <w:lang w:eastAsia="zh-CN"/>
        </w:rPr>
      </w:pPr>
    </w:p>
    <w:p>
      <w:pPr>
        <w:pStyle w:val="28"/>
        <w:rPr>
          <w:rFonts w:hint="eastAsia"/>
          <w:color w:val="auto"/>
          <w:highlight w:val="none"/>
          <w:lang w:eastAsia="zh-CN"/>
        </w:rPr>
      </w:pPr>
    </w:p>
    <w:bookmarkEnd w:id="80"/>
    <w:p>
      <w:pPr>
        <w:pStyle w:val="22"/>
        <w:numPr>
          <w:ilvl w:val="0"/>
          <w:numId w:val="6"/>
        </w:numPr>
        <w:spacing w:line="500" w:lineRule="exact"/>
        <w:rPr>
          <w:rFonts w:hint="eastAsia" w:ascii="宋体" w:hAnsi="宋体" w:cs="宋体"/>
          <w:color w:val="auto"/>
          <w:sz w:val="36"/>
          <w:szCs w:val="36"/>
          <w:highlight w:val="none"/>
        </w:rPr>
      </w:pPr>
      <w:bookmarkStart w:id="81" w:name="_Toc23753"/>
      <w:r>
        <w:rPr>
          <w:rFonts w:hint="eastAsia" w:ascii="宋体" w:hAnsi="宋体" w:cs="宋体"/>
          <w:color w:val="auto"/>
          <w:sz w:val="36"/>
          <w:szCs w:val="36"/>
          <w:highlight w:val="none"/>
          <w:lang w:val="en-US" w:eastAsia="zh-CN"/>
        </w:rPr>
        <w:t>项目技术参数要求</w:t>
      </w:r>
      <w:bookmarkEnd w:id="81"/>
    </w:p>
    <w:tbl>
      <w:tblPr>
        <w:tblStyle w:val="25"/>
        <w:tblW w:w="9840" w:type="dxa"/>
        <w:tblInd w:w="-27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70"/>
        <w:gridCol w:w="1035"/>
        <w:gridCol w:w="7020"/>
        <w:gridCol w:w="555"/>
        <w:gridCol w:w="66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rPr>
              <w:t>序号</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rPr>
              <w:t>设备名称</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rPr>
              <w:t>参数要求</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rPr>
              <w:t>单位</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auto"/>
                <w:sz w:val="21"/>
                <w:szCs w:val="21"/>
                <w:highlight w:val="none"/>
                <w:u w:val="none"/>
              </w:rPr>
            </w:pPr>
            <w:r>
              <w:rPr>
                <w:rFonts w:hint="eastAsia" w:ascii="宋体" w:hAnsi="宋体" w:eastAsia="宋体" w:cs="宋体"/>
                <w:b/>
                <w:bCs/>
                <w:i w:val="0"/>
                <w:iCs w:val="0"/>
                <w:color w:val="auto"/>
                <w:kern w:val="0"/>
                <w:sz w:val="21"/>
                <w:szCs w:val="21"/>
                <w:highlight w:val="none"/>
                <w:u w:val="none"/>
                <w:lang w:val="en-US" w:eastAsia="zh-CN"/>
              </w:rPr>
              <w:t>数量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0" w:hRule="atLeast"/>
        </w:trPr>
        <w:tc>
          <w:tcPr>
            <w:tcW w:w="5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w:t>
            </w:r>
          </w:p>
        </w:tc>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智慧社区矫正指挥综合管理服务软件（服务端）</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1.性能指标</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1)采用软硬分离，具备独立组网指挥管理能力，能在通用服务器或虚拟化环境部署；</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2)具备视频点播、视频监控、视频会议、视频指挥、智能导播、信令调度、媒体交换等调度管理能力；</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3)具备对音视频转发服务软件、录时录像服务软件的统一管理、均衡调度能力；</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4)具备对用户登录请求进行响应并鉴权能力；</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5)具备对用户、设备、电话等资源统一管理能力；</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6)具备编解码设备的双注册管理能力；</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7)具备音视频和业务数据深度融合的接收与分发能力，提供单播、组播两种分发模式；</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8)具备端口复用能力，使用精简可控的端口完成数据通信；</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9)具备热备能力；</w:t>
            </w:r>
          </w:p>
          <w:p>
            <w:pPr>
              <w:keepNext w:val="0"/>
              <w:keepLines w:val="0"/>
              <w:widowControl/>
              <w:suppressLineNumbers w:val="0"/>
              <w:jc w:val="left"/>
              <w:textAlignment w:val="center"/>
              <w:rPr>
                <w:rFonts w:hint="eastAsia"/>
                <w:color w:val="auto"/>
                <w:sz w:val="21"/>
                <w:szCs w:val="21"/>
                <w:highlight w:val="none"/>
                <w:lang w:val="en-US" w:eastAsia="zh-CN"/>
              </w:rPr>
            </w:pPr>
            <w:r>
              <w:rPr>
                <w:rFonts w:hint="eastAsia" w:ascii="宋体" w:hAnsi="宋体" w:eastAsia="宋体" w:cs="宋体"/>
                <w:i w:val="0"/>
                <w:iCs w:val="0"/>
                <w:color w:val="auto"/>
                <w:kern w:val="0"/>
                <w:sz w:val="21"/>
                <w:szCs w:val="21"/>
                <w:highlight w:val="none"/>
                <w:u w:val="none"/>
                <w:lang w:val="en-US" w:eastAsia="zh-CN"/>
              </w:rPr>
              <w:t>10)投标产品需支持横向与公检法司数据协同、纵向与市级及省厅级社区矫正省局指挥平台无缝对接；</w:t>
            </w:r>
            <w:r>
              <w:rPr>
                <w:rFonts w:hint="eastAsia"/>
                <w:color w:val="auto"/>
                <w:sz w:val="21"/>
                <w:szCs w:val="21"/>
                <w:highlight w:val="none"/>
                <w:lang w:val="en-US" w:eastAsia="zh-CN"/>
              </w:rPr>
              <w:t>保留测试权力；</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11)具备接入主流厂家的标准SIP、ONVIF、GB28181协议监控设备</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12)具备接入主流厂家的标准H.323、SIP协议电视电话会议终端。</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13）图像显示时延 ≤500ms  ；   音唇同步误差 ≤0.5个字；云台控制时延 ≤100ms  ；解码器控制时延 ≤500ms；音频标准 AAC、G.711  ；视频标准 H.264、H.265；音频采样率 8KHz、16KHz、32KHz、44.1KHz；图像分辨率 QCIF、CIF、4CIF、720P、1080i、1080P、1920*1200；图像码流 256Kbps~8Mbps ；图像帧数 25~60帧； 支持主、子码流  ； 支持端口复用；</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14）具备丢包重传能力，信令与媒体支持在最大20%的丢包环境中可靠传输；</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15）具备用户权限管理，双向音视频通讯，电子白板等功能。 应支持对用户组、用户及角色进行增、删、改操作，同时可以按不同用户级别、组级和具体的用户名分别进行操作权限的分配 。应支持双向的音视频通讯功能。 应支持进行音视频通讯时可以共享电子白板，用户在进行操作时可以将白板共享给其他人进行查看 ；</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16）具备树状级联管理、信令调度、数据同步等能力，纵向级联数：≥6级；</w:t>
            </w:r>
          </w:p>
          <w:p>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17)具备端口复用能力，使用精简可控的端口完成数据通信；</w:t>
            </w:r>
          </w:p>
        </w:tc>
        <w:tc>
          <w:tcPr>
            <w:tcW w:w="5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套</w:t>
            </w:r>
          </w:p>
        </w:tc>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05" w:hRule="atLeast"/>
        </w:trPr>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18）与社区矫正指挥管理服务软件无缝对接信令互通、媒体互通，实现接入设备的数据采集，信息分级推送，报警联动分级推送功能，支持所有安防设备的报警数据采集，报警分级推送，报警联动分级推送，报警录像存储功能。实现不同报警统一数据采集、处理、联动服务，实现报警联动录像的集中存储及检索服务，实现报警数据及报警录像时段的存储服务，提供事后进行查询分析，并能根据预案进行各种报警处置；支持录像预录及自定义功能；</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19）接入视频会议、单兵等,支持通过社区矫正工作场所监控、司法所监控、移动执法车监控和移动执法终端监控等监控资源对正在发生事件的抓拍和抓录，生成事件记录；</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20）支持在重大事件发生时向上级指挥中心实时推送事件详情和关联视频图片资料，支持对上级指挥中心进行事件提醒；保留测试权力；</w:t>
            </w:r>
          </w:p>
          <w:p>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21）支持与司法局、司法厅、司法部视频上传，支持矫情日报从司法所到矫正中心指挥中心再到司法厅指挥中心上传；保留测试权力；</w:t>
            </w:r>
          </w:p>
        </w:tc>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2" w:hRule="atLeast"/>
        </w:trPr>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2.功能指标</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集监控、会议、指挥等多种功能于一体融合使用的远程督查指挥管理平台软件，具备一一体化音视频服务能力，实现应急处突指挥、会议、监控资源等无缝切换与互联互通，支持在指挥中同时遂行监控和并行会议，支持随意多点（一对一一对多）会议；系统采用集群技术、网格技术、分布式存储技术，以及动态负载均衡策略，灵活调度交换路由和存储路径，降低对网络中心节点的带宽依赖，构建高效能的云调度系统，突破了指挥调度的地理限制和功能限制，实现指挥员在任意地点、依托任意终端都可完成跨区越级的指挥调度。根据权限灵活任意终端任意地点伴随化实现固定场所指挥及移动指挥，满足智慧社区矫正的督查监管和应急处突等职能</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2）软件系统纵向需与市级和省级社区矫正指挥平台和下级司法所指挥终端无缝对接，保持直连互通，信令互通、媒体互通，横向支持与同级公安司法检察院、法院等数据协同及可视化指挥协调；保留测试权力；</w:t>
            </w:r>
          </w:p>
          <w:p>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3）具备会议监控指挥中心及MCU服务功能，实现信令调度管理、编解码设备接入、用户管理、权限管理等基础功能，实现伴随化指挥调度、随意多点（一对一一对多）的视频会商、值班呼点、远程培训、技术巡检、自定义呼叫、值班备勤、远程督查、应急处突等业务功能。支持管理IP音视频解码终端、解码矩阵与指挥终端、导播终端之间的信息同步，管理多个IP音视频解码终端、解码矩阵之间的同步与订阅。</w:t>
            </w:r>
          </w:p>
        </w:tc>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97" w:hRule="atLeast"/>
        </w:trPr>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7"/>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遵循司法部相关建设规范，实现矫正业务和督查指挥深度融合，支持接入矫情大数据平台，构建集社区矫正中心监控、司法所监控、移动 监控、电子定位监控、视频点名五位于一体，具备视频监控、 指挥调度、视频点名、工作督察、视频会商、预警预测、事件记录、工作记录等功能的智慧指挥调度中心。支持社区矫正指挥中心包括社区矫正值班督察、工作任务督察、远程视频巡查、要情上报反馈、各类异常报警等业务监管。支持社区矫正包括对拟适用社区矫正的被告人（罪犯）调查评估，矫正对象接收报到、收监执行、居住地变更、禁止令执行、矫正期间再犯罪等异常报警处置等的工作调度。支持社区矫正包括对矫正对象群体性事件、自杀、在逃、脱管或漏管等突发事件的指挥处置应急指挥；</w:t>
            </w:r>
          </w:p>
          <w:p>
            <w:pPr>
              <w:keepNext w:val="0"/>
              <w:keepLines w:val="0"/>
              <w:widowControl/>
              <w:numPr>
                <w:ilvl w:val="0"/>
                <w:numId w:val="7"/>
              </w:numPr>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支持与公安机关、法院、检察院、监狱、戒毒所、安置帮扶部门等根据协同机制进行协同指挥处置业务协同；保留测试权力；</w:t>
            </w:r>
          </w:p>
          <w:p>
            <w:pPr>
              <w:keepNext w:val="0"/>
              <w:keepLines w:val="0"/>
              <w:widowControl/>
              <w:numPr>
                <w:ilvl w:val="0"/>
                <w:numId w:val="7"/>
              </w:numPr>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6）支持电子地图可视化一键调度、应急处突、远程督查等功能；</w:t>
            </w:r>
          </w:p>
          <w:p>
            <w:pPr>
              <w:keepNext w:val="0"/>
              <w:keepLines w:val="0"/>
              <w:widowControl/>
              <w:numPr>
                <w:ilvl w:val="0"/>
                <w:numId w:val="7"/>
              </w:numPr>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7）支持业务数据和音视频深度智能融合，支持从实现将社区服刑人员入矫登记的人脸、身份证、指纹信息自动分发至对应的司法所，并通过人证对比设备对社区服刑人员进行智能点名、智能报到、智能学习、远程抽点；实现对社区服刑人员日常人证比对业务场景的动态数据展示，并可将比对结果直接上传至社区矫正信息管理系统。实时从社区矫正信息管理系统自动同步服刑人员的基础数据；实现对报到登记、到所报告、宣告、教育培训、心理矫正等重点监控视频的存档，实现从社区矫正信息管理系统对相关视频的点播。</w:t>
            </w:r>
          </w:p>
        </w:tc>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15" w:hRule="atLeast"/>
        </w:trPr>
        <w:tc>
          <w:tcPr>
            <w:tcW w:w="570"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1035"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0"/>
              </w:numPr>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8）支持门禁、视频会议、人证比对、视频监控、大数据研判平台、矫正业务平台、及公检法司数据业务协同等相关接入与告警及异常业务流监管；支持通过社区矫正工作场所监控、司法所监控、移动执法车监控和移动执法终端监控等监控资源对正在发生事件的抓拍和抓录，生成事件记录；.支持对社区矫正工作场所监控录像、司法所监控录像、移动执法终端和移动执法车录像资源的检索分析判断，手动关联或创建事件记录；支持对社区矫正工作过程中各类异常和违规事件的过程视频图片信息进行记录保存；支持对异常和违规事件进行事中实时抓拍抓录和事后视频图片资料关联生成事件记录； 支持通过对社区矫正工作场所中的人脸图像进行动态识别分析生成事件记录并可关联人员出现前后的视频录像； 支持通过对社区矫正工作场所中异常情况自动进行智能行为分析识别生成事件记录并可关联人员出现前后的视频录像；支持在重大事件发生时向上级指挥中心实时推送事件详情和关联视频图片资料，支持对上级指挥中心进行事件提醒；</w:t>
            </w:r>
          </w:p>
        </w:tc>
        <w:tc>
          <w:tcPr>
            <w:tcW w:w="555"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660" w:type="dxa"/>
            <w:tcBorders>
              <w:top w:val="nil"/>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7" w:hRule="atLeast"/>
        </w:trPr>
        <w:tc>
          <w:tcPr>
            <w:tcW w:w="5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2</w:t>
            </w:r>
          </w:p>
        </w:tc>
        <w:tc>
          <w:tcPr>
            <w:tcW w:w="103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智慧社区矫正督查指挥管理智能融合终端</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一软件指标1性能指标：</w:t>
            </w:r>
          </w:p>
          <w:p>
            <w:pPr>
              <w:keepNext w:val="0"/>
              <w:keepLines w:val="0"/>
              <w:widowControl/>
              <w:numPr>
                <w:ilvl w:val="0"/>
                <w:numId w:val="8"/>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督查指挥智能融合终端可以作为业务终端直接遂行指挥调度、视频会议、视频监控、语音对讲、协同办公、任务流程、视频点名、值班呼点值班备勤、矫情上报包含手工填写和自动上报等核心业务；可以作为管理终端组织指挥调度、视频会议、任务流程等三大业务的开展，对业务中的指挥组、会议组、值班组进行分组设定，并对音视频资源进行再分配；也可以作为保障终端完成日常检查、大厅控制、专线使用、状态监控等各类保障。</w:t>
            </w:r>
          </w:p>
          <w:p>
            <w:pPr>
              <w:keepNext w:val="0"/>
              <w:keepLines w:val="0"/>
              <w:widowControl/>
              <w:numPr>
                <w:ilvl w:val="0"/>
                <w:numId w:val="8"/>
              </w:numPr>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根据登录用户的角色、权限不同，呈现不同资源、实现不同功能、开展不同业务。具备指挥呼点、视频监控、视频指挥、视频会议、智能导播等业务功能，根据登录用户的角色、权限不同，呈现不同资源、实现不同功能、开展不同业务。具备展现电视电话会议终端资源信息，提供一键呼叫功能；</w:t>
            </w:r>
          </w:p>
          <w:p>
            <w:pPr>
              <w:keepNext w:val="0"/>
              <w:keepLines w:val="0"/>
              <w:widowControl/>
              <w:numPr>
                <w:ilvl w:val="0"/>
                <w:numId w:val="8"/>
              </w:numPr>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具备展现电话资源信息，提供一键电话呼叫功能；具备通过拨号键盘进行电话呼叫功能；具备视频输出显示OSD字幕叠加，提供对OSD内容、字体、大小、颜色、位置等进行设置；具备录制管理功能，提供制订录制计划或手动临时录制；</w:t>
            </w:r>
          </w:p>
          <w:p>
            <w:pPr>
              <w:keepNext w:val="0"/>
              <w:keepLines w:val="0"/>
              <w:widowControl/>
              <w:numPr>
                <w:ilvl w:val="0"/>
                <w:numId w:val="8"/>
              </w:numPr>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具备历史录像文件的检索、回放与控制功能；具备录像文件、媒体文件的导入导入功能；具备对解码器的点播、停电、声音开关、切屏等控制功能；具备大厅导调和可视化导播管理，提供临机导播或制订导播计划，全部视频资源均可导调，并提供导播预览功能；具备服务、用户、设备的在线状态监测，提供服务异常下线告警；具备云镜控制、预置点、图像轮巡、即时通讯、语音对讲、音频广播、即时通讯、电子白板、分屏控制、图像抓拍等功能；</w:t>
            </w:r>
          </w:p>
          <w:p>
            <w:pPr>
              <w:keepNext w:val="0"/>
              <w:keepLines w:val="0"/>
              <w:widowControl/>
              <w:numPr>
                <w:ilvl w:val="0"/>
                <w:numId w:val="8"/>
              </w:numPr>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具备对终端界面布局、功能布局等进行自定义设置；具备终端自检功能，提供对本地绑定的摄像机、音箱、话筒运行状态进行一键自检；具备端口复用能力，使用精简可控的端口完成数据通信。</w:t>
            </w:r>
          </w:p>
          <w:p>
            <w:pPr>
              <w:keepNext w:val="0"/>
              <w:keepLines w:val="0"/>
              <w:widowControl/>
              <w:numPr>
                <w:ilvl w:val="0"/>
                <w:numId w:val="8"/>
              </w:numPr>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视频格式支持H.265、H.264；音频格式支持G.711、AAC等；具备1、4、9路1080P及以下视频同时解码并分屏显示；具备7*24小时稳定持续工作。具备16路4CIF视频同时解码并分屏显示；具备1、2、4、画中画、6、1+5、9、12、16分屏控制；</w:t>
            </w:r>
          </w:p>
          <w:p>
            <w:pPr>
              <w:keepNext w:val="0"/>
              <w:keepLines w:val="0"/>
              <w:widowControl/>
              <w:numPr>
                <w:ilvl w:val="0"/>
                <w:numId w:val="8"/>
              </w:numPr>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支持与省厅、市级、县级社区矫正中心督查指挥管理系统互联互通，信令互通、媒体互通，支持指挥中遂行监控和视频会商；</w:t>
            </w:r>
          </w:p>
        </w:tc>
        <w:tc>
          <w:tcPr>
            <w:tcW w:w="55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台</w:t>
            </w:r>
          </w:p>
        </w:tc>
        <w:tc>
          <w:tcPr>
            <w:tcW w:w="6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73" w:hRule="atLeast"/>
        </w:trPr>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2功能指标：</w:t>
            </w:r>
          </w:p>
          <w:p>
            <w:pPr>
              <w:keepNext w:val="0"/>
              <w:keepLines w:val="0"/>
              <w:widowControl/>
              <w:numPr>
                <w:ilvl w:val="0"/>
                <w:numId w:val="9"/>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支持对本级社区矫正当日矫情的整体态势感知以及对下级各单位实时矫情的动态获取，包含社区矫正对象综合信息、当日矫正人员流动情况、实时定位分布情况、社矫对象分级管制情况、社矫对象禁止令执行情况、外来社矫人员情况、重点关注社矫对象情况、今日值班人员情况、预测预警情况、实时报警情况等，实现对社区矫正工作值班、监管和安全防范态势矫情的整体感知；2）支持对本级和下级单位社区矫正日常工作规范、刑罚执行规范、应急事件处置规范和指挥中心日常值班规范的远程视频督察、督察情况实时督办和督察过程证据保全。支持通过智能融合视频监控、定位监管、人证比对、生物识别、人工智能分析多项技术手段，结合社区矫正一体化大平台业务综合信息建立社区矫正对象在社矫工作场所开展的报到、矫正宣告、训诫、集中教育、个别教育、社区服务、点验等工作活动过程的音视频档案记录；</w:t>
            </w:r>
          </w:p>
          <w:p>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3）社区矫正工作人员矫正工作活动、视频督察、视频点名等工作活动的音视频档案记录；社区矫正工作场所各类突发事件的音视频档案记录；支持基于GIS地理信息、移动互联、通讯调度、安防集成等技术，智能融合一体化大平台业务信息，结合大数据分析研判实现对社区矫正日常监管的预测预警和应急处突分级分层指挥协调；</w:t>
            </w:r>
          </w:p>
          <w:p>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4）支持推送本级社区矫正重点音视频到上级指挥中心；支持与司法所、市司法局、省司法厅双向音视频通话。支持与司法所、市司法局、省司法厅进行视频会议；支持用户管理功能，系统可根据不同的权限、不同的角色进行授权，系统登录时需要身份验证，验证通过才能登录系统，才能使用权限范围内的功能；实现将社区服刑人员入矫登记的人脸、身份证、指纹信息自动分发至对应的司法所，并通过人证对比设备对社区服刑人员进行智能点名、智能报到、智能学习、远程抽点；实现对社区服刑人员日常人证比对业务场景的动态数据展示，并可将比对结果直接上传至社区矫正信息管理系统；</w:t>
            </w:r>
          </w:p>
        </w:tc>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54" w:hRule="atLeast"/>
        </w:trPr>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1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实时从社区矫正信息管理系统自动同步服刑人员的基础数据；实现对报到登记、到所报告、宣告、教育培训、心理矫正等重点监控视频的存档，实现从社区矫正信息管理系统对相关视频的点播；</w:t>
            </w:r>
          </w:p>
          <w:p>
            <w:pPr>
              <w:keepNext w:val="0"/>
              <w:keepLines w:val="0"/>
              <w:widowControl/>
              <w:numPr>
                <w:ilvl w:val="0"/>
                <w:numId w:val="10"/>
              </w:numPr>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软硬一体化专用设备，硬件采用工控机架构，含摄像机、话筒、音箱等设备具备云镜控制、预置点、图像轮巡、即时通讯、语音对讲、音频广播、即时通讯、电子白板、分屏控制、图像抓拍等功能；具备对终端界面布局、功能布局等进行自定义设置；具备终端自检功能，提供对本地绑定的摄像机、音箱、话筒运行状态进行一键自检；具备端口复用能力，使用精简可控的端口完成数据通信。视频格式支持H.265、H.264；音频格式支持G.711、AAC等；具备1、4、9路1080P及以下视频同时解码并分屏显示；具备7*24小时稳定持续工作。具备16路4CIF视频同时解码并分屏显示；具备1、2、4、画中画、6、1+5、9、12、16分屏控制；</w:t>
            </w:r>
          </w:p>
          <w:p>
            <w:pPr>
              <w:keepNext w:val="0"/>
              <w:keepLines w:val="0"/>
              <w:widowControl/>
              <w:numPr>
                <w:ilvl w:val="0"/>
                <w:numId w:val="10"/>
              </w:numPr>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支持与省厅、市级、县级社区矫正中心督查指挥管理系统互联互通，信令互通、媒体互通，支持指挥中遂行监控和视频会商；</w:t>
            </w:r>
            <w:r>
              <w:rPr>
                <w:rFonts w:hint="eastAsia"/>
                <w:color w:val="auto"/>
                <w:sz w:val="21"/>
                <w:szCs w:val="21"/>
                <w:highlight w:val="none"/>
                <w:lang w:val="en-US" w:eastAsia="zh-CN"/>
              </w:rPr>
              <w:t>保留测试权力；</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3功能指标：</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支持对本级社区矫正当日矫情的整体态势感知以及对下级各单位实时矫情的动态获取，包含社区矫正对象综合信息、当日矫正人员流动情况、实时定位分布情况、社矫对象分级管制情况、社矫对象禁止令执行情况、外来社矫人员情况、重点关注社矫对象情况、今日值班人员情况、预测预警情况、实时报警情况等，实现对社区矫正工作值班、监管和安全防范态势矫情的整体感知；</w:t>
            </w:r>
          </w:p>
        </w:tc>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64" w:hRule="atLeast"/>
        </w:trPr>
        <w:tc>
          <w:tcPr>
            <w:tcW w:w="5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103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9"/>
              </w:numPr>
              <w:suppressLineNumbers w:val="0"/>
              <w:ind w:left="0" w:leftChars="0" w:firstLine="0" w:firstLine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支持对本级和下级单位社区矫正日常工作规范、刑罚执行规范、应急事件处置规范和指挥中心日常值班规范的远程视频督察、督察情况实时督办和督察过程证据保全；</w:t>
            </w:r>
          </w:p>
          <w:p>
            <w:pPr>
              <w:keepNext w:val="0"/>
              <w:keepLines w:val="0"/>
              <w:widowControl/>
              <w:numPr>
                <w:ilvl w:val="0"/>
                <w:numId w:val="9"/>
              </w:numPr>
              <w:suppressLineNumbers w:val="0"/>
              <w:ind w:left="0" w:leftChars="0"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支持通过智能融合视频监控、定位监管、人证比对、生物识别、人工智能分析多项技术手段，结合社区矫正一体化大平台业务综合信息建立社区矫正对象在社矫工作场所开展的报到、矫正宣告、训诫、集中教育、个别教育、社区服务、点验等工作活动过程的音视频档案记录；社区矫正工作人员矫正工作活动、视频督察、视频点名等工作活动的音视频档案记录；社区矫正工作场所各类突发事件的音视频档案记录；</w:t>
            </w:r>
          </w:p>
          <w:p>
            <w:pPr>
              <w:keepNext w:val="0"/>
              <w:keepLines w:val="0"/>
              <w:widowControl/>
              <w:numPr>
                <w:ilvl w:val="0"/>
                <w:numId w:val="9"/>
              </w:numPr>
              <w:suppressLineNumbers w:val="0"/>
              <w:ind w:left="0" w:leftChars="0"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支持基于GIS地理信息、移动互联、通讯调度、安防集成等技术，智能融合一体化大平台业务信息，结合大数据分析研判实现对社区矫正日常监管的预测预警和应急处突分级分层指挥协调；</w:t>
            </w:r>
          </w:p>
          <w:p>
            <w:pPr>
              <w:keepNext w:val="0"/>
              <w:keepLines w:val="0"/>
              <w:widowControl/>
              <w:numPr>
                <w:ilvl w:val="0"/>
                <w:numId w:val="9"/>
              </w:numPr>
              <w:suppressLineNumbers w:val="0"/>
              <w:ind w:left="0" w:leftChars="0"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支持推送本级社区矫正重点音视频到上级指挥中心；支持与司法所、市司法局、省司法厅双向音视频通话。支持与司法所、市司法局、省司法厅进行视频会议；支持用户管理功能，系统可根据不同的权限、不同的角色进行授权，系统登录时需要身份验证，验证通过才能登录系统，才能使用权限范围内的功能；实现将社区服刑人员入矫登记的人脸、身份证、指纹信息自动分发至对应的司法所，并通过人证对比设备对社区服刑人员进行智能点名、智能报到、智能学习、远程抽点；实现对社区服刑人员日常人证比对业务场景的动态数据展示，并可将比对结果直接上传至社区矫正信息管理系统；实时从社区矫正信息管理系统自动同步服刑人员的基础数据；实现对报到登记、到所报告、宣告、教育培训、心理矫正等重点监控视频的存档，实现从社区矫正信息管理系统对相关视频的点播；</w:t>
            </w:r>
          </w:p>
          <w:p>
            <w:pPr>
              <w:keepNext w:val="0"/>
              <w:keepLines w:val="0"/>
              <w:widowControl/>
              <w:numPr>
                <w:ilvl w:val="0"/>
                <w:numId w:val="9"/>
              </w:numPr>
              <w:suppressLineNumbers w:val="0"/>
              <w:ind w:left="0" w:leftChars="0"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b/>
                <w:bCs/>
                <w:color w:val="auto"/>
                <w:kern w:val="0"/>
                <w:sz w:val="21"/>
                <w:szCs w:val="21"/>
                <w:highlight w:val="none"/>
              </w:rPr>
              <w:t>为确保与本次智慧矫正指挥平台无缝对接，</w:t>
            </w:r>
            <w:r>
              <w:rPr>
                <w:rFonts w:hint="eastAsia" w:ascii="宋体" w:hAnsi="宋体" w:eastAsia="宋体" w:cs="宋体"/>
                <w:b/>
                <w:bCs/>
                <w:color w:val="auto"/>
                <w:kern w:val="0"/>
                <w:sz w:val="21"/>
                <w:szCs w:val="21"/>
                <w:highlight w:val="none"/>
                <w:lang w:val="en-US" w:eastAsia="zh-CN"/>
              </w:rPr>
              <w:t>所投标产品厂家</w:t>
            </w:r>
            <w:r>
              <w:rPr>
                <w:rFonts w:hint="eastAsia" w:ascii="宋体" w:hAnsi="宋体" w:eastAsia="宋体" w:cs="宋体"/>
                <w:b/>
                <w:bCs/>
                <w:color w:val="auto"/>
                <w:kern w:val="0"/>
                <w:sz w:val="21"/>
                <w:szCs w:val="21"/>
                <w:highlight w:val="none"/>
              </w:rPr>
              <w:t>需提供无缝对接承诺</w:t>
            </w:r>
            <w:r>
              <w:rPr>
                <w:rFonts w:hint="eastAsia" w:ascii="宋体" w:hAnsi="宋体" w:eastAsia="宋体" w:cs="宋体"/>
                <w:b/>
                <w:bCs/>
                <w:color w:val="auto"/>
                <w:kern w:val="0"/>
                <w:sz w:val="21"/>
                <w:szCs w:val="21"/>
                <w:highlight w:val="none"/>
                <w:lang w:val="en-US" w:eastAsia="zh-CN"/>
              </w:rPr>
              <w:t>函</w:t>
            </w:r>
            <w:r>
              <w:rPr>
                <w:rFonts w:hint="eastAsia" w:ascii="宋体" w:hAnsi="宋体" w:eastAsia="宋体" w:cs="宋体"/>
                <w:b/>
                <w:bCs/>
                <w:color w:val="auto"/>
                <w:kern w:val="0"/>
                <w:sz w:val="21"/>
                <w:szCs w:val="21"/>
                <w:highlight w:val="none"/>
              </w:rPr>
              <w:t>，并加盖</w:t>
            </w:r>
            <w:r>
              <w:rPr>
                <w:rFonts w:hint="eastAsia" w:ascii="宋体" w:hAnsi="宋体" w:eastAsia="宋体" w:cs="宋体"/>
                <w:b/>
                <w:bCs/>
                <w:color w:val="auto"/>
                <w:kern w:val="0"/>
                <w:sz w:val="21"/>
                <w:szCs w:val="21"/>
                <w:highlight w:val="none"/>
                <w:lang w:val="en-US" w:eastAsia="zh-CN"/>
              </w:rPr>
              <w:t>厂家</w:t>
            </w:r>
            <w:r>
              <w:rPr>
                <w:rFonts w:hint="eastAsia" w:ascii="宋体" w:hAnsi="宋体" w:eastAsia="宋体" w:cs="宋体"/>
                <w:b/>
                <w:bCs/>
                <w:color w:val="auto"/>
                <w:kern w:val="0"/>
                <w:sz w:val="21"/>
                <w:szCs w:val="21"/>
                <w:highlight w:val="none"/>
              </w:rPr>
              <w:t>公章。</w:t>
            </w:r>
          </w:p>
        </w:tc>
        <w:tc>
          <w:tcPr>
            <w:tcW w:w="55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6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45" w:hRule="atLeast"/>
        </w:trPr>
        <w:tc>
          <w:tcPr>
            <w:tcW w:w="57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3</w:t>
            </w:r>
          </w:p>
        </w:tc>
        <w:tc>
          <w:tcPr>
            <w:tcW w:w="103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智慧社区矫正自助矫正终端（桌面式）</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1、核心系统：国产CPU，处理器核心数量≥4核，主频≥1.8G，内存≥2G，存储≥16G，采用Android系统，系统版本不低于7.1；</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2、安全性：内置国密加密芯片；</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3、确保窗口整洁化，柜面内外双屏集成一体化设计，不可分离。主副交互双屏、二代证识别模块、指纹模块、文件采集模块、双目活体检测摄像头等模块均集成为一体化，高拍仪需要在双屏幕的中心位置，拍摄物体可以在双屏幕的下方，作业面积展开不大于30CMx26CM（减少柜面占地，优化窗口整洁），整机底部防滑；</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4、双屏异显：信息交互双屏可实现异显异触，双屏互为独立操作功能，并可扩展实现主屏实时查看指导副屏的使用情况,可实现同显同触和异显异触；</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5、人机交互(工作端)：采用电容屏，屏幕≥10.1寸，分辨率≥1280x800，亮度&gt;=250cd/m²，对比度&gt;=800:1；</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6、人机交互(自助端)：副屏支持电磁电容双控屏并采用无源电磁笔，屏幕≥10.1寸，分辨率≥1280x800，电子签名感应方式，电子签名压感≥2048，亮度&gt;=250cd/m²，对比度&gt;=800:1；</w:t>
            </w:r>
          </w:p>
          <w:p>
            <w:pPr>
              <w:keepNext w:val="0"/>
              <w:keepLines w:val="0"/>
              <w:widowControl/>
              <w:suppressLineNumbers w:val="0"/>
              <w:jc w:val="left"/>
              <w:textAlignment w:val="center"/>
              <w:rPr>
                <w:rFonts w:hint="eastAsia"/>
                <w:color w:val="auto"/>
                <w:sz w:val="21"/>
                <w:szCs w:val="21"/>
                <w:highlight w:val="none"/>
                <w:lang w:val="en-US" w:eastAsia="zh-CN"/>
              </w:rPr>
            </w:pPr>
            <w:r>
              <w:rPr>
                <w:rFonts w:hint="eastAsia" w:ascii="宋体" w:hAnsi="宋体" w:eastAsia="宋体" w:cs="宋体"/>
                <w:i w:val="0"/>
                <w:iCs w:val="0"/>
                <w:color w:val="auto"/>
                <w:kern w:val="0"/>
                <w:sz w:val="21"/>
                <w:szCs w:val="21"/>
                <w:highlight w:val="none"/>
                <w:u w:val="none"/>
                <w:lang w:val="en-US" w:eastAsia="zh-CN"/>
              </w:rPr>
              <w:t>7、支持多种手写签名方式： 一名一签、一名多签、多名多签、随意位置签名捺印、指定位置签名捺印等。同时支持签名过程实时回显；支持文档预览，文档查看可提供“大”，“中”，“标准”三种大小档位；支持手指滑动查看文档；</w:t>
            </w:r>
            <w:r>
              <w:rPr>
                <w:rFonts w:hint="eastAsia"/>
                <w:color w:val="auto"/>
                <w:sz w:val="21"/>
                <w:szCs w:val="21"/>
                <w:highlight w:val="none"/>
                <w:lang w:val="en-US" w:eastAsia="zh-CN"/>
              </w:rPr>
              <w:t>保留测试权力；</w:t>
            </w:r>
          </w:p>
          <w:p>
            <w:pPr>
              <w:keepNext w:val="0"/>
              <w:keepLines w:val="0"/>
              <w:widowControl/>
              <w:suppressLineNumbers w:val="0"/>
              <w:jc w:val="left"/>
              <w:textAlignment w:val="center"/>
              <w:rPr>
                <w:rFonts w:hint="eastAsia"/>
                <w:color w:val="auto"/>
                <w:sz w:val="21"/>
                <w:szCs w:val="21"/>
                <w:highlight w:val="none"/>
                <w:lang w:val="en-US" w:eastAsia="zh-CN"/>
              </w:rPr>
            </w:pPr>
            <w:r>
              <w:rPr>
                <w:rFonts w:hint="eastAsia" w:ascii="宋体" w:hAnsi="宋体" w:eastAsia="宋体" w:cs="宋体"/>
                <w:i w:val="0"/>
                <w:iCs w:val="0"/>
                <w:color w:val="auto"/>
                <w:kern w:val="0"/>
                <w:sz w:val="21"/>
                <w:szCs w:val="21"/>
                <w:highlight w:val="none"/>
                <w:u w:val="none"/>
                <w:lang w:val="en-US" w:eastAsia="zh-CN"/>
              </w:rPr>
              <w:t>8、双目活体检测：像素：200万（WDR），200万（B/W），分辨率：1920*1080（WDR），1920*1080（B/W），支持活体检测，支持人脸比对；</w:t>
            </w:r>
            <w:r>
              <w:rPr>
                <w:rFonts w:hint="eastAsia"/>
                <w:color w:val="auto"/>
                <w:sz w:val="21"/>
                <w:szCs w:val="21"/>
                <w:highlight w:val="none"/>
                <w:lang w:val="en-US" w:eastAsia="zh-CN"/>
              </w:rPr>
              <w:t>保留测试权力；</w:t>
            </w:r>
          </w:p>
          <w:p>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9、文件采集模块：面向客户与业务办理人员均为半开放开口设计，便于客户与业务办理人员放置文件以及证件材料；</w:t>
            </w:r>
          </w:p>
        </w:tc>
        <w:tc>
          <w:tcPr>
            <w:tcW w:w="555"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个</w:t>
            </w:r>
          </w:p>
        </w:tc>
        <w:tc>
          <w:tcPr>
            <w:tcW w:w="660" w:type="dxa"/>
            <w:vMerge w:val="restar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3" w:hRule="atLeast"/>
        </w:trPr>
        <w:tc>
          <w:tcPr>
            <w:tcW w:w="57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103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文件摄像头参数：传感器尺寸：1/4”，分辨率：2592*1944，像素：500万，帧率：2592*1944/15fps，拍摄幅面：A4，拍摄介质：文件、证件及立体实物，至少高于10CM的立体实物；</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11、二代证阅读器：符合GA450-2013台式居民身份证阅读器通用技术要求，阅读距离：0-30mm，读卡响应速度：&lt;1s；</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12、指纹识别模块：需通过公安部认证。指纹识别传感器类型：半导体电容式，传感器尺寸：23.0*35.0mm，有效图像尺寸：12.8 *18.0 mm，图像大小：256*360pixel，图像分辨率：508dpi，比对方式：1:1 /1：N，认假率（FAR）：&lt;0.0001% ，集成于一体机上面；</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13、接口：USB2.0扩展口≥2，HDMI ≥ 1 个；OTG≥1；以太网接口 1 个，10-1000M 自适应以太网；</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14、电源：9V/2.5A 外置电源；</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15、支持扬声器、麦克风、蓝牙、WIFI及网口；</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16、开关方式 ：船型开关；</w:t>
            </w:r>
          </w:p>
          <w:p>
            <w:pPr>
              <w:keepNext w:val="0"/>
              <w:keepLines w:val="0"/>
              <w:widowControl/>
              <w:numPr>
                <w:ilvl w:val="0"/>
                <w:numId w:val="0"/>
              </w:numPr>
              <w:suppressLineNumbers w:val="0"/>
              <w:jc w:val="left"/>
              <w:textAlignment w:val="center"/>
              <w:rPr>
                <w:rFonts w:hint="default" w:ascii="宋体" w:hAnsi="宋体" w:eastAsia="宋体" w:cs="宋体"/>
                <w:i w:val="0"/>
                <w:iCs w:val="0"/>
                <w:color w:val="auto"/>
                <w:kern w:val="0"/>
                <w:sz w:val="21"/>
                <w:szCs w:val="21"/>
                <w:highlight w:val="none"/>
                <w:u w:val="none"/>
                <w:lang w:val="en-US" w:eastAsia="zh-CN"/>
              </w:rPr>
            </w:pPr>
            <w:r>
              <w:rPr>
                <w:rFonts w:hint="eastAsia" w:ascii="宋体" w:hAnsi="宋体" w:eastAsia="宋体" w:cs="宋体"/>
                <w:b/>
                <w:bCs/>
                <w:color w:val="auto"/>
                <w:kern w:val="0"/>
                <w:sz w:val="21"/>
                <w:szCs w:val="21"/>
                <w:highlight w:val="none"/>
              </w:rPr>
              <w:t>为确保与本次智慧矫正指挥平台无缝对接，</w:t>
            </w:r>
            <w:r>
              <w:rPr>
                <w:rFonts w:hint="eastAsia" w:ascii="宋体" w:hAnsi="宋体" w:eastAsia="宋体" w:cs="宋体"/>
                <w:b/>
                <w:bCs/>
                <w:color w:val="auto"/>
                <w:kern w:val="0"/>
                <w:sz w:val="21"/>
                <w:szCs w:val="21"/>
                <w:highlight w:val="none"/>
                <w:lang w:val="en-US" w:eastAsia="zh-CN"/>
              </w:rPr>
              <w:t>所投标产品厂家</w:t>
            </w:r>
            <w:r>
              <w:rPr>
                <w:rFonts w:hint="eastAsia" w:ascii="宋体" w:hAnsi="宋体" w:eastAsia="宋体" w:cs="宋体"/>
                <w:b/>
                <w:bCs/>
                <w:color w:val="auto"/>
                <w:kern w:val="0"/>
                <w:sz w:val="21"/>
                <w:szCs w:val="21"/>
                <w:highlight w:val="none"/>
              </w:rPr>
              <w:t>需提供无缝对接承诺</w:t>
            </w:r>
            <w:r>
              <w:rPr>
                <w:rFonts w:hint="eastAsia" w:ascii="宋体" w:hAnsi="宋体" w:eastAsia="宋体" w:cs="宋体"/>
                <w:b/>
                <w:bCs/>
                <w:color w:val="auto"/>
                <w:kern w:val="0"/>
                <w:sz w:val="21"/>
                <w:szCs w:val="21"/>
                <w:highlight w:val="none"/>
                <w:lang w:val="en-US" w:eastAsia="zh-CN"/>
              </w:rPr>
              <w:t>函</w:t>
            </w:r>
            <w:r>
              <w:rPr>
                <w:rFonts w:hint="eastAsia" w:ascii="宋体" w:hAnsi="宋体" w:eastAsia="宋体" w:cs="宋体"/>
                <w:b/>
                <w:bCs/>
                <w:color w:val="auto"/>
                <w:kern w:val="0"/>
                <w:sz w:val="21"/>
                <w:szCs w:val="21"/>
                <w:highlight w:val="none"/>
              </w:rPr>
              <w:t>，并加盖</w:t>
            </w:r>
            <w:r>
              <w:rPr>
                <w:rFonts w:hint="eastAsia" w:ascii="宋体" w:hAnsi="宋体" w:eastAsia="宋体" w:cs="宋体"/>
                <w:b/>
                <w:bCs/>
                <w:color w:val="auto"/>
                <w:kern w:val="0"/>
                <w:sz w:val="21"/>
                <w:szCs w:val="21"/>
                <w:highlight w:val="none"/>
                <w:lang w:val="en-US" w:eastAsia="zh-CN"/>
              </w:rPr>
              <w:t>厂家</w:t>
            </w:r>
            <w:r>
              <w:rPr>
                <w:rFonts w:hint="eastAsia" w:ascii="宋体" w:hAnsi="宋体" w:eastAsia="宋体" w:cs="宋体"/>
                <w:b/>
                <w:bCs/>
                <w:color w:val="auto"/>
                <w:kern w:val="0"/>
                <w:sz w:val="21"/>
                <w:szCs w:val="21"/>
                <w:highlight w:val="none"/>
              </w:rPr>
              <w:t>公章。</w:t>
            </w:r>
          </w:p>
        </w:tc>
        <w:tc>
          <w:tcPr>
            <w:tcW w:w="555"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660"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57"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4</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智慧社区矫正指挥综合管理矫情态势软件（服务端）</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11"/>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提供社区矫正中心、司法所每日矫正态势的概览，支持基于二维GIS地理信息技术，融合智慧矫正一体化大平台信息动态挂屏展示辖区社区矫正对象综合信息、业务开展情况、值班情况、预测预警情况、工作机构情况、矫正中心信息化建设情况的整体感知；</w:t>
            </w:r>
            <w:r>
              <w:rPr>
                <w:rFonts w:hint="eastAsia"/>
                <w:color w:val="auto"/>
                <w:sz w:val="21"/>
                <w:szCs w:val="21"/>
                <w:highlight w:val="none"/>
                <w:lang w:val="en-US" w:eastAsia="zh-CN"/>
              </w:rPr>
              <w:t>保留测试权力；</w:t>
            </w:r>
          </w:p>
          <w:p>
            <w:pPr>
              <w:keepNext w:val="0"/>
              <w:keepLines w:val="0"/>
              <w:widowControl/>
              <w:numPr>
                <w:ilvl w:val="0"/>
                <w:numId w:val="11"/>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2）社区矫正对象综合信息包括：当日矫正人员流动情况、实时定位分布情况、矫正对象分级管制情况、矫正对象外出情况、矫正对象年龄分段情况、矫正对象禁止令执行情况、外来矫正对象情况、重点关注矫正对象情况等；</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3）社区矫正业务开展情况包括：当日教育学习、宣告、社区服务、训诫、适应性帮扶、心理矫正、调查评估情况、电子监管情况、警告情况、收监执行情况、脱管情况、再犯罪情况等；</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4）社区矫正值班情况包括：值班长、值班员、戒毒警员等；</w:t>
            </w:r>
          </w:p>
          <w:p>
            <w:pPr>
              <w:keepNext w:val="0"/>
              <w:keepLines w:val="0"/>
              <w:widowControl/>
              <w:numPr>
                <w:ilvl w:val="0"/>
                <w:numId w:val="0"/>
              </w:numPr>
              <w:suppressLineNumbers w:val="0"/>
              <w:jc w:val="left"/>
              <w:textAlignment w:val="center"/>
              <w:rPr>
                <w:rFonts w:hint="eastAsia"/>
                <w:color w:val="auto"/>
                <w:sz w:val="21"/>
                <w:szCs w:val="21"/>
                <w:highlight w:val="none"/>
                <w:lang w:val="en-US" w:eastAsia="zh-CN"/>
              </w:rPr>
            </w:pPr>
            <w:r>
              <w:rPr>
                <w:rFonts w:hint="eastAsia" w:ascii="宋体" w:hAnsi="宋体" w:eastAsia="宋体" w:cs="宋体"/>
                <w:i w:val="0"/>
                <w:iCs w:val="0"/>
                <w:color w:val="auto"/>
                <w:kern w:val="0"/>
                <w:sz w:val="21"/>
                <w:szCs w:val="21"/>
                <w:highlight w:val="none"/>
                <w:u w:val="none"/>
                <w:lang w:val="en-US" w:eastAsia="zh-CN"/>
              </w:rPr>
              <w:t>5）社区矫正预测预警情况包括：实时报警情况、定位异常警告、视频监控报警、脱漏管预警、再犯罪预警、同案犯交叉预警等；</w:t>
            </w:r>
            <w:r>
              <w:rPr>
                <w:rFonts w:hint="eastAsia"/>
                <w:color w:val="auto"/>
                <w:sz w:val="21"/>
                <w:szCs w:val="21"/>
                <w:highlight w:val="none"/>
                <w:lang w:val="en-US" w:eastAsia="zh-CN"/>
              </w:rPr>
              <w:t>保留测试权力；</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6）社区矫正工作机构情况：社区矫正建设情况、开展矫正小组情况、专职社区矫正工作人员情况、社区矫正用警情况、专职社区矫正社会工作者情况、社区矫正社会志愿者情况等；</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7）矫正中心信息化建设情况包括：矫正对象定位终端配比情况、移动执法终端配比情况、移动执法车配比情况、监控配比情况、人证比对设备配比情况等；</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21"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5</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智慧社区矫正指挥管理重点视频服务软件（服务端）</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1、性能指标：</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重点视频服务是音视频服务平台服务节点的扩展服务，主要实现流媒体录像、流媒体流化回放、存储空间管理等功能；支持强制录像、计划自动录像和手动临时录像；支持多种查询检索方式，录像媒体文件可流化回放与VOD回放；支持与接入报警服务软件和远程督察综合管理服务软件；支持磁盘、RAID、IPSAN等各类存储设备，可实现大容量的流媒体录像与存储；视频编码格式支持H.264、H.265；音频支持G.711、AAC；</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2、功能指标：</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 xml:space="preserve">1）支持对矫正工作活动档案的查看督察记录，包括对社区矫正对象和社区矫正工作人员报到、矫正宣告、训诫、集中教育、个别教育人证比对结果实时/历史查看和统计，对报到、矫正宣告、训诫、集中教育、个别教育过程视频的实时/历史查看和统计；对社区矫正对象和社区矫正工作人员社区服务签到（签出）结果和社区服务过程视频的查看和统计；矫正工作活动记录的补录以及关联相关视频图片材料；根据职能级别按照城市、社区矫正机构名称、司法所名称、人员编号、人员姓名、矫正活动类型、矫正机构编码、记录库ID、记录起始时间、数据产生方式、记录员ID进行矫正工作记录查询和关联录像图片等进行查看；   </w:t>
            </w:r>
          </w:p>
          <w:p>
            <w:pPr>
              <w:rPr>
                <w:rFonts w:hint="eastAsia"/>
                <w:color w:val="auto"/>
                <w:sz w:val="21"/>
                <w:szCs w:val="21"/>
                <w:highlight w:val="none"/>
                <w:lang w:val="en-US" w:eastAsia="zh-CN"/>
              </w:rPr>
            </w:pPr>
            <w:r>
              <w:rPr>
                <w:rFonts w:hint="eastAsia" w:ascii="宋体" w:hAnsi="宋体" w:eastAsia="宋体" w:cs="宋体"/>
                <w:i w:val="0"/>
                <w:iCs w:val="0"/>
                <w:color w:val="auto"/>
                <w:kern w:val="0"/>
                <w:sz w:val="21"/>
                <w:szCs w:val="21"/>
                <w:highlight w:val="none"/>
                <w:u w:val="none"/>
                <w:lang w:val="en-US" w:eastAsia="zh-CN"/>
              </w:rPr>
              <w:t>2）支持对矫正督察档案查看包括按照事件ID、事件类型、事件类型详细分类、事件发生单位名称、事件发生单位编码、事件等级、数据产生方式、开始时间、记录人姓名、结束时间、记录人所在单位进行督察事件查询督察记录，同时支持查看督察抓拍图片和抓录视频；矫正督察档案的补录以及关联相关视频图片材料查询督察记录；</w:t>
            </w:r>
            <w:r>
              <w:rPr>
                <w:rFonts w:hint="eastAsia"/>
                <w:color w:val="auto"/>
                <w:sz w:val="21"/>
                <w:szCs w:val="21"/>
                <w:highlight w:val="none"/>
                <w:lang w:val="en-US" w:eastAsia="zh-CN"/>
              </w:rPr>
              <w:t>保留测试权力；</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3）支持时空轨迹档案包括支持按照市、县、乡、社区矫正对象姓名、管制等级、是否成年、是否重点关注、定位类型、开始时间、结束时间对社区矫正对象进行轨迹查询，基于人脸识别轨迹的可查看抓拍图片；支持通过对社区矫正对象定位监管数据的统计分析，分析其经常活动区域和场所；支持通过对同类犯定位交叉分析，结合禁止令执行相关规定进行预测预警和风险防范；</w:t>
            </w:r>
          </w:p>
          <w:p>
            <w:pP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4） 支持矫正事件档案包含支持在事件发生时通过对社区矫正工作场所监控、司法所监控、移动执法车监控和移动执法终端监控等视频资源的人工实时抓拍抓录和事后事件录像关联对事件发生全过程音视频信息进行证据保全。支持通过人脸识别分析动态识别矫正工作场所人员，自动保全人员出现时的抓拍图片和出现前后监控视频录像。支持通过智能行为分析自动分析识别矫正工作场所异常情况，对异常状况进行预警提示，同时自动进行异常情况的事件记录并关联智能分析图片和事件前后监控视频录像等查看；</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6</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智慧社区矫正指挥流媒体转发服务软件（服务端）</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12"/>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功能指标：</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实现音视频服务平台节点中的核心数据交换服务，支持流媒体的转发和分发；具备端口复用能力，使用精简可控的端口完成数据通信；具备接收综合管理服务软件统一管理、均衡调度；具备与督察指挥系统综合管理软件、接入报警等系统软件及督查指挥终端无缝对接及直连互通，信令互通、媒体互通；</w:t>
            </w:r>
            <w:r>
              <w:rPr>
                <w:rFonts w:hint="eastAsia"/>
                <w:color w:val="auto"/>
                <w:sz w:val="21"/>
                <w:szCs w:val="21"/>
                <w:highlight w:val="none"/>
                <w:lang w:val="en-US" w:eastAsia="zh-CN"/>
              </w:rPr>
              <w:t>保留测试权力；</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1)采用软硬分离设计，具备在通用服务器或虚拟化环境部署；</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2)具备音视频数据的接收与分发功能，提供单播、组播两种分发模式；</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3)具备端口复用能力，使用精简可控的端口完成数据通信；</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4)具备接收综合管理服务软件统一管理、均衡调度；</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2、性能指标</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1)视频格式支持H.264、H.265；音频格式支持G.711、AAC；</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2）具备丢包重传、流量整形能力，信令与媒体支持在最大20%的丢包环境中可靠传输；</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7</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智慧社区矫正自助矫正终端（移动式）</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1、核心系统：国产CPU，处理器核心数量≥4核，主频≥1.8G，内存≥2G，存储≥16G，采用Android系统，系统版本不低于7.1；</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2、安全性：内置国密加密芯片；</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3、显示屏：支持电磁电容双控屏并采用无源电磁笔，屏幕≥10.1寸，分辨率≥1280x800，电子签名感应方式，电子签名压感≥2048，亮度&gt;=250cd/m²，对比度&gt;=800:1；</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4、支持多种手写签名方式： 一名一签、一名多签、多名多签、随意位置签名捺印、指定位置签名捺印等。同时支持签名过程实时回显；支持文档预览，文档查看可提供“大”，“中”，“标准”三种大小档位；支持手指滑动查看文档；</w:t>
            </w:r>
          </w:p>
          <w:p>
            <w:pPr>
              <w:rPr>
                <w:rFonts w:hint="eastAsia"/>
                <w:color w:val="auto"/>
                <w:sz w:val="21"/>
                <w:szCs w:val="21"/>
                <w:highlight w:val="none"/>
                <w:lang w:val="en-US" w:eastAsia="zh-CN"/>
              </w:rPr>
            </w:pPr>
            <w:r>
              <w:rPr>
                <w:rFonts w:hint="eastAsia" w:ascii="宋体" w:hAnsi="宋体" w:eastAsia="宋体" w:cs="宋体"/>
                <w:i w:val="0"/>
                <w:iCs w:val="0"/>
                <w:color w:val="auto"/>
                <w:kern w:val="0"/>
                <w:sz w:val="21"/>
                <w:szCs w:val="21"/>
                <w:highlight w:val="none"/>
                <w:u w:val="none"/>
                <w:lang w:val="en-US" w:eastAsia="zh-CN"/>
              </w:rPr>
              <w:t>5、双目活体检测：像素：300万（WDR），130万（B/W），分辨率：2048*1536（WDR），1280*960（B/W），最大帧率：20fps（2048*1536 WDR）,30fps（1280*960 B/W），支持活体检测，支持人脸比对；</w:t>
            </w:r>
            <w:r>
              <w:rPr>
                <w:rFonts w:hint="eastAsia"/>
                <w:color w:val="auto"/>
                <w:sz w:val="21"/>
                <w:szCs w:val="21"/>
                <w:highlight w:val="none"/>
                <w:lang w:val="en-US" w:eastAsia="zh-CN"/>
              </w:rPr>
              <w:t>保留测试权力；</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6、具备二代证阅读器：符合GA450-2013台式居民身份证阅读器通用技术要求，阅读距离：0-30mm，读卡响应速度：&lt;1s；</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7、具备指纹识别模块：需通过公安部认证。指纹识别传感器类型：半导体电容式，传感器尺寸：23.0*35.0mm，有效图像尺寸：12.8 *18.0 mm，图像大小：256*360pixel，图像分辨率：508dpi，比对方式：1:1 /1：N，认假率（FAR）：&lt;0.0001% ，集成于一体机上面；</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8、内置电池，电池容量≥7.4V@6000mAh，工作时长≥8H；</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 xml:space="preserve">9、接口：USB2.0扩展口≥1，支持HID免驱连接； </w:t>
            </w:r>
          </w:p>
          <w:p>
            <w:pP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10、支持扬声器、麦克风、蓝牙、WIFI、4G全网通；</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个</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30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8</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智慧社区矫正指挥管理重点视频服务器、远程督查指挥综合管理服务器</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1.品牌：国内知名品牌，非OEM产品；</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2.外观：机架式服务器，并提供机架安装套件，高度≥2U；</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3. 处理器：Intel C624芯片组，支持Intel至强可扩展处理器家族铜牌、银牌、金牌及铂金处理器产品，配置≥2颗Intel至强12核银牌处理器4214主频≥2.2GHz，24线程；</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4. 内存：配置≥128GB TruDDR4 DDR4 2933MHz，最大支持≥3TB内存扩展或最大支持24根内存插槽；</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5.硬盘：配置≥5*1.2TB 10K 12Gbps热插拔2.5寸SAS硬盘，最大支持16个2.5寸硬盘扩展，支持前置直连U.2 NVMe SSD硬盘。支持内置两个M.2 且支持RAID 0/1；</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6. RAID卡：配置高性能12Gb/s 独立RAID卡，支持RAID0,1,5,10,50，可选支持电容掉电保护，支持硬盘直通模式；</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7.网卡：配置≥2个万兆网口，2个千兆网口，一个专用的管理端口，可选四口万兆光口，支持虚拟化加速、网络加速、负载均衡、低延迟等高级功能；</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8.附件：配置外置DVDRW光驱；</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8.扩展插槽：最大支持7个PCIe插槽，包括一个内置阵列卡专用插槽，六个标准PCIe插槽；</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9.电源：配置≥550W 80+铂金电源，配置1+1热插拔冗余电源，支持240V高压直流，支持6个冗余热插拔系统风扇；</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10.工作温度：支持ASHARE A4标准，工作温度最高支持45°C；</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11.服务器管理：提供针对处理器，内存，内部存储，风扇，电源，阵列 卡等关键部件的故障预报警机制；提供针对处理器，内存插槽，风扇， 电源，CPU 板的 LED 故障报警指示灯；配置远程管理模块和独立远程管 理网口，支持通过浏览器访问带外管理界面，可以收集和查看硬件资 产信息、系统日志和诊断信息，监控服务器系统运行状态、健康情况 和性能信息；</w:t>
            </w:r>
          </w:p>
          <w:p>
            <w:pPr>
              <w:rPr>
                <w:rFonts w:hint="eastAsia"/>
                <w:color w:val="auto"/>
                <w:sz w:val="21"/>
                <w:szCs w:val="21"/>
                <w:highlight w:val="none"/>
                <w:lang w:val="en-US" w:eastAsia="zh-CN"/>
              </w:rPr>
            </w:pPr>
            <w:r>
              <w:rPr>
                <w:rFonts w:hint="eastAsia" w:ascii="宋体" w:hAnsi="宋体" w:eastAsia="宋体" w:cs="宋体"/>
                <w:i w:val="0"/>
                <w:iCs w:val="0"/>
                <w:color w:val="auto"/>
                <w:kern w:val="0"/>
                <w:sz w:val="21"/>
                <w:szCs w:val="21"/>
                <w:highlight w:val="none"/>
                <w:u w:val="none"/>
                <w:lang w:val="en-US" w:eastAsia="zh-CN"/>
              </w:rPr>
              <w:t>能源管理工具：支持能源管理软件，可对数据中心内同一品牌的塔式、 机架、刀片服务器以及超融合节点等提供实时电源能耗、健康状况以 及温度等的监控和分析；</w:t>
            </w:r>
            <w:r>
              <w:rPr>
                <w:rFonts w:hint="eastAsia"/>
                <w:color w:val="auto"/>
                <w:sz w:val="21"/>
                <w:szCs w:val="21"/>
                <w:highlight w:val="none"/>
                <w:lang w:val="en-US" w:eastAsia="zh-CN"/>
              </w:rPr>
              <w:t>保留测试权力；</w:t>
            </w:r>
          </w:p>
          <w:p>
            <w:pP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 xml:space="preserve"> </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台</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94"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color w:val="auto"/>
                <w:sz w:val="21"/>
                <w:szCs w:val="21"/>
                <w:highlight w:val="none"/>
                <w:lang w:val="en-US" w:eastAsia="zh-CN"/>
              </w:rPr>
            </w:pPr>
            <w:r>
              <w:rPr>
                <w:rFonts w:hint="eastAsia" w:ascii="宋体" w:hAnsi="宋体" w:eastAsia="宋体" w:cs="宋体"/>
                <w:i w:val="0"/>
                <w:iCs w:val="0"/>
                <w:color w:val="auto"/>
                <w:kern w:val="0"/>
                <w:sz w:val="21"/>
                <w:szCs w:val="21"/>
                <w:highlight w:val="none"/>
                <w:u w:val="none"/>
                <w:lang w:val="en-US" w:eastAsia="zh-CN"/>
              </w:rPr>
              <w:t xml:space="preserve">系统管理软件：中文管理界面，要求提供（但不限于）以下功能： </w:t>
            </w:r>
            <w:r>
              <w:rPr>
                <w:rFonts w:hint="eastAsia"/>
                <w:color w:val="auto"/>
                <w:sz w:val="21"/>
                <w:szCs w:val="21"/>
                <w:highlight w:val="none"/>
                <w:lang w:val="en-US" w:eastAsia="zh-CN"/>
              </w:rPr>
              <w:t>保留测试权力；</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 xml:space="preserve">（1）实时监控管理：实时监控服务器用电情况，监控捕捉操作系统挂 起时的视频显示内容，设置事件日志转发和自动通报；提供符合 CIM、 IPMI v2.0、SNMP v3、DCMI v1.5、Redfish 标准的 REST API。 </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 xml:space="preserve">（2）固件及配置管理：可通过带内和带外方式配置服务器设置和更新 系统/适配器固件，支持图形化 BIOS /UEFI 配置、RAID 配置等，并可 以将 BIOS/UEFI 配置信息和 RAID 配置信息等保持到 USB 或网络文件， 套 1 38 并复制到其它服务器。 </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（3）移动 APP 管理：支持 Android 和 IOS 的移动 APP，通过 APP 可以 集中监控查看设备的状态、审计日志和报警信息，以及执行设备电源 开关动作等，要求提供可用的移动 APP 软件下载网址链接。</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 xml:space="preserve">（4）图形化及远程管理：显示实时和历史服务器用电数据和温度图形， 显示系统资源利用率历史记录；支持基于 HTML5 的远程控制台和远程 控制，无需 Java 和 ActiveX 插件，可通过远程控制台访问虚拟介质， 远程安装操作系统。 </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 xml:space="preserve">（5）ISO 文件映射：可以将本地客户端上的 ISO 映像文件映射为服务 器使用的虚拟驱动器或从 CIFS 和 NFS 文件服务器远程装载 ISO 映 像，支持在远程会话的所有用户间进行协作。 </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 xml:space="preserve">（6）异构设备管理：可实现自动发现、清点、跟踪、监控和数据中心 内同一品牌的服务器、刀片中心及交换机；可集中查看从受管节点生 成的所有事件和警报，并可使用 call home 功能对警报进行远程报修。 </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 xml:space="preserve">（7）合规性管理：可通过固件合规性策略对设备固件进行管理，可批 量检查和升级固件。 </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 xml:space="preserve">（8）服务器批量配置：提供包括本地存储、I/O 适配器、引导设置、 端口、管理口及 UEFI 等的服务器批量配置；提供操作系统映像的存储 库功能，以及将操作系统映像或虚拟化软件批量部署到受管服务器功 能。 </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 xml:space="preserve">（9）与主流平台集成：提供微码升级时虚拟化业务不中断功能；提供 向上集成统一管理功能，可与 VMware vCenter 和 Microsoft System Center 集成，由 vCenter、MSC 直接管理硬件； </w:t>
            </w:r>
          </w:p>
          <w:p>
            <w:pPr>
              <w:numPr>
                <w:ilvl w:val="0"/>
                <w:numId w:val="13"/>
              </w:num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安全：为确保底层系统安全，可选配置 TCM（Trusted Cryptographic Module）可信加密模块 工作温度：支持 ASHARE A4 标准，服务器工作温度最高支持 45°C ；</w:t>
            </w:r>
          </w:p>
          <w:p>
            <w:pPr>
              <w:numPr>
                <w:ilvl w:val="0"/>
                <w:numId w:val="13"/>
              </w:num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需提供厂家技术参数证明函并加盖厂家公章；</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25"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9</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自助矫正终端</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1、机柜：冷轧钢材质，表面汽车烤漆，颜色可定制，防磁防锈防静电，符合人体工程学,布局合理、工艺精细；</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 xml:space="preserve">2、CPU:64位高性能CPU，2.0GHz；内存  16G  ROM 32KB ；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3、解码分辨率  3840*2160 操作系统 Android 7.1；</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4、网络支持 4G、以太网、支持WiFi/蓝牙4.0、无线外设扩展 8个USB接口；</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 xml:space="preserve">5、显示器：21.5" TFT LED,分辨率1920*1080,亮度250cd/㎡，最大色彩16.7M,响应时间5ms,对比度1000:1,比例16:9, 10点电容触控，响应时间小于3ms,透光率≥95%，莫式7级；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6、高拍仪：分辨率 3651×2738  双通道 全局智能曝光 无肉眼可识别的闪烁、波纹、噪点等；</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可一键拍摄生成PDF文档，具备去黑边及自动矫正功能、智能超边寻边补边自带ABBYY文字OCR识别引擎调用，一键生成word、excel、txt文档；</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7、麦克风：集成语音识别功能，可以实现语音识别及语音转写；</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8、集成A4黑白激光打印机 508dpi指纹仪 由公安部认证许可的二代身份证识别仪人脸识别摄像头等；</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9、</w:t>
            </w:r>
            <w:r>
              <w:rPr>
                <w:rFonts w:hint="eastAsia"/>
                <w:color w:val="auto"/>
                <w:sz w:val="21"/>
                <w:szCs w:val="21"/>
                <w:highlight w:val="none"/>
                <w:lang w:val="en-US" w:eastAsia="zh-CN"/>
              </w:rPr>
              <w:t>支持面部、指纹、人证比对签到，结合应用场景，支持将报到、报告、学习、社区服务等签到数据自动存入河南省社区矫正管理系统中；保留测试权力；</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个</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2"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VR教育终端</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0"/>
              </w:numPr>
              <w:suppressLineNumbers w:val="0"/>
              <w:jc w:val="left"/>
              <w:textAlignment w:val="center"/>
              <w:rPr>
                <w:rFonts w:hint="default"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VR硬件</w:t>
            </w:r>
          </w:p>
          <w:p>
            <w:pPr>
              <w:keepNext w:val="0"/>
              <w:keepLines w:val="0"/>
              <w:widowControl/>
              <w:numPr>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cs="宋体"/>
                <w:i w:val="0"/>
                <w:iCs w:val="0"/>
                <w:color w:val="auto"/>
                <w:kern w:val="0"/>
                <w:sz w:val="21"/>
                <w:szCs w:val="21"/>
                <w:highlight w:val="none"/>
                <w:u w:val="none"/>
                <w:lang w:val="en-US" w:eastAsia="zh-CN"/>
              </w:rPr>
              <w:t>1、</w:t>
            </w:r>
            <w:r>
              <w:rPr>
                <w:rFonts w:hint="eastAsia" w:ascii="宋体" w:hAnsi="宋体" w:eastAsia="宋体" w:cs="宋体"/>
                <w:i w:val="0"/>
                <w:iCs w:val="0"/>
                <w:color w:val="auto"/>
                <w:kern w:val="0"/>
                <w:sz w:val="21"/>
                <w:szCs w:val="21"/>
                <w:highlight w:val="none"/>
                <w:u w:val="none"/>
                <w:lang w:val="en-US" w:eastAsia="zh-CN"/>
              </w:rPr>
              <w:t>屏幕： 2个3.5英寸AMOLED；</w:t>
            </w:r>
          </w:p>
          <w:p>
            <w:pPr>
              <w:keepNext w:val="0"/>
              <w:keepLines w:val="0"/>
              <w:widowControl/>
              <w:numPr>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2、分辨率： 单眼分辨率1440 x 1600，双眼分辨率为3K（2880 x 1600）；</w:t>
            </w:r>
          </w:p>
          <w:p>
            <w:pPr>
              <w:keepNext w:val="0"/>
              <w:keepLines w:val="0"/>
              <w:widowControl/>
              <w:numPr>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3、刷新率：≥90Hz刷新率，Fast-Switch快速响应技术视场角≥101° ；</w:t>
            </w:r>
          </w:p>
          <w:p>
            <w:pPr>
              <w:keepNext w:val="0"/>
              <w:keepLines w:val="0"/>
              <w:widowControl/>
              <w:numPr>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4、视场角： 110 度；</w:t>
            </w:r>
          </w:p>
          <w:p>
            <w:pPr>
              <w:keepNext w:val="0"/>
              <w:keepLines w:val="0"/>
              <w:widowControl/>
              <w:numPr>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5、音频输出： Hi-Res Audio认证头戴式设备 ；</w:t>
            </w:r>
          </w:p>
          <w:p>
            <w:pPr>
              <w:keepNext w:val="0"/>
              <w:keepLines w:val="0"/>
              <w:widowControl/>
              <w:numPr>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 xml:space="preserve">6、Hi-Res Audio认证耳机（可拆卸式）； </w:t>
            </w:r>
          </w:p>
          <w:p>
            <w:pPr>
              <w:keepNext w:val="0"/>
              <w:keepLines w:val="0"/>
              <w:widowControl/>
              <w:numPr>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7、支持高阻抗耳机 ；</w:t>
            </w:r>
          </w:p>
          <w:p>
            <w:pPr>
              <w:keepNext w:val="0"/>
              <w:keepLines w:val="0"/>
              <w:widowControl/>
              <w:numPr>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8、人体工学增强耳机；</w:t>
            </w:r>
          </w:p>
          <w:p>
            <w:pPr>
              <w:keepNext w:val="0"/>
              <w:keepLines w:val="0"/>
              <w:widowControl/>
              <w:numPr>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9、音频输入： 双一体麦克风；</w:t>
            </w:r>
          </w:p>
          <w:p>
            <w:pPr>
              <w:keepNext w:val="0"/>
              <w:keepLines w:val="0"/>
              <w:widowControl/>
              <w:numPr>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10、连接口： USB-C 3.0、DP 1.2、蓝牙；</w:t>
            </w:r>
          </w:p>
          <w:p>
            <w:pPr>
              <w:keepNext w:val="0"/>
              <w:keepLines w:val="0"/>
              <w:widowControl/>
              <w:numPr>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11、传感器： SteamVR追踪技术、G-sensor校正、gyroscope陀螺仪、proximity距离感测器、瞳距感测器、眼动追踪；</w:t>
            </w:r>
          </w:p>
          <w:p>
            <w:pPr>
              <w:keepNext w:val="0"/>
              <w:keepLines w:val="0"/>
              <w:widowControl/>
              <w:numPr>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12、人体工学设计： 可调整镜头距离（适配佩戴眼镜用户） ；</w:t>
            </w:r>
          </w:p>
          <w:p>
            <w:pPr>
              <w:keepNext w:val="0"/>
              <w:keepLines w:val="0"/>
              <w:widowControl/>
              <w:numPr>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13、可调整瞳距 、可调式耳机 、可调式头带、头戴设备、可佩戴眼镜设计，无需视力调节，自适应瞳距 ；</w:t>
            </w:r>
          </w:p>
          <w:p>
            <w:pPr>
              <w:keepNext w:val="0"/>
              <w:keepLines w:val="0"/>
              <w:widowControl/>
              <w:numPr>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 xml:space="preserve">14、内置“护眼模式”，可在系统设置中开启内存≥4GB 闪存≥32GB； </w:t>
            </w:r>
          </w:p>
          <w:p>
            <w:pPr>
              <w:keepNext w:val="0"/>
              <w:keepLines w:val="0"/>
              <w:widowControl/>
              <w:numPr>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15、高精度九轴传感器控制端：处理器不低于八核操作系统安卓5.0以上屏幕尺寸≥10英寸分辨率≥2K 运行内存≥4GB 存储容量≥64GB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 xml:space="preserve">VR软件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沉浸式VR体验，使矫正对象身临其境，感受监狱生活要求基于Unreal Engine4 框架进行研发 产品应包括虚拟现实（VR）管理控制终端、虚拟现实（VR）沉浸式体验移和动终端WEB端可视化分析管理平台三部分 ；</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4"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移动执法终端</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cs="宋体"/>
                <w:i w:val="0"/>
                <w:iCs w:val="0"/>
                <w:color w:val="auto"/>
                <w:kern w:val="0"/>
                <w:sz w:val="21"/>
                <w:szCs w:val="21"/>
                <w:highlight w:val="none"/>
                <w:u w:val="none"/>
                <w:lang w:val="en-US" w:eastAsia="zh-CN"/>
              </w:rPr>
              <w:t>1、</w:t>
            </w:r>
            <w:r>
              <w:rPr>
                <w:rFonts w:hint="eastAsia" w:ascii="宋体" w:hAnsi="宋体" w:eastAsia="宋体" w:cs="宋体"/>
                <w:i w:val="0"/>
                <w:iCs w:val="0"/>
                <w:color w:val="auto"/>
                <w:kern w:val="0"/>
                <w:sz w:val="21"/>
                <w:szCs w:val="21"/>
                <w:highlight w:val="none"/>
                <w:u w:val="none"/>
                <w:lang w:val="en-US" w:eastAsia="zh-CN"/>
              </w:rPr>
              <w:t>安全服务：集成支持加密即时通信、加密通话、安全邮件等移动安全通信服务功能；</w:t>
            </w:r>
          </w:p>
          <w:p>
            <w:pPr>
              <w:keepNext w:val="0"/>
              <w:keepLines w:val="0"/>
              <w:widowControl/>
              <w:numPr>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2、CPU：≥不低于八核；</w:t>
            </w:r>
          </w:p>
          <w:p>
            <w:pPr>
              <w:keepNext w:val="0"/>
              <w:keepLines w:val="0"/>
              <w:widowControl/>
              <w:numPr>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3、内存：≥8GB运行内存，≥128G机身内存；</w:t>
            </w:r>
          </w:p>
          <w:p>
            <w:pPr>
              <w:keepNext w:val="0"/>
              <w:keepLines w:val="0"/>
              <w:widowControl/>
              <w:numPr>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4、支持5G；</w:t>
            </w:r>
          </w:p>
          <w:p>
            <w:pPr>
              <w:keepNext w:val="0"/>
              <w:keepLines w:val="0"/>
              <w:widowControl/>
              <w:numPr>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5、屏幕≥6.1英寸；</w:t>
            </w:r>
          </w:p>
          <w:p>
            <w:pPr>
              <w:keepNext w:val="0"/>
              <w:keepLines w:val="0"/>
              <w:widowControl/>
              <w:numPr>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6、支持NFC；</w:t>
            </w:r>
          </w:p>
          <w:p>
            <w:pPr>
              <w:keepNext w:val="0"/>
              <w:keepLines w:val="0"/>
              <w:widowControl/>
              <w:numPr>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7、支持屏内指纹；</w:t>
            </w:r>
          </w:p>
          <w:p>
            <w:pPr>
              <w:keepNext w:val="0"/>
              <w:keepLines w:val="0"/>
              <w:widowControl/>
              <w:numPr>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8、支持双卡双待；</w:t>
            </w:r>
          </w:p>
          <w:p>
            <w:pPr>
              <w:keepNext w:val="0"/>
              <w:keepLines w:val="0"/>
              <w:widowControl/>
              <w:numPr>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9、操作系统：双系统；</w:t>
            </w:r>
          </w:p>
          <w:p>
            <w:pPr>
              <w:keepNext w:val="0"/>
              <w:keepLines w:val="0"/>
              <w:widowControl/>
              <w:numPr>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10、双系统手机终端，支持一键接入APN内网系统，具备居民身份证阅读、指纹识别、人像识别的一体化设备；</w:t>
            </w:r>
          </w:p>
          <w:p>
            <w:pPr>
              <w:keepNext w:val="0"/>
              <w:keepLines w:val="0"/>
              <w:widowControl/>
              <w:numPr>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11、</w:t>
            </w:r>
            <w:r>
              <w:rPr>
                <w:rFonts w:hint="eastAsia" w:ascii="宋体" w:hAnsi="宋体" w:eastAsia="宋体" w:cs="宋体"/>
                <w:b/>
                <w:bCs/>
                <w:color w:val="auto"/>
                <w:kern w:val="0"/>
                <w:sz w:val="21"/>
                <w:szCs w:val="21"/>
                <w:highlight w:val="none"/>
                <w:lang w:val="en-US" w:eastAsia="zh-CN"/>
              </w:rPr>
              <w:t>该产品需具备豫矫通软件应用功能，并扩展指纹、身份证识别功能，适用于外出办公，实现对矫正对象的身份信息采集和验证，实现对相应业务场景录音录像，实现与指挥中心的音视频通讯；保留测试权力</w:t>
            </w:r>
            <w:r>
              <w:rPr>
                <w:rFonts w:hint="eastAsia"/>
                <w:b w:val="0"/>
                <w:bCs w:val="0"/>
                <w:color w:val="auto"/>
                <w:sz w:val="21"/>
                <w:szCs w:val="21"/>
                <w:highlight w:val="none"/>
                <w:lang w:val="en-US" w:eastAsia="zh-CN"/>
              </w:rPr>
              <w:t>；</w:t>
            </w:r>
          </w:p>
          <w:p>
            <w:pPr>
              <w:keepNext w:val="0"/>
              <w:keepLines w:val="0"/>
              <w:widowControl/>
              <w:numPr>
                <w:ilvl w:val="0"/>
                <w:numId w:val="0"/>
              </w:numPr>
              <w:suppressLineNumbers w:val="0"/>
              <w:jc w:val="left"/>
              <w:textAlignment w:val="center"/>
              <w:rPr>
                <w:rFonts w:hint="default" w:ascii="宋体" w:hAnsi="宋体" w:eastAsia="宋体" w:cs="宋体"/>
                <w:i w:val="0"/>
                <w:iCs w:val="0"/>
                <w:color w:val="auto"/>
                <w:kern w:val="0"/>
                <w:sz w:val="21"/>
                <w:szCs w:val="21"/>
                <w:highlight w:val="none"/>
                <w:u w:val="none"/>
                <w:lang w:val="en-US" w:eastAsia="zh-CN"/>
              </w:rPr>
            </w:pPr>
            <w:r>
              <w:rPr>
                <w:rFonts w:hint="eastAsia" w:ascii="宋体" w:hAnsi="宋体" w:eastAsia="宋体" w:cs="宋体"/>
                <w:b/>
                <w:bCs/>
                <w:color w:val="auto"/>
                <w:kern w:val="0"/>
                <w:sz w:val="21"/>
                <w:szCs w:val="21"/>
                <w:highlight w:val="none"/>
              </w:rPr>
              <w:t>为确保与本次智慧矫正指挥平台无缝对接，</w:t>
            </w:r>
            <w:r>
              <w:rPr>
                <w:rFonts w:hint="eastAsia" w:ascii="宋体" w:hAnsi="宋体" w:eastAsia="宋体" w:cs="宋体"/>
                <w:b/>
                <w:bCs/>
                <w:color w:val="auto"/>
                <w:kern w:val="0"/>
                <w:sz w:val="21"/>
                <w:szCs w:val="21"/>
                <w:highlight w:val="none"/>
                <w:lang w:val="en-US" w:eastAsia="zh-CN"/>
              </w:rPr>
              <w:t>所投标产品厂家</w:t>
            </w:r>
            <w:r>
              <w:rPr>
                <w:rFonts w:hint="eastAsia" w:ascii="宋体" w:hAnsi="宋体" w:eastAsia="宋体" w:cs="宋体"/>
                <w:b/>
                <w:bCs/>
                <w:color w:val="auto"/>
                <w:kern w:val="0"/>
                <w:sz w:val="21"/>
                <w:szCs w:val="21"/>
                <w:highlight w:val="none"/>
              </w:rPr>
              <w:t>需提供无缝对接承诺</w:t>
            </w:r>
            <w:r>
              <w:rPr>
                <w:rFonts w:hint="eastAsia" w:ascii="宋体" w:hAnsi="宋体" w:eastAsia="宋体" w:cs="宋体"/>
                <w:b/>
                <w:bCs/>
                <w:color w:val="auto"/>
                <w:kern w:val="0"/>
                <w:sz w:val="21"/>
                <w:szCs w:val="21"/>
                <w:highlight w:val="none"/>
                <w:lang w:val="en-US" w:eastAsia="zh-CN"/>
              </w:rPr>
              <w:t>函</w:t>
            </w:r>
            <w:r>
              <w:rPr>
                <w:rFonts w:hint="eastAsia" w:ascii="宋体" w:hAnsi="宋体" w:eastAsia="宋体" w:cs="宋体"/>
                <w:b/>
                <w:bCs/>
                <w:color w:val="auto"/>
                <w:kern w:val="0"/>
                <w:sz w:val="21"/>
                <w:szCs w:val="21"/>
                <w:highlight w:val="none"/>
              </w:rPr>
              <w:t>，并加盖</w:t>
            </w:r>
            <w:r>
              <w:rPr>
                <w:rFonts w:hint="eastAsia" w:ascii="宋体" w:hAnsi="宋体" w:eastAsia="宋体" w:cs="宋体"/>
                <w:b/>
                <w:bCs/>
                <w:color w:val="auto"/>
                <w:kern w:val="0"/>
                <w:sz w:val="21"/>
                <w:szCs w:val="21"/>
                <w:highlight w:val="none"/>
                <w:lang w:val="en-US" w:eastAsia="zh-CN"/>
              </w:rPr>
              <w:t>厂家</w:t>
            </w:r>
            <w:r>
              <w:rPr>
                <w:rFonts w:hint="eastAsia" w:ascii="宋体" w:hAnsi="宋体" w:eastAsia="宋体" w:cs="宋体"/>
                <w:b/>
                <w:bCs/>
                <w:color w:val="auto"/>
                <w:kern w:val="0"/>
                <w:sz w:val="21"/>
                <w:szCs w:val="21"/>
                <w:highlight w:val="none"/>
              </w:rPr>
              <w:t>公章。</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台</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691"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窄带高清编解码</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14"/>
              </w:numPr>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b/>
                <w:bCs/>
                <w:color w:val="auto"/>
                <w:kern w:val="0"/>
                <w:sz w:val="21"/>
                <w:szCs w:val="21"/>
                <w:highlight w:val="none"/>
                <w:lang w:val="en-US" w:eastAsia="zh-CN"/>
              </w:rPr>
              <w:t>功能指标：为确保编解码效果完美兼容，编码器应与本次督查指挥平台无缝对接；保留测试权力</w:t>
            </w:r>
            <w:r>
              <w:rPr>
                <w:rFonts w:hint="eastAsia"/>
                <w:color w:val="auto"/>
                <w:sz w:val="21"/>
                <w:szCs w:val="21"/>
                <w:highlight w:val="none"/>
                <w:lang w:val="en-US" w:eastAsia="zh-CN"/>
              </w:rPr>
              <w:t>；</w:t>
            </w:r>
          </w:p>
          <w:p>
            <w:pPr>
              <w:keepNext w:val="0"/>
              <w:keepLines w:val="0"/>
              <w:widowControl/>
              <w:numPr>
                <w:ilvl w:val="0"/>
                <w:numId w:val="14"/>
              </w:numPr>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性能指标：(1)支持H.264/265视频编码标准；(2) 支持G.711、AAC音频编码标准； 支持采集：HD-SDI、VGA、DVI-I等视频信号；支持：D1、4CIF、720i、720P、1080i、1080P等多种分辨率； 支持采集计算机分辨率最大可达1920*1200支持编码输出分辨率与采集分辨不同；</w:t>
            </w:r>
          </w:p>
          <w:p>
            <w:pPr>
              <w:keepNext w:val="0"/>
              <w:keepLines w:val="0"/>
              <w:widowControl/>
              <w:numPr>
                <w:ilvl w:val="0"/>
                <w:numId w:val="14"/>
              </w:numPr>
              <w:suppressLineNumbers w:val="0"/>
              <w:ind w:left="0" w:leftChars="0" w:firstLine="0" w:firstLine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支持主流云镜控制协议； 支持多个服务节点进行注册； 支持编码带宽动态可调节； 符合ONVIF规范、SIP标准； 支持标准RTP媒体传输协议；支持WEB、CLI、远程管理； 支持快速参数设置； 支持在线程序升级 支持冗余电源设计、模块化设计，可热拔插支持1路编码或解码扩展；</w:t>
            </w:r>
          </w:p>
          <w:p>
            <w:pPr>
              <w:keepNext w:val="0"/>
              <w:keepLines w:val="0"/>
              <w:widowControl/>
              <w:numPr>
                <w:ilvl w:val="0"/>
                <w:numId w:val="14"/>
              </w:numPr>
              <w:suppressLineNumbers w:val="0"/>
              <w:ind w:left="0" w:leftChars="0"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支持高清窄带传输能力，具备在1Mbps网络带宽下传输1080P高清视频图像，具备在1Mbps网络带宽下传输1080P高清视频图像，在512Kbps带宽下传输720P高清视频图像；）视频编码H.264、H.2652）视频输入接口：支持1路HD-SDI、1路DVI-I接口输入3）视频环出接口：支持1路HD-SDI、1路DVI4）音频输入：1个6.35mm TRS母口，支持立体声5）控制接口：1个RS-485；6）网口：1个10M/100M/1000M 自适应以太网口，机架式，2路编码输入，至少2路解码输出（视拼控的输入数量而定，暂按两路解码）；</w:t>
            </w:r>
          </w:p>
          <w:p>
            <w:pPr>
              <w:keepNext w:val="0"/>
              <w:keepLines w:val="0"/>
              <w:widowControl/>
              <w:numPr>
                <w:ilvl w:val="0"/>
                <w:numId w:val="14"/>
              </w:numPr>
              <w:suppressLineNumbers w:val="0"/>
              <w:ind w:left="0" w:leftChars="0" w:firstLine="0" w:firstLine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b/>
                <w:bCs/>
                <w:color w:val="auto"/>
                <w:kern w:val="0"/>
                <w:sz w:val="21"/>
                <w:szCs w:val="21"/>
                <w:highlight w:val="none"/>
              </w:rPr>
              <w:t>为确保与本次智慧矫正指挥平台无缝对接，</w:t>
            </w:r>
            <w:r>
              <w:rPr>
                <w:rFonts w:hint="eastAsia" w:ascii="宋体" w:hAnsi="宋体" w:eastAsia="宋体" w:cs="宋体"/>
                <w:b/>
                <w:bCs/>
                <w:color w:val="auto"/>
                <w:kern w:val="0"/>
                <w:sz w:val="21"/>
                <w:szCs w:val="21"/>
                <w:highlight w:val="none"/>
                <w:lang w:val="en-US" w:eastAsia="zh-CN"/>
              </w:rPr>
              <w:t>所投标产品厂家</w:t>
            </w:r>
            <w:r>
              <w:rPr>
                <w:rFonts w:hint="eastAsia" w:ascii="宋体" w:hAnsi="宋体" w:eastAsia="宋体" w:cs="宋体"/>
                <w:b/>
                <w:bCs/>
                <w:color w:val="auto"/>
                <w:kern w:val="0"/>
                <w:sz w:val="21"/>
                <w:szCs w:val="21"/>
                <w:highlight w:val="none"/>
              </w:rPr>
              <w:t>需提供无缝对接承诺</w:t>
            </w:r>
            <w:r>
              <w:rPr>
                <w:rFonts w:hint="eastAsia" w:ascii="宋体" w:hAnsi="宋体" w:eastAsia="宋体" w:cs="宋体"/>
                <w:b/>
                <w:bCs/>
                <w:color w:val="auto"/>
                <w:kern w:val="0"/>
                <w:sz w:val="21"/>
                <w:szCs w:val="21"/>
                <w:highlight w:val="none"/>
                <w:lang w:val="en-US" w:eastAsia="zh-CN"/>
              </w:rPr>
              <w:t>函</w:t>
            </w:r>
            <w:r>
              <w:rPr>
                <w:rFonts w:hint="eastAsia" w:ascii="宋体" w:hAnsi="宋体" w:eastAsia="宋体" w:cs="宋体"/>
                <w:b/>
                <w:bCs/>
                <w:color w:val="auto"/>
                <w:kern w:val="0"/>
                <w:sz w:val="21"/>
                <w:szCs w:val="21"/>
                <w:highlight w:val="none"/>
              </w:rPr>
              <w:t>，并加盖</w:t>
            </w:r>
            <w:r>
              <w:rPr>
                <w:rFonts w:hint="eastAsia" w:ascii="宋体" w:hAnsi="宋体" w:eastAsia="宋体" w:cs="宋体"/>
                <w:b/>
                <w:bCs/>
                <w:color w:val="auto"/>
                <w:kern w:val="0"/>
                <w:sz w:val="21"/>
                <w:szCs w:val="21"/>
                <w:highlight w:val="none"/>
                <w:lang w:val="en-US" w:eastAsia="zh-CN"/>
              </w:rPr>
              <w:t>厂家</w:t>
            </w:r>
            <w:r>
              <w:rPr>
                <w:rFonts w:hint="eastAsia" w:ascii="宋体" w:hAnsi="宋体" w:eastAsia="宋体" w:cs="宋体"/>
                <w:b/>
                <w:bCs/>
                <w:color w:val="auto"/>
                <w:kern w:val="0"/>
                <w:sz w:val="21"/>
                <w:szCs w:val="21"/>
                <w:highlight w:val="none"/>
              </w:rPr>
              <w:t>公章。</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台</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75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13</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拼控处理器</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cs="宋体"/>
                <w:i w:val="0"/>
                <w:iCs w:val="0"/>
                <w:color w:val="auto"/>
                <w:kern w:val="0"/>
                <w:sz w:val="21"/>
                <w:szCs w:val="21"/>
                <w:highlight w:val="none"/>
                <w:u w:val="none"/>
                <w:lang w:val="en-US" w:eastAsia="zh-CN"/>
              </w:rPr>
              <w:t>1、</w:t>
            </w:r>
            <w:r>
              <w:rPr>
                <w:rFonts w:hint="eastAsia" w:ascii="宋体" w:hAnsi="宋体" w:eastAsia="宋体" w:cs="宋体"/>
                <w:i w:val="0"/>
                <w:iCs w:val="0"/>
                <w:color w:val="auto"/>
                <w:kern w:val="0"/>
                <w:sz w:val="21"/>
                <w:szCs w:val="21"/>
                <w:highlight w:val="none"/>
                <w:u w:val="none"/>
                <w:lang w:val="en-US" w:eastAsia="zh-CN"/>
              </w:rPr>
              <w:t>功能指标：设备支持外接电脑桌面解码输出；</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cs="宋体"/>
                <w:i w:val="0"/>
                <w:iCs w:val="0"/>
                <w:color w:val="auto"/>
                <w:kern w:val="0"/>
                <w:sz w:val="21"/>
                <w:szCs w:val="21"/>
                <w:highlight w:val="none"/>
                <w:u w:val="none"/>
                <w:lang w:val="en-US" w:eastAsia="zh-CN"/>
              </w:rPr>
              <w:t>2</w:t>
            </w:r>
            <w:bookmarkStart w:id="154" w:name="_GoBack"/>
            <w:bookmarkEnd w:id="154"/>
            <w:r>
              <w:rPr>
                <w:rFonts w:hint="eastAsia" w:ascii="宋体" w:hAnsi="宋体" w:cs="宋体"/>
                <w:i w:val="0"/>
                <w:iCs w:val="0"/>
                <w:color w:val="auto"/>
                <w:kern w:val="0"/>
                <w:sz w:val="21"/>
                <w:szCs w:val="21"/>
                <w:highlight w:val="none"/>
                <w:u w:val="none"/>
                <w:lang w:val="en-US" w:eastAsia="zh-CN"/>
              </w:rPr>
              <w:t>、</w:t>
            </w:r>
            <w:r>
              <w:rPr>
                <w:rFonts w:hint="eastAsia" w:ascii="宋体" w:hAnsi="宋体" w:eastAsia="宋体" w:cs="宋体"/>
                <w:i w:val="0"/>
                <w:iCs w:val="0"/>
                <w:color w:val="auto"/>
                <w:kern w:val="0"/>
                <w:sz w:val="21"/>
                <w:szCs w:val="21"/>
                <w:highlight w:val="none"/>
                <w:u w:val="none"/>
                <w:lang w:val="en-US" w:eastAsia="zh-CN"/>
              </w:rPr>
              <w:t>设备支持解码显示画面任意设置大小，并可通过客户端软件使显示画面在外接多个显示屏上随意移动并跨屏显示；</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cs="宋体"/>
                <w:i w:val="0"/>
                <w:iCs w:val="0"/>
                <w:color w:val="auto"/>
                <w:kern w:val="0"/>
                <w:sz w:val="21"/>
                <w:szCs w:val="21"/>
                <w:highlight w:val="none"/>
                <w:u w:val="none"/>
                <w:lang w:val="en-US" w:eastAsia="zh-CN"/>
              </w:rPr>
              <w:t>3、</w:t>
            </w:r>
            <w:r>
              <w:rPr>
                <w:rFonts w:hint="eastAsia" w:ascii="宋体" w:hAnsi="宋体" w:eastAsia="宋体" w:cs="宋体"/>
                <w:i w:val="0"/>
                <w:iCs w:val="0"/>
                <w:color w:val="auto"/>
                <w:kern w:val="0"/>
                <w:sz w:val="21"/>
                <w:szCs w:val="21"/>
                <w:highlight w:val="none"/>
                <w:u w:val="none"/>
                <w:lang w:val="en-US" w:eastAsia="zh-CN"/>
              </w:rPr>
              <w:t>支持对大屏资源的集中管理和控制；</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cs="宋体"/>
                <w:i w:val="0"/>
                <w:iCs w:val="0"/>
                <w:color w:val="auto"/>
                <w:kern w:val="0"/>
                <w:sz w:val="21"/>
                <w:szCs w:val="21"/>
                <w:highlight w:val="none"/>
                <w:u w:val="none"/>
                <w:lang w:val="en-US" w:eastAsia="zh-CN"/>
              </w:rPr>
              <w:t>4、</w:t>
            </w:r>
            <w:r>
              <w:rPr>
                <w:rFonts w:hint="eastAsia" w:ascii="宋体" w:hAnsi="宋体" w:eastAsia="宋体" w:cs="宋体"/>
                <w:i w:val="0"/>
                <w:iCs w:val="0"/>
                <w:color w:val="auto"/>
                <w:kern w:val="0"/>
                <w:sz w:val="21"/>
                <w:szCs w:val="21"/>
                <w:highlight w:val="none"/>
                <w:u w:val="none"/>
                <w:lang w:val="en-US" w:eastAsia="zh-CN"/>
              </w:rPr>
              <w:t>支持大屏方案、轮播方案和拼接方案的一键快速切换；</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cs="宋体"/>
                <w:i w:val="0"/>
                <w:iCs w:val="0"/>
                <w:color w:val="auto"/>
                <w:kern w:val="0"/>
                <w:sz w:val="21"/>
                <w:szCs w:val="21"/>
                <w:highlight w:val="none"/>
                <w:u w:val="none"/>
                <w:lang w:val="en-US" w:eastAsia="zh-CN"/>
              </w:rPr>
              <w:t>5、</w:t>
            </w:r>
            <w:r>
              <w:rPr>
                <w:rFonts w:hint="eastAsia" w:ascii="宋体" w:hAnsi="宋体" w:eastAsia="宋体" w:cs="宋体"/>
                <w:i w:val="0"/>
                <w:iCs w:val="0"/>
                <w:color w:val="auto"/>
                <w:kern w:val="0"/>
                <w:sz w:val="21"/>
                <w:szCs w:val="21"/>
                <w:highlight w:val="none"/>
                <w:u w:val="none"/>
                <w:lang w:val="en-US" w:eastAsia="zh-CN"/>
              </w:rPr>
              <w:t>支持大屏方案、拼接方案、轮播方案的快速创建、配置、删除、保存等功能；</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cs="宋体"/>
                <w:i w:val="0"/>
                <w:iCs w:val="0"/>
                <w:color w:val="auto"/>
                <w:kern w:val="0"/>
                <w:sz w:val="21"/>
                <w:szCs w:val="21"/>
                <w:highlight w:val="none"/>
                <w:u w:val="none"/>
                <w:lang w:val="en-US" w:eastAsia="zh-CN"/>
              </w:rPr>
              <w:t>6、</w:t>
            </w:r>
            <w:r>
              <w:rPr>
                <w:rFonts w:hint="eastAsia" w:ascii="宋体" w:hAnsi="宋体" w:eastAsia="宋体" w:cs="宋体"/>
                <w:i w:val="0"/>
                <w:iCs w:val="0"/>
                <w:color w:val="auto"/>
                <w:kern w:val="0"/>
                <w:sz w:val="21"/>
                <w:szCs w:val="21"/>
                <w:highlight w:val="none"/>
                <w:u w:val="none"/>
                <w:lang w:val="en-US" w:eastAsia="zh-CN"/>
              </w:rPr>
              <w:t>支持在接警处置时大屏智能联动功能；</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cs="宋体"/>
                <w:i w:val="0"/>
                <w:iCs w:val="0"/>
                <w:color w:val="auto"/>
                <w:kern w:val="0"/>
                <w:sz w:val="21"/>
                <w:szCs w:val="21"/>
                <w:highlight w:val="none"/>
                <w:u w:val="none"/>
                <w:lang w:val="en-US" w:eastAsia="zh-CN"/>
              </w:rPr>
              <w:t>7、</w:t>
            </w:r>
            <w:r>
              <w:rPr>
                <w:rFonts w:hint="eastAsia" w:ascii="宋体" w:hAnsi="宋体" w:eastAsia="宋体" w:cs="宋体"/>
                <w:i w:val="0"/>
                <w:iCs w:val="0"/>
                <w:color w:val="auto"/>
                <w:kern w:val="0"/>
                <w:sz w:val="21"/>
                <w:szCs w:val="21"/>
                <w:highlight w:val="none"/>
                <w:u w:val="none"/>
                <w:lang w:val="en-US" w:eastAsia="zh-CN"/>
              </w:rPr>
              <w:t>支持在应急预案执行时大屏智能联动功能；</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cs="宋体"/>
                <w:i w:val="0"/>
                <w:iCs w:val="0"/>
                <w:color w:val="auto"/>
                <w:kern w:val="0"/>
                <w:sz w:val="21"/>
                <w:szCs w:val="21"/>
                <w:highlight w:val="none"/>
                <w:u w:val="none"/>
                <w:lang w:val="en-US" w:eastAsia="zh-CN"/>
              </w:rPr>
              <w:t>8、</w:t>
            </w:r>
            <w:r>
              <w:rPr>
                <w:rFonts w:hint="eastAsia" w:ascii="宋体" w:hAnsi="宋体" w:eastAsia="宋体" w:cs="宋体"/>
                <w:i w:val="0"/>
                <w:iCs w:val="0"/>
                <w:color w:val="auto"/>
                <w:kern w:val="0"/>
                <w:sz w:val="21"/>
                <w:szCs w:val="21"/>
                <w:highlight w:val="none"/>
                <w:u w:val="none"/>
                <w:lang w:val="en-US" w:eastAsia="zh-CN"/>
              </w:rPr>
              <w:t xml:space="preserve">支持在重大事件处置过程中推送下级大屏监控资源到上级指挥中心，实现远程指挥功能；音视频处理；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cs="宋体"/>
                <w:i w:val="0"/>
                <w:iCs w:val="0"/>
                <w:color w:val="auto"/>
                <w:kern w:val="0"/>
                <w:sz w:val="21"/>
                <w:szCs w:val="21"/>
                <w:highlight w:val="none"/>
                <w:u w:val="none"/>
                <w:lang w:val="en-US" w:eastAsia="zh-CN"/>
              </w:rPr>
              <w:t>9、</w:t>
            </w:r>
            <w:r>
              <w:rPr>
                <w:rFonts w:hint="eastAsia" w:ascii="宋体" w:hAnsi="宋体" w:eastAsia="宋体" w:cs="宋体"/>
                <w:i w:val="0"/>
                <w:iCs w:val="0"/>
                <w:color w:val="auto"/>
                <w:kern w:val="0"/>
                <w:sz w:val="21"/>
                <w:szCs w:val="21"/>
                <w:highlight w:val="none"/>
                <w:u w:val="none"/>
                <w:lang w:val="en-US" w:eastAsia="zh-CN"/>
              </w:rPr>
              <w:t>单个信号可以在任意M×N个显示单元上拼接显示，M、N均为大于等于1的正整数；</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cs="宋体"/>
                <w:i w:val="0"/>
                <w:iCs w:val="0"/>
                <w:color w:val="auto"/>
                <w:kern w:val="0"/>
                <w:sz w:val="21"/>
                <w:szCs w:val="21"/>
                <w:highlight w:val="none"/>
                <w:u w:val="none"/>
                <w:lang w:val="en-US" w:eastAsia="zh-CN"/>
              </w:rPr>
              <w:t>10、</w:t>
            </w:r>
            <w:r>
              <w:rPr>
                <w:rFonts w:hint="eastAsia" w:ascii="宋体" w:hAnsi="宋体" w:eastAsia="宋体" w:cs="宋体"/>
                <w:i w:val="0"/>
                <w:iCs w:val="0"/>
                <w:color w:val="auto"/>
                <w:kern w:val="0"/>
                <w:sz w:val="21"/>
                <w:szCs w:val="21"/>
                <w:highlight w:val="none"/>
                <w:u w:val="none"/>
                <w:lang w:val="en-US" w:eastAsia="zh-CN"/>
              </w:rPr>
              <w:t>支持输入信号任意开窗、漫游，支持图层叠加，最多支持单屏两图层的任意布局；</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cs="宋体"/>
                <w:i w:val="0"/>
                <w:iCs w:val="0"/>
                <w:color w:val="auto"/>
                <w:kern w:val="0"/>
                <w:sz w:val="21"/>
                <w:szCs w:val="21"/>
                <w:highlight w:val="none"/>
                <w:u w:val="none"/>
                <w:lang w:val="en-US" w:eastAsia="zh-CN"/>
              </w:rPr>
              <w:t>11、</w:t>
            </w:r>
            <w:r>
              <w:rPr>
                <w:rFonts w:hint="eastAsia" w:ascii="宋体" w:hAnsi="宋体" w:eastAsia="宋体" w:cs="宋体"/>
                <w:i w:val="0"/>
                <w:iCs w:val="0"/>
                <w:color w:val="auto"/>
                <w:kern w:val="0"/>
                <w:sz w:val="21"/>
                <w:szCs w:val="21"/>
                <w:highlight w:val="none"/>
                <w:u w:val="none"/>
                <w:lang w:val="en-US" w:eastAsia="zh-CN"/>
              </w:rPr>
              <w:t>智能缩放技术，图像缩放采用智能多相位滤波算法，根据图像特点自动选择最优的滤波系数，12、图像接近失量级  缩放效果，保证更多细节，边缘无锯齿以及很好的锐度；</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cs="宋体"/>
                <w:i w:val="0"/>
                <w:iCs w:val="0"/>
                <w:color w:val="auto"/>
                <w:kern w:val="0"/>
                <w:sz w:val="21"/>
                <w:szCs w:val="21"/>
                <w:highlight w:val="none"/>
                <w:u w:val="none"/>
                <w:lang w:val="en-US" w:eastAsia="zh-CN"/>
              </w:rPr>
              <w:t>13、</w:t>
            </w:r>
            <w:r>
              <w:rPr>
                <w:rFonts w:hint="eastAsia" w:ascii="宋体" w:hAnsi="宋体" w:eastAsia="宋体" w:cs="宋体"/>
                <w:i w:val="0"/>
                <w:iCs w:val="0"/>
                <w:color w:val="auto"/>
                <w:kern w:val="0"/>
                <w:sz w:val="21"/>
                <w:szCs w:val="21"/>
                <w:highlight w:val="none"/>
                <w:u w:val="none"/>
                <w:lang w:val="en-US" w:eastAsia="zh-CN"/>
              </w:rPr>
              <w:t>支持多路超高分辨率底图支持多路矢量虚拟LED，同时支持动态和静态两种显示方式，可任意编辑显示内容、字体、颜色、速度等参数。支持AI级图像一键处理引擎，采用人工智能级图像处理技术，能实现一键补光、一键去雾等图像智能处理；</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cs="宋体"/>
                <w:i w:val="0"/>
                <w:iCs w:val="0"/>
                <w:color w:val="auto"/>
                <w:kern w:val="0"/>
                <w:sz w:val="21"/>
                <w:szCs w:val="21"/>
                <w:highlight w:val="none"/>
                <w:u w:val="none"/>
                <w:lang w:val="en-US" w:eastAsia="zh-CN"/>
              </w:rPr>
              <w:t>14、</w:t>
            </w:r>
            <w:r>
              <w:rPr>
                <w:rFonts w:hint="eastAsia" w:ascii="宋体" w:hAnsi="宋体" w:eastAsia="宋体" w:cs="宋体"/>
                <w:i w:val="0"/>
                <w:iCs w:val="0"/>
                <w:color w:val="auto"/>
                <w:kern w:val="0"/>
                <w:sz w:val="21"/>
                <w:szCs w:val="21"/>
                <w:highlight w:val="none"/>
                <w:u w:val="none"/>
                <w:lang w:val="en-US" w:eastAsia="zh-CN"/>
              </w:rPr>
              <w:t>支持无缝切换，处理器内部集成高清信号处理机制，保证信号切换时无延时、无蓝屏、无黑屏等中间过渡状态；</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cs="宋体"/>
                <w:i w:val="0"/>
                <w:iCs w:val="0"/>
                <w:color w:val="auto"/>
                <w:kern w:val="0"/>
                <w:sz w:val="21"/>
                <w:szCs w:val="21"/>
                <w:highlight w:val="none"/>
                <w:u w:val="none"/>
                <w:lang w:val="en-US" w:eastAsia="zh-CN"/>
              </w:rPr>
              <w:t>15、</w:t>
            </w:r>
            <w:r>
              <w:rPr>
                <w:rFonts w:hint="eastAsia" w:ascii="宋体" w:hAnsi="宋体" w:eastAsia="宋体" w:cs="宋体"/>
                <w:i w:val="0"/>
                <w:iCs w:val="0"/>
                <w:color w:val="auto"/>
                <w:kern w:val="0"/>
                <w:sz w:val="21"/>
                <w:szCs w:val="21"/>
                <w:highlight w:val="none"/>
                <w:u w:val="none"/>
                <w:lang w:val="en-US" w:eastAsia="zh-CN"/>
              </w:rPr>
              <w:t>支持智能去黑边（输入图像任意裁剪），边缘屏蔽，区域放大等画面实时处理功能；</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cs="宋体"/>
                <w:i w:val="0"/>
                <w:iCs w:val="0"/>
                <w:color w:val="auto"/>
                <w:kern w:val="0"/>
                <w:sz w:val="21"/>
                <w:szCs w:val="21"/>
                <w:highlight w:val="none"/>
                <w:u w:val="none"/>
                <w:lang w:val="en-US" w:eastAsia="zh-CN"/>
              </w:rPr>
              <w:t>16、</w:t>
            </w:r>
            <w:r>
              <w:rPr>
                <w:rFonts w:hint="eastAsia" w:ascii="宋体" w:hAnsi="宋体" w:eastAsia="宋体" w:cs="宋体"/>
                <w:i w:val="0"/>
                <w:iCs w:val="0"/>
                <w:color w:val="auto"/>
                <w:kern w:val="0"/>
                <w:sz w:val="21"/>
                <w:szCs w:val="21"/>
                <w:highlight w:val="none"/>
                <w:u w:val="none"/>
                <w:lang w:val="en-US" w:eastAsia="zh-CN"/>
              </w:rPr>
              <w:t>1支持输入信号的字符叠加，可以通过控制软件更改字体类型、大小、背景色、前景色、显示位置等参数；</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cs="宋体"/>
                <w:i w:val="0"/>
                <w:iCs w:val="0"/>
                <w:color w:val="auto"/>
                <w:kern w:val="0"/>
                <w:sz w:val="21"/>
                <w:szCs w:val="21"/>
                <w:highlight w:val="none"/>
                <w:u w:val="none"/>
                <w:lang w:val="en-US" w:eastAsia="zh-CN"/>
              </w:rPr>
              <w:t>17、</w:t>
            </w:r>
            <w:r>
              <w:rPr>
                <w:rFonts w:hint="eastAsia" w:ascii="宋体" w:hAnsi="宋体" w:eastAsia="宋体" w:cs="宋体"/>
                <w:i w:val="0"/>
                <w:iCs w:val="0"/>
                <w:color w:val="auto"/>
                <w:kern w:val="0"/>
                <w:sz w:val="21"/>
                <w:szCs w:val="21"/>
                <w:highlight w:val="none"/>
                <w:u w:val="none"/>
                <w:lang w:val="en-US" w:eastAsia="zh-CN"/>
              </w:rPr>
              <w:t>支持输入信号自动探测，实时探测每一个输入端口是否有信号接入，输入板卡及客户端软件均有状态指示；</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w:t>
            </w:r>
            <w:r>
              <w:rPr>
                <w:rFonts w:hint="eastAsia" w:ascii="宋体" w:hAnsi="宋体" w:cs="宋体"/>
                <w:i w:val="0"/>
                <w:iCs w:val="0"/>
                <w:color w:val="auto"/>
                <w:kern w:val="0"/>
                <w:sz w:val="21"/>
                <w:szCs w:val="21"/>
                <w:highlight w:val="none"/>
                <w:u w:val="none"/>
                <w:lang w:val="en-US" w:eastAsia="zh-CN"/>
              </w:rPr>
              <w:t>8、</w:t>
            </w:r>
            <w:r>
              <w:rPr>
                <w:rFonts w:hint="eastAsia" w:ascii="宋体" w:hAnsi="宋体" w:eastAsia="宋体" w:cs="宋体"/>
                <w:i w:val="0"/>
                <w:iCs w:val="0"/>
                <w:color w:val="auto"/>
                <w:kern w:val="0"/>
                <w:sz w:val="21"/>
                <w:szCs w:val="21"/>
                <w:highlight w:val="none"/>
                <w:u w:val="none"/>
                <w:lang w:val="en-US" w:eastAsia="zh-CN"/>
              </w:rPr>
              <w:t xml:space="preserve">支持矩阵切换，处理器内部集成矩阵功能，支持单个信号源开多个窗口同时显示；                                                                               </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台</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85"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19、支持冗余电源，一个正常使用电源，一个备份电源。正常电源出现故障时，自动切换至备用电源；</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20、支持BS控制/支持跨平台控制；</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21、无需安装任何客户端软件，支持网页登录控制；支持windows、IOS、MAC OS、Android、Linux等各类操作系统 跨平台控制及可视化管理；</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22、机箱风扇转速根据设备温度自适应；</w:t>
            </w:r>
          </w:p>
          <w:p>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23、支持预操作模式，开启该功能后，所有窗口的操作将不会立马生效，需点击确认后，再一次性将所有操作生效。2性能指标：1.5U  2.5U  4U ；单屏最大两图层；网络控制：1个10/100M网口  串口控制：1个DB9接口（RS232）、1个RJ45接口（RS485） 中控控制：1个RJ45接口（同时支持RS232和RS485环出）；；AC100~240V，50/60Hz；支持超高分辨率静态图像叠加显示。开启底图时，默认占用最底层窗口通道。底图显示支持3种模式：所有屏幕单屏显示、所有屏幕拼接显示、部分连续区域拼接显示。超高清点对点矢量字幕，支持动态字幕和静态字幕，可以任意编辑显示内容、字体、颜色等参数；常规输出端口：HDMI Type A接口（母头），支持HDMI1.3 和数字信号保护协议 HDCP，最大支持分辨率1920*1080@60Hz；常规输入端口，HDMI1.3数字接口，支持HDCP，最大支持分辨率1920*1080@60Hz；DVI-D数字接口，最大支持分辨率1920*1080@60Hz；</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14</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电子定位终端</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1、应具备内置电池、防拆报警、防尘防水、违规报警、人力识别等功能，支持实时定位等功能；</w:t>
            </w:r>
            <w:r>
              <w:rPr>
                <w:rFonts w:hint="eastAsia"/>
                <w:color w:val="auto"/>
                <w:sz w:val="21"/>
                <w:szCs w:val="21"/>
                <w:highlight w:val="none"/>
                <w:lang w:val="en-US" w:eastAsia="zh-CN"/>
              </w:rPr>
              <w:t>保留测试权力；</w:t>
            </w:r>
          </w:p>
          <w:p>
            <w:pP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2、具备安全性能、电池安全性能、电池兼容性；</w:t>
            </w:r>
            <w:r>
              <w:rPr>
                <w:rFonts w:hint="eastAsia"/>
                <w:color w:val="auto"/>
                <w:sz w:val="21"/>
                <w:szCs w:val="21"/>
                <w:highlight w:val="none"/>
                <w:lang w:val="en-US" w:eastAsia="zh-CN"/>
              </w:rPr>
              <w:t>保留测试权力；</w:t>
            </w:r>
          </w:p>
          <w:p>
            <w:pPr>
              <w:keepNext w:val="0"/>
              <w:keepLines w:val="0"/>
              <w:widowControl/>
              <w:suppressLineNumbers w:val="0"/>
              <w:jc w:val="left"/>
              <w:textAlignment w:val="center"/>
              <w:rPr>
                <w:rFonts w:hint="default" w:ascii="宋体" w:hAnsi="宋体" w:eastAsia="宋体" w:cs="宋体"/>
                <w:i w:val="0"/>
                <w:iCs w:val="0"/>
                <w:color w:val="auto"/>
                <w:kern w:val="0"/>
                <w:sz w:val="21"/>
                <w:szCs w:val="21"/>
                <w:highlight w:val="none"/>
                <w:u w:val="none"/>
                <w:lang w:val="en-US" w:eastAsia="zh-CN"/>
              </w:rPr>
            </w:pPr>
            <w:r>
              <w:rPr>
                <w:rFonts w:hint="eastAsia" w:ascii="宋体" w:hAnsi="宋体" w:eastAsia="宋体" w:cs="宋体"/>
                <w:b/>
                <w:bCs/>
                <w:color w:val="auto"/>
                <w:kern w:val="0"/>
                <w:sz w:val="21"/>
                <w:szCs w:val="21"/>
                <w:highlight w:val="none"/>
              </w:rPr>
              <w:t>为确保与本次智慧矫正指挥平台无缝对接，</w:t>
            </w:r>
            <w:r>
              <w:rPr>
                <w:rFonts w:hint="eastAsia" w:ascii="宋体" w:hAnsi="宋体" w:eastAsia="宋体" w:cs="宋体"/>
                <w:b/>
                <w:bCs/>
                <w:color w:val="auto"/>
                <w:kern w:val="0"/>
                <w:sz w:val="21"/>
                <w:szCs w:val="21"/>
                <w:highlight w:val="none"/>
                <w:lang w:val="en-US" w:eastAsia="zh-CN"/>
              </w:rPr>
              <w:t>所投标产品厂家</w:t>
            </w:r>
            <w:r>
              <w:rPr>
                <w:rFonts w:hint="eastAsia" w:ascii="宋体" w:hAnsi="宋体" w:eastAsia="宋体" w:cs="宋体"/>
                <w:b/>
                <w:bCs/>
                <w:color w:val="auto"/>
                <w:kern w:val="0"/>
                <w:sz w:val="21"/>
                <w:szCs w:val="21"/>
                <w:highlight w:val="none"/>
              </w:rPr>
              <w:t>需提供无缝对接承诺</w:t>
            </w:r>
            <w:r>
              <w:rPr>
                <w:rFonts w:hint="eastAsia" w:ascii="宋体" w:hAnsi="宋体" w:eastAsia="宋体" w:cs="宋体"/>
                <w:b/>
                <w:bCs/>
                <w:color w:val="auto"/>
                <w:kern w:val="0"/>
                <w:sz w:val="21"/>
                <w:szCs w:val="21"/>
                <w:highlight w:val="none"/>
                <w:lang w:val="en-US" w:eastAsia="zh-CN"/>
              </w:rPr>
              <w:t>函</w:t>
            </w:r>
            <w:r>
              <w:rPr>
                <w:rFonts w:hint="eastAsia" w:ascii="宋体" w:hAnsi="宋体" w:eastAsia="宋体" w:cs="宋体"/>
                <w:b/>
                <w:bCs/>
                <w:color w:val="auto"/>
                <w:kern w:val="0"/>
                <w:sz w:val="21"/>
                <w:szCs w:val="21"/>
                <w:highlight w:val="none"/>
              </w:rPr>
              <w:t>，并加盖</w:t>
            </w:r>
            <w:r>
              <w:rPr>
                <w:rFonts w:hint="eastAsia" w:ascii="宋体" w:hAnsi="宋体" w:eastAsia="宋体" w:cs="宋体"/>
                <w:b/>
                <w:bCs/>
                <w:color w:val="auto"/>
                <w:kern w:val="0"/>
                <w:sz w:val="21"/>
                <w:szCs w:val="21"/>
                <w:highlight w:val="none"/>
                <w:lang w:val="en-US" w:eastAsia="zh-CN"/>
              </w:rPr>
              <w:t>厂家</w:t>
            </w:r>
            <w:r>
              <w:rPr>
                <w:rFonts w:hint="eastAsia" w:ascii="宋体" w:hAnsi="宋体" w:eastAsia="宋体" w:cs="宋体"/>
                <w:b/>
                <w:bCs/>
                <w:color w:val="auto"/>
                <w:kern w:val="0"/>
                <w:sz w:val="21"/>
                <w:szCs w:val="21"/>
                <w:highlight w:val="none"/>
              </w:rPr>
              <w:t>公章。</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台</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15</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会议摄像机</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用1/2.8英寸207万像素高品质图像传感器，最大分辨率可达1920x1080，输出帧率高达60帧/秒。具有12倍、20倍、30倍等多种光学变倍镜头选择，镜头具有72.5°无畸变宽视角。</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台</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6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16</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网络高清半球</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eastAsia="宋体"/>
                <w:color w:val="auto"/>
                <w:sz w:val="21"/>
                <w:szCs w:val="21"/>
                <w:highlight w:val="none"/>
                <w:lang w:eastAsia="zh-CN"/>
              </w:rPr>
            </w:pPr>
            <w:r>
              <w:rPr>
                <w:rFonts w:hint="eastAsia"/>
                <w:color w:val="auto"/>
                <w:sz w:val="21"/>
                <w:szCs w:val="21"/>
                <w:highlight w:val="none"/>
                <w:lang w:val="en-US" w:eastAsia="zh-CN"/>
              </w:rPr>
              <w:t>1、</w:t>
            </w:r>
            <w:r>
              <w:rPr>
                <w:rFonts w:hint="eastAsia"/>
                <w:color w:val="auto"/>
                <w:sz w:val="21"/>
                <w:szCs w:val="21"/>
                <w:highlight w:val="none"/>
              </w:rPr>
              <w:t>要求采用200万像素及以上设备</w:t>
            </w:r>
            <w:r>
              <w:rPr>
                <w:rFonts w:hint="eastAsia"/>
                <w:color w:val="auto"/>
                <w:sz w:val="21"/>
                <w:szCs w:val="21"/>
                <w:highlight w:val="none"/>
                <w:lang w:eastAsia="zh-CN"/>
              </w:rPr>
              <w:t>；</w:t>
            </w:r>
          </w:p>
          <w:p>
            <w:pPr>
              <w:rPr>
                <w:rFonts w:hint="eastAsia" w:eastAsia="宋体"/>
                <w:color w:val="auto"/>
                <w:sz w:val="21"/>
                <w:szCs w:val="21"/>
                <w:highlight w:val="none"/>
                <w:lang w:eastAsia="zh-CN"/>
              </w:rPr>
            </w:pPr>
            <w:r>
              <w:rPr>
                <w:rFonts w:hint="eastAsia"/>
                <w:color w:val="auto"/>
                <w:sz w:val="21"/>
                <w:szCs w:val="21"/>
                <w:highlight w:val="none"/>
                <w:lang w:val="en-US" w:eastAsia="zh-CN"/>
              </w:rPr>
              <w:t>2、</w:t>
            </w:r>
            <w:r>
              <w:rPr>
                <w:rFonts w:hint="eastAsia"/>
                <w:color w:val="auto"/>
                <w:sz w:val="21"/>
                <w:szCs w:val="21"/>
                <w:highlight w:val="none"/>
              </w:rPr>
              <w:t>支持国标GB/T28181</w:t>
            </w:r>
            <w:r>
              <w:rPr>
                <w:rFonts w:hint="eastAsia"/>
                <w:color w:val="auto"/>
                <w:sz w:val="21"/>
                <w:szCs w:val="21"/>
                <w:highlight w:val="none"/>
                <w:lang w:eastAsia="zh-CN"/>
              </w:rPr>
              <w:t>；</w:t>
            </w:r>
          </w:p>
          <w:p>
            <w:pPr>
              <w:rPr>
                <w:rFonts w:hint="eastAsia" w:eastAsia="宋体"/>
                <w:color w:val="auto"/>
                <w:sz w:val="21"/>
                <w:szCs w:val="21"/>
                <w:highlight w:val="none"/>
                <w:lang w:eastAsia="zh-CN"/>
              </w:rPr>
            </w:pPr>
            <w:r>
              <w:rPr>
                <w:rFonts w:hint="eastAsia"/>
                <w:color w:val="auto"/>
                <w:sz w:val="21"/>
                <w:szCs w:val="21"/>
                <w:highlight w:val="none"/>
                <w:lang w:val="en-US" w:eastAsia="zh-CN"/>
              </w:rPr>
              <w:t>3、</w:t>
            </w:r>
            <w:r>
              <w:rPr>
                <w:rFonts w:hint="eastAsia"/>
                <w:color w:val="auto"/>
                <w:sz w:val="21"/>
                <w:szCs w:val="21"/>
                <w:highlight w:val="none"/>
              </w:rPr>
              <w:t>支持1920×1080@25fps高清画面输出</w:t>
            </w:r>
            <w:r>
              <w:rPr>
                <w:rFonts w:hint="eastAsia"/>
                <w:color w:val="auto"/>
                <w:sz w:val="21"/>
                <w:szCs w:val="21"/>
                <w:highlight w:val="none"/>
                <w:lang w:eastAsia="zh-CN"/>
              </w:rPr>
              <w:t>；</w:t>
            </w:r>
          </w:p>
          <w:p>
            <w:pPr>
              <w:rPr>
                <w:rFonts w:hint="eastAsia" w:eastAsia="宋体"/>
                <w:color w:val="auto"/>
                <w:sz w:val="21"/>
                <w:szCs w:val="21"/>
                <w:highlight w:val="none"/>
                <w:lang w:eastAsia="zh-CN"/>
              </w:rPr>
            </w:pPr>
            <w:r>
              <w:rPr>
                <w:rFonts w:hint="eastAsia"/>
                <w:color w:val="auto"/>
                <w:sz w:val="21"/>
                <w:szCs w:val="21"/>
                <w:highlight w:val="none"/>
                <w:lang w:val="en-US" w:eastAsia="zh-CN"/>
              </w:rPr>
              <w:t>4、</w:t>
            </w:r>
            <w:r>
              <w:rPr>
                <w:rFonts w:hint="eastAsia"/>
                <w:color w:val="auto"/>
                <w:sz w:val="21"/>
                <w:szCs w:val="21"/>
                <w:highlight w:val="none"/>
              </w:rPr>
              <w:t>支持H.265高效压缩算法，可较大节省存储空间</w:t>
            </w:r>
            <w:r>
              <w:rPr>
                <w:rFonts w:hint="eastAsia"/>
                <w:color w:val="auto"/>
                <w:sz w:val="21"/>
                <w:szCs w:val="21"/>
                <w:highlight w:val="none"/>
                <w:lang w:eastAsia="zh-CN"/>
              </w:rPr>
              <w:t>；</w:t>
            </w:r>
          </w:p>
          <w:p>
            <w:pPr>
              <w:rPr>
                <w:rFonts w:hint="eastAsia" w:eastAsia="宋体"/>
                <w:color w:val="auto"/>
                <w:sz w:val="21"/>
                <w:szCs w:val="21"/>
                <w:highlight w:val="none"/>
                <w:lang w:eastAsia="zh-CN"/>
              </w:rPr>
            </w:pPr>
            <w:r>
              <w:rPr>
                <w:rFonts w:hint="eastAsia"/>
                <w:color w:val="auto"/>
                <w:sz w:val="21"/>
                <w:szCs w:val="21"/>
                <w:highlight w:val="none"/>
                <w:lang w:val="en-US" w:eastAsia="zh-CN"/>
              </w:rPr>
              <w:t>5、</w:t>
            </w:r>
            <w:r>
              <w:rPr>
                <w:rFonts w:hint="eastAsia"/>
                <w:color w:val="auto"/>
                <w:sz w:val="21"/>
                <w:szCs w:val="21"/>
                <w:highlight w:val="none"/>
              </w:rPr>
              <w:t>支持红外补光距离不小于40米</w:t>
            </w:r>
            <w:r>
              <w:rPr>
                <w:rFonts w:hint="eastAsia"/>
                <w:color w:val="auto"/>
                <w:sz w:val="21"/>
                <w:szCs w:val="21"/>
                <w:highlight w:val="none"/>
                <w:lang w:eastAsia="zh-CN"/>
              </w:rPr>
              <w:t>；</w:t>
            </w:r>
          </w:p>
          <w:p>
            <w:pPr>
              <w:rPr>
                <w:rFonts w:hint="eastAsia" w:eastAsia="宋体"/>
                <w:color w:val="auto"/>
                <w:sz w:val="21"/>
                <w:szCs w:val="21"/>
                <w:highlight w:val="none"/>
                <w:lang w:eastAsia="zh-CN"/>
              </w:rPr>
            </w:pPr>
            <w:r>
              <w:rPr>
                <w:rFonts w:hint="eastAsia"/>
                <w:color w:val="auto"/>
                <w:sz w:val="21"/>
                <w:szCs w:val="21"/>
                <w:highlight w:val="none"/>
                <w:lang w:val="en-US" w:eastAsia="zh-CN"/>
              </w:rPr>
              <w:t>6、</w:t>
            </w:r>
            <w:r>
              <w:rPr>
                <w:rFonts w:hint="eastAsia"/>
                <w:color w:val="auto"/>
                <w:sz w:val="21"/>
                <w:szCs w:val="21"/>
                <w:highlight w:val="none"/>
              </w:rPr>
              <w:t>支持区域入侵侦测、越界侦测、移动侦测等智能侦测功能</w:t>
            </w:r>
            <w:r>
              <w:rPr>
                <w:rFonts w:hint="eastAsia"/>
                <w:color w:val="auto"/>
                <w:sz w:val="21"/>
                <w:szCs w:val="21"/>
                <w:highlight w:val="none"/>
                <w:lang w:eastAsia="zh-CN"/>
              </w:rPr>
              <w:t>；</w:t>
            </w:r>
          </w:p>
          <w:p>
            <w:pPr>
              <w:rPr>
                <w:rFonts w:hint="eastAsia" w:eastAsia="宋体"/>
                <w:color w:val="auto"/>
                <w:sz w:val="21"/>
                <w:szCs w:val="21"/>
                <w:highlight w:val="none"/>
                <w:lang w:eastAsia="zh-CN"/>
              </w:rPr>
            </w:pPr>
            <w:r>
              <w:rPr>
                <w:rFonts w:hint="eastAsia"/>
                <w:color w:val="auto"/>
                <w:sz w:val="21"/>
                <w:szCs w:val="21"/>
                <w:highlight w:val="none"/>
                <w:lang w:val="en-US" w:eastAsia="zh-CN"/>
              </w:rPr>
              <w:t>7、</w:t>
            </w:r>
            <w:r>
              <w:rPr>
                <w:rFonts w:hint="eastAsia"/>
                <w:color w:val="auto"/>
                <w:sz w:val="21"/>
                <w:szCs w:val="21"/>
                <w:highlight w:val="none"/>
              </w:rPr>
              <w:t>支持宽动态，适合逆光环境监控</w:t>
            </w:r>
            <w:r>
              <w:rPr>
                <w:rFonts w:hint="eastAsia"/>
                <w:color w:val="auto"/>
                <w:sz w:val="21"/>
                <w:szCs w:val="21"/>
                <w:highlight w:val="none"/>
                <w:lang w:eastAsia="zh-CN"/>
              </w:rPr>
              <w:t>；</w:t>
            </w:r>
          </w:p>
          <w:p>
            <w:pPr>
              <w:rPr>
                <w:rFonts w:hint="eastAsia" w:eastAsia="宋体"/>
                <w:color w:val="auto"/>
                <w:sz w:val="21"/>
                <w:szCs w:val="21"/>
                <w:highlight w:val="none"/>
                <w:lang w:eastAsia="zh-CN"/>
              </w:rPr>
            </w:pPr>
            <w:r>
              <w:rPr>
                <w:rFonts w:hint="eastAsia"/>
                <w:color w:val="auto"/>
                <w:sz w:val="21"/>
                <w:szCs w:val="21"/>
                <w:highlight w:val="none"/>
                <w:lang w:val="en-US" w:eastAsia="zh-CN"/>
              </w:rPr>
              <w:t>8、</w:t>
            </w:r>
            <w:r>
              <w:rPr>
                <w:rFonts w:hint="eastAsia"/>
                <w:color w:val="auto"/>
                <w:sz w:val="21"/>
                <w:szCs w:val="21"/>
                <w:highlight w:val="none"/>
              </w:rPr>
              <w:t>支持 POE+（802.3at）供电</w:t>
            </w:r>
            <w:r>
              <w:rPr>
                <w:rFonts w:hint="eastAsia"/>
                <w:color w:val="auto"/>
                <w:sz w:val="21"/>
                <w:szCs w:val="21"/>
                <w:highlight w:val="none"/>
                <w:lang w:eastAsia="zh-CN"/>
              </w:rPr>
              <w:t>；</w:t>
            </w:r>
          </w:p>
          <w:p>
            <w:pPr>
              <w:rPr>
                <w:rFonts w:hint="eastAsia" w:eastAsia="宋体"/>
                <w:color w:val="auto"/>
                <w:sz w:val="21"/>
                <w:szCs w:val="21"/>
                <w:highlight w:val="none"/>
                <w:lang w:eastAsia="zh-CN"/>
              </w:rPr>
            </w:pPr>
            <w:r>
              <w:rPr>
                <w:rFonts w:hint="eastAsia"/>
                <w:color w:val="auto"/>
                <w:sz w:val="21"/>
                <w:szCs w:val="21"/>
                <w:highlight w:val="none"/>
                <w:lang w:val="en-US" w:eastAsia="zh-CN"/>
              </w:rPr>
              <w:t>9、</w:t>
            </w:r>
            <w:r>
              <w:rPr>
                <w:rFonts w:hint="eastAsia"/>
                <w:color w:val="auto"/>
                <w:sz w:val="21"/>
                <w:szCs w:val="21"/>
                <w:highlight w:val="none"/>
              </w:rPr>
              <w:t>内置麦克风和扬声器</w:t>
            </w:r>
            <w:r>
              <w:rPr>
                <w:rFonts w:hint="eastAsia"/>
                <w:color w:val="auto"/>
                <w:sz w:val="21"/>
                <w:szCs w:val="21"/>
                <w:highlight w:val="none"/>
                <w:lang w:eastAsia="zh-CN"/>
              </w:rPr>
              <w:t>；</w:t>
            </w:r>
          </w:p>
          <w:p>
            <w:pPr>
              <w:rPr>
                <w:rFonts w:hint="eastAsia" w:eastAsia="宋体"/>
                <w:color w:val="auto"/>
                <w:sz w:val="21"/>
                <w:szCs w:val="21"/>
                <w:highlight w:val="none"/>
                <w:lang w:eastAsia="zh-CN"/>
              </w:rPr>
            </w:pPr>
            <w:r>
              <w:rPr>
                <w:rFonts w:hint="eastAsia"/>
                <w:color w:val="auto"/>
                <w:sz w:val="21"/>
                <w:szCs w:val="21"/>
                <w:highlight w:val="none"/>
                <w:lang w:val="en-US" w:eastAsia="zh-CN"/>
              </w:rPr>
              <w:t>10、</w:t>
            </w:r>
            <w:r>
              <w:rPr>
                <w:rFonts w:hint="eastAsia"/>
                <w:color w:val="auto"/>
                <w:sz w:val="21"/>
                <w:szCs w:val="21"/>
                <w:highlight w:val="none"/>
              </w:rPr>
              <w:t>支持1路音频输入、1路音频输出</w:t>
            </w:r>
            <w:r>
              <w:rPr>
                <w:rFonts w:hint="eastAsia"/>
                <w:color w:val="auto"/>
                <w:sz w:val="21"/>
                <w:szCs w:val="21"/>
                <w:highlight w:val="none"/>
                <w:lang w:eastAsia="zh-CN"/>
              </w:rPr>
              <w:t>；</w:t>
            </w:r>
          </w:p>
          <w:p>
            <w:pPr>
              <w:rPr>
                <w:rFonts w:hint="eastAsia" w:eastAsia="宋体"/>
                <w:color w:val="auto"/>
                <w:sz w:val="21"/>
                <w:szCs w:val="21"/>
                <w:highlight w:val="none"/>
                <w:lang w:eastAsia="zh-CN"/>
              </w:rPr>
            </w:pPr>
            <w:r>
              <w:rPr>
                <w:rFonts w:hint="eastAsia"/>
                <w:color w:val="auto"/>
                <w:sz w:val="21"/>
                <w:szCs w:val="21"/>
                <w:highlight w:val="none"/>
                <w:lang w:val="en-US" w:eastAsia="zh-CN"/>
              </w:rPr>
              <w:t>11、</w:t>
            </w:r>
            <w:r>
              <w:rPr>
                <w:rFonts w:hint="eastAsia"/>
                <w:color w:val="auto"/>
                <w:sz w:val="21"/>
                <w:szCs w:val="21"/>
                <w:highlight w:val="none"/>
              </w:rPr>
              <w:t>支持IK10防暴等级</w:t>
            </w:r>
            <w:r>
              <w:rPr>
                <w:rFonts w:hint="eastAsia"/>
                <w:color w:val="auto"/>
                <w:sz w:val="21"/>
                <w:szCs w:val="21"/>
                <w:highlight w:val="none"/>
                <w:lang w:eastAsia="zh-CN"/>
              </w:rPr>
              <w:t>；</w:t>
            </w:r>
          </w:p>
          <w:p>
            <w:pPr>
              <w:rPr>
                <w:rFonts w:hint="eastAsia" w:eastAsia="宋体"/>
                <w:color w:val="auto"/>
                <w:sz w:val="21"/>
                <w:szCs w:val="21"/>
                <w:highlight w:val="none"/>
                <w:lang w:eastAsia="zh-CN"/>
              </w:rPr>
            </w:pPr>
            <w:r>
              <w:rPr>
                <w:rFonts w:hint="eastAsia"/>
                <w:color w:val="auto"/>
                <w:sz w:val="21"/>
                <w:szCs w:val="21"/>
                <w:highlight w:val="none"/>
                <w:lang w:val="en-US" w:eastAsia="zh-CN"/>
              </w:rPr>
              <w:t>12、</w:t>
            </w:r>
            <w:r>
              <w:rPr>
                <w:rFonts w:hint="eastAsia"/>
                <w:color w:val="auto"/>
                <w:sz w:val="21"/>
                <w:szCs w:val="21"/>
                <w:highlight w:val="none"/>
              </w:rPr>
              <w:t>防雷、防浪涌、防突波，IP66防护等级</w:t>
            </w:r>
            <w:r>
              <w:rPr>
                <w:rFonts w:hint="eastAsia"/>
                <w:color w:val="auto"/>
                <w:sz w:val="21"/>
                <w:szCs w:val="21"/>
                <w:highlight w:val="none"/>
                <w:lang w:eastAsia="zh-CN"/>
              </w:rPr>
              <w:t>；</w:t>
            </w:r>
          </w:p>
          <w:p>
            <w:pPr>
              <w:rPr>
                <w:rFonts w:hint="eastAsia" w:eastAsia="宋体"/>
                <w:color w:val="auto"/>
                <w:sz w:val="21"/>
                <w:szCs w:val="21"/>
                <w:highlight w:val="none"/>
                <w:lang w:eastAsia="zh-CN"/>
              </w:rPr>
            </w:pPr>
            <w:r>
              <w:rPr>
                <w:rFonts w:hint="eastAsia"/>
                <w:color w:val="auto"/>
                <w:sz w:val="21"/>
                <w:szCs w:val="21"/>
                <w:highlight w:val="none"/>
                <w:lang w:val="en-US" w:eastAsia="zh-CN"/>
              </w:rPr>
              <w:t>13、</w:t>
            </w:r>
            <w:r>
              <w:rPr>
                <w:rFonts w:hint="eastAsia"/>
                <w:color w:val="auto"/>
                <w:sz w:val="21"/>
                <w:szCs w:val="21"/>
                <w:highlight w:val="none"/>
              </w:rPr>
              <w:t>包含：安装支架</w:t>
            </w:r>
            <w:r>
              <w:rPr>
                <w:rFonts w:hint="eastAsia"/>
                <w:color w:val="auto"/>
                <w:sz w:val="21"/>
                <w:szCs w:val="21"/>
                <w:highlight w:val="none"/>
                <w:lang w:eastAsia="zh-CN"/>
              </w:rPr>
              <w:t>；</w:t>
            </w:r>
          </w:p>
          <w:p>
            <w:pPr>
              <w:rPr>
                <w:rFonts w:hint="eastAsia" w:eastAsia="宋体"/>
                <w:color w:val="auto"/>
                <w:sz w:val="21"/>
                <w:szCs w:val="21"/>
                <w:highlight w:val="none"/>
                <w:lang w:eastAsia="zh-CN"/>
              </w:rPr>
            </w:pPr>
            <w:r>
              <w:rPr>
                <w:rFonts w:hint="eastAsia"/>
                <w:color w:val="auto"/>
                <w:sz w:val="21"/>
                <w:szCs w:val="21"/>
                <w:highlight w:val="none"/>
                <w:lang w:val="en-US" w:eastAsia="zh-CN"/>
              </w:rPr>
              <w:t>14、</w:t>
            </w:r>
            <w:r>
              <w:rPr>
                <w:rFonts w:hint="eastAsia"/>
                <w:color w:val="auto"/>
                <w:sz w:val="21"/>
                <w:szCs w:val="21"/>
                <w:highlight w:val="none"/>
              </w:rPr>
              <w:t>用于对场所监控</w:t>
            </w:r>
            <w:r>
              <w:rPr>
                <w:rFonts w:hint="eastAsia"/>
                <w:color w:val="auto"/>
                <w:sz w:val="21"/>
                <w:szCs w:val="21"/>
                <w:highlight w:val="none"/>
                <w:lang w:eastAsia="zh-CN"/>
              </w:rPr>
              <w:t>；</w:t>
            </w:r>
          </w:p>
          <w:p>
            <w:pPr>
              <w:rPr>
                <w:rFonts w:hint="eastAsia" w:eastAsia="宋体"/>
                <w:color w:val="auto"/>
                <w:sz w:val="21"/>
                <w:szCs w:val="21"/>
                <w:highlight w:val="none"/>
                <w:lang w:eastAsia="zh-CN"/>
              </w:rPr>
            </w:pPr>
            <w:r>
              <w:rPr>
                <w:rFonts w:hint="eastAsia"/>
                <w:color w:val="auto"/>
                <w:sz w:val="21"/>
                <w:szCs w:val="21"/>
                <w:highlight w:val="none"/>
                <w:lang w:val="en-US" w:eastAsia="zh-CN"/>
              </w:rPr>
              <w:t>15、</w:t>
            </w:r>
            <w:r>
              <w:rPr>
                <w:rFonts w:hint="eastAsia"/>
                <w:color w:val="auto"/>
                <w:sz w:val="21"/>
                <w:szCs w:val="21"/>
                <w:highlight w:val="none"/>
              </w:rPr>
              <w:t>支持2路码流，主码流1920x1080@25fps，子码流640x480@25fps。（公安部检验报告证明）</w:t>
            </w:r>
            <w:r>
              <w:rPr>
                <w:rFonts w:hint="eastAsia"/>
                <w:color w:val="auto"/>
                <w:sz w:val="21"/>
                <w:szCs w:val="21"/>
                <w:highlight w:val="none"/>
                <w:lang w:eastAsia="zh-CN"/>
              </w:rPr>
              <w:t>；</w:t>
            </w:r>
          </w:p>
          <w:p>
            <w:pPr>
              <w:rPr>
                <w:rFonts w:hint="eastAsia"/>
                <w:color w:val="auto"/>
                <w:sz w:val="21"/>
                <w:szCs w:val="21"/>
                <w:highlight w:val="none"/>
              </w:rPr>
            </w:pPr>
            <w:r>
              <w:rPr>
                <w:rFonts w:hint="eastAsia"/>
                <w:color w:val="auto"/>
                <w:sz w:val="21"/>
                <w:szCs w:val="21"/>
                <w:highlight w:val="none"/>
                <w:lang w:val="en-US" w:eastAsia="zh-CN"/>
              </w:rPr>
              <w:t>16、</w:t>
            </w:r>
            <w:r>
              <w:rPr>
                <w:rFonts w:hint="eastAsia"/>
                <w:color w:val="auto"/>
                <w:sz w:val="21"/>
                <w:szCs w:val="21"/>
                <w:highlight w:val="none"/>
              </w:rPr>
              <w:t>最低照度彩色0.0005lx，黑白0.0001lx。（公安部检验报告证明）</w:t>
            </w:r>
          </w:p>
          <w:p>
            <w:pPr>
              <w:rPr>
                <w:rFonts w:hint="eastAsia" w:eastAsia="宋体"/>
                <w:color w:val="auto"/>
                <w:sz w:val="21"/>
                <w:szCs w:val="21"/>
                <w:highlight w:val="none"/>
                <w:lang w:eastAsia="zh-CN"/>
              </w:rPr>
            </w:pPr>
            <w:r>
              <w:rPr>
                <w:rFonts w:hint="eastAsia"/>
                <w:color w:val="auto"/>
                <w:sz w:val="21"/>
                <w:szCs w:val="21"/>
                <w:highlight w:val="none"/>
                <w:lang w:val="en-US" w:eastAsia="zh-CN"/>
              </w:rPr>
              <w:t>17、</w:t>
            </w:r>
            <w:r>
              <w:rPr>
                <w:rFonts w:hint="eastAsia"/>
                <w:color w:val="auto"/>
                <w:sz w:val="21"/>
                <w:szCs w:val="21"/>
                <w:highlight w:val="none"/>
              </w:rPr>
              <w:t>红外夜视下可识别距离设备30m处的人体轮廓。（公安部检验报告证明）</w:t>
            </w:r>
            <w:r>
              <w:rPr>
                <w:rFonts w:hint="eastAsia"/>
                <w:color w:val="auto"/>
                <w:sz w:val="21"/>
                <w:szCs w:val="21"/>
                <w:highlight w:val="none"/>
                <w:lang w:eastAsia="zh-CN"/>
              </w:rPr>
              <w:t>；</w:t>
            </w:r>
          </w:p>
          <w:p>
            <w:pPr>
              <w:rPr>
                <w:rFonts w:hint="eastAsia" w:eastAsia="宋体"/>
                <w:color w:val="auto"/>
                <w:sz w:val="21"/>
                <w:szCs w:val="21"/>
                <w:highlight w:val="none"/>
                <w:lang w:eastAsia="zh-CN"/>
              </w:rPr>
            </w:pPr>
            <w:r>
              <w:rPr>
                <w:rFonts w:hint="eastAsia"/>
                <w:color w:val="auto"/>
                <w:sz w:val="21"/>
                <w:szCs w:val="21"/>
                <w:highlight w:val="none"/>
                <w:lang w:val="en-US" w:eastAsia="zh-CN"/>
              </w:rPr>
              <w:t>18、</w:t>
            </w:r>
            <w:r>
              <w:rPr>
                <w:rFonts w:hint="eastAsia"/>
                <w:color w:val="auto"/>
                <w:sz w:val="21"/>
                <w:szCs w:val="21"/>
                <w:highlight w:val="none"/>
              </w:rPr>
              <w:t>在IE浏览器下，具有H.264、H.265设置选项。（公安部检验报告证明）</w:t>
            </w:r>
            <w:r>
              <w:rPr>
                <w:rFonts w:hint="eastAsia"/>
                <w:color w:val="auto"/>
                <w:sz w:val="21"/>
                <w:szCs w:val="21"/>
                <w:highlight w:val="none"/>
                <w:lang w:eastAsia="zh-CN"/>
              </w:rPr>
              <w:t>；</w:t>
            </w:r>
          </w:p>
          <w:p>
            <w:pPr>
              <w:rPr>
                <w:rFonts w:hint="eastAsia" w:eastAsia="宋体"/>
                <w:color w:val="auto"/>
                <w:sz w:val="21"/>
                <w:szCs w:val="21"/>
                <w:highlight w:val="none"/>
                <w:lang w:eastAsia="zh-CN"/>
              </w:rPr>
            </w:pPr>
            <w:r>
              <w:rPr>
                <w:rFonts w:hint="eastAsia"/>
                <w:color w:val="auto"/>
                <w:sz w:val="21"/>
                <w:szCs w:val="21"/>
                <w:highlight w:val="none"/>
                <w:lang w:val="en-US" w:eastAsia="zh-CN"/>
              </w:rPr>
              <w:t>19、</w:t>
            </w:r>
            <w:r>
              <w:rPr>
                <w:rFonts w:hint="eastAsia"/>
                <w:color w:val="auto"/>
                <w:sz w:val="21"/>
                <w:szCs w:val="21"/>
                <w:highlight w:val="none"/>
              </w:rPr>
              <w:t>同一场景相同图像质量下，开启智能编码功能和不开启智能编码相比，码率节约85％。（公安部检验报告证明）</w:t>
            </w:r>
            <w:r>
              <w:rPr>
                <w:rFonts w:hint="eastAsia"/>
                <w:color w:val="auto"/>
                <w:sz w:val="21"/>
                <w:szCs w:val="21"/>
                <w:highlight w:val="none"/>
                <w:lang w:eastAsia="zh-CN"/>
              </w:rPr>
              <w:t>；</w:t>
            </w:r>
          </w:p>
          <w:p>
            <w:pPr>
              <w:rPr>
                <w:rFonts w:hint="eastAsia" w:eastAsia="宋体"/>
                <w:color w:val="auto"/>
                <w:sz w:val="21"/>
                <w:szCs w:val="21"/>
                <w:highlight w:val="none"/>
                <w:lang w:eastAsia="zh-CN"/>
              </w:rPr>
            </w:pPr>
            <w:r>
              <w:rPr>
                <w:rFonts w:hint="eastAsia"/>
                <w:color w:val="auto"/>
                <w:sz w:val="21"/>
                <w:szCs w:val="21"/>
                <w:highlight w:val="none"/>
                <w:lang w:val="en-US" w:eastAsia="zh-CN"/>
              </w:rPr>
              <w:t>20、</w:t>
            </w:r>
            <w:r>
              <w:rPr>
                <w:rFonts w:hint="eastAsia"/>
                <w:color w:val="auto"/>
                <w:sz w:val="21"/>
                <w:szCs w:val="21"/>
                <w:highlight w:val="none"/>
              </w:rPr>
              <w:t>支持1路音频输入，1路音频输出，1路报警输入，1路报警输出接口，支持1个SD卡槽，支持1个DC12 V电压输出，支持PoE供电。（公安部检验报告证明）</w:t>
            </w:r>
            <w:r>
              <w:rPr>
                <w:rFonts w:hint="eastAsia"/>
                <w:color w:val="auto"/>
                <w:sz w:val="21"/>
                <w:szCs w:val="21"/>
                <w:highlight w:val="none"/>
                <w:lang w:eastAsia="zh-CN"/>
              </w:rPr>
              <w:t>；</w:t>
            </w:r>
          </w:p>
          <w:p>
            <w:pPr>
              <w:keepNext w:val="0"/>
              <w:keepLines w:val="0"/>
              <w:widowControl/>
              <w:suppressLineNumbers w:val="0"/>
              <w:jc w:val="left"/>
              <w:textAlignment w:val="center"/>
              <w:rPr>
                <w:rFonts w:hint="default" w:ascii="宋体" w:hAnsi="宋体" w:eastAsia="宋体" w:cs="宋体"/>
                <w:i w:val="0"/>
                <w:iCs w:val="0"/>
                <w:color w:val="auto"/>
                <w:kern w:val="0"/>
                <w:sz w:val="21"/>
                <w:szCs w:val="21"/>
                <w:highlight w:val="none"/>
                <w:u w:val="none"/>
                <w:lang w:val="en-US" w:eastAsia="zh-CN"/>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个</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25"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17</w:t>
            </w:r>
          </w:p>
        </w:tc>
        <w:tc>
          <w:tcPr>
            <w:tcW w:w="1035"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网络高清球机</w:t>
            </w:r>
          </w:p>
        </w:tc>
        <w:tc>
          <w:tcPr>
            <w:tcW w:w="7020" w:type="dxa"/>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cs="宋体"/>
                <w:i w:val="0"/>
                <w:iCs w:val="0"/>
                <w:color w:val="auto"/>
                <w:kern w:val="0"/>
                <w:sz w:val="21"/>
                <w:szCs w:val="21"/>
                <w:highlight w:val="none"/>
                <w:u w:val="none"/>
                <w:lang w:val="en-US" w:eastAsia="zh-CN"/>
              </w:rPr>
              <w:t>1、</w:t>
            </w:r>
            <w:r>
              <w:rPr>
                <w:rFonts w:hint="eastAsia" w:ascii="宋体" w:hAnsi="宋体" w:eastAsia="宋体" w:cs="宋体"/>
                <w:i w:val="0"/>
                <w:iCs w:val="0"/>
                <w:color w:val="auto"/>
                <w:kern w:val="0"/>
                <w:sz w:val="21"/>
                <w:szCs w:val="21"/>
                <w:highlight w:val="none"/>
                <w:u w:val="none"/>
                <w:lang w:val="en-US" w:eastAsia="zh-CN"/>
              </w:rPr>
              <w:t>视频输出支持1920 × 1080@25fps，分辨力不小于1000TVL（以公安部检验报告为准）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2、支持水平最大转速不小于21°/S，垂直手控速度不小于19°/S；</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3、水平旋转范围为0-340°，垂直旋转范围为-5°~105°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4、支持智能补光、红外补光、白光补光三种设置，红外和白光补光距离均可达30m，可通过IE浏览器对红外灯和白光灯功率进行调节（以公安部检验报告为准）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5、内置1个麦克风，1个扬声器，支持双向语音对讲（以公安部检验报告为准）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6、支持300个预置位，支持断电记忆、目标跟踪功能（以公安部检验报告为准）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7、信噪比≥58dB，网络延时不大于110ms（以公安部检验报告为准）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 xml:space="preserve">8、照度适应范围不小于140dB，宽动态能力综合得分不小于137（以公安部检验报告为准）；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9、支持逆光补偿、自动增益、白平衡、电子快门、日夜模式；</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10、支持GB28181协议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11、具备较好的防护性能环境适应性，支持IP66，工作温度范围可达-30℃-50℃ ；</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12、支持DC12V、POE供电，最大支持256 GB SD卡；</w:t>
            </w:r>
          </w:p>
          <w:p>
            <w:pPr>
              <w:keepNext w:val="0"/>
              <w:keepLines w:val="0"/>
              <w:widowControl/>
              <w:numPr>
                <w:ilvl w:val="0"/>
                <w:numId w:val="0"/>
              </w:numPr>
              <w:suppressLineNumbers w:val="0"/>
              <w:jc w:val="left"/>
              <w:textAlignment w:val="center"/>
              <w:rPr>
                <w:rFonts w:hint="default" w:ascii="宋体" w:hAnsi="宋体" w:eastAsia="宋体" w:cs="宋体"/>
                <w:i w:val="0"/>
                <w:iCs w:val="0"/>
                <w:color w:val="auto"/>
                <w:kern w:val="0"/>
                <w:sz w:val="21"/>
                <w:szCs w:val="21"/>
                <w:highlight w:val="none"/>
                <w:u w:val="none"/>
                <w:lang w:val="en-US" w:eastAsia="zh-CN"/>
              </w:rPr>
            </w:pP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个</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74"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18</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NVR</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具有2个HDMI接口、2个VGA接口、2个RJ45网络接口、2个USB2.0接口、1个USB3.0接口、1个RS232接口、1个RS485接口、1个eSata接口、1路音频输入接口、1路音频输出接口；16路报警输入接口、8路报警输出接口、可内置8个SATA接口硬盘；</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 xml:space="preserve">2、可接入1T、2T、3T、4T、6T、8T、10T、12TB、14TB、16TB、18TB、20TB容量的SATA接口硬盘；（以公安部检验报告为准） </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 xml:space="preserve">3、企业技术要求： 开启视频流智能分析后NVR网络带宽不应降低；（以公安部检验报告为准） </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 xml:space="preserve">4、可接入32路分辨率为1920×1080的视频图像；支持最大接入带宽 320Mbps，最大存储带宽 320Mbps，最大转发带宽 320Mbps，最大回放带宽 320Mbps；（以公安部检验报告为准） </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 xml:space="preserve">5、样机可在预览界面随意选择一个或多个通道，在预警面板实时展示此通道的目标抓拍信息，包括：事件名称、事件触发时间、人脸抓图；针对人脸比对同时显示姓名、相似度；针对车辆报警同时显示车牌；针对人体和车辆目标，可分别显示“人体”、“车辆”；（以公安部检验报告为准） </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 xml:space="preserve">6、具有存储安全保障功能，当存储压力过高或硬盘出现性能不足时，可优先录像业务存储；（以公安部检验报告为准） </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 xml:space="preserve">7、支持从其他设备导入录像文件，并对录像文件进行人脸检测和识别，显示识别结果；（以公安部检验报告为准） </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 xml:space="preserve">8、支持接入高级移动侦测的相机，移动侦测报警能够区分是人、车还是其它目标产生，可录像和记录报警信息；（以公安部检验报告为准） </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 xml:space="preserve">9、支持活动目标与实时预览同屏显示。实时预览的同时可以提取视频画面中的活动目标，可显示人脸、人体、车辆等目标图片，点击图片可即时回放相关录像；配合车辆抓拍摄像机，可显示车辆抓拍图、抓拍时间、车牌号码、车辆品牌、车型、车辆颜色、车牌颜色信息；配合人脸抓拍摄像机，可显示人脸抓拍图、抓拍时间信息；可显示人体抓拍图、性别、上衣颜色、下装颜色、是否戴眼镜、是否背包信息、是否拎东西、是否戴帽子、是否戴口罩。（以公安部检验报告为准） </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 xml:space="preserve">10、支持对一个管理员设置8个二次认证用户，当设备启用二次认证后，用户在回放、下载时需要二次认证授权；（以公安部检验报告为准） </w:t>
            </w:r>
          </w:p>
          <w:p>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 xml:space="preserve">11、支持在线检查西数硬盘的运行状态、健康状态，包括低温警报、高温警报、异步信号恢复警报、重新分配扇区技术警报，读取恢复警报、无法修复的错误警报、机械故障警报、接口CRC警报、机械故障警报、硬复位警报、软复位警报、磁头加载率警报、电源接通复位率警报、总工作负载率警报、生命周期内工作负载总量警报、上电复位警报、磁头加载计数警报、电源开启小时警报；（以公安部检验报告为准） </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台</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5"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cs="宋体"/>
                <w:i w:val="0"/>
                <w:iCs w:val="0"/>
                <w:color w:val="auto"/>
                <w:kern w:val="0"/>
                <w:sz w:val="21"/>
                <w:szCs w:val="21"/>
                <w:highlight w:val="none"/>
                <w:u w:val="none"/>
                <w:lang w:val="en-US" w:eastAsia="zh-CN"/>
              </w:rPr>
              <w:t>12、</w:t>
            </w:r>
            <w:r>
              <w:rPr>
                <w:rFonts w:hint="eastAsia" w:ascii="宋体" w:hAnsi="宋体" w:eastAsia="宋体" w:cs="宋体"/>
                <w:i w:val="0"/>
                <w:iCs w:val="0"/>
                <w:color w:val="auto"/>
                <w:kern w:val="0"/>
                <w:sz w:val="21"/>
                <w:szCs w:val="21"/>
                <w:highlight w:val="none"/>
                <w:u w:val="none"/>
                <w:lang w:val="en-US" w:eastAsia="zh-CN"/>
              </w:rPr>
              <w:t xml:space="preserve">接入带有人体测温功能的IPC，支持在预览界面以卡片形式实时展示体温信息，体温正常为绿色，体温异常为红色，支持根据体温状态联动语音输出，语音支持“体温正常”、“体温异常”。支持按体温状态、温度范围检索人脸图片；（以公安部检验报告为准） </w:t>
            </w:r>
          </w:p>
          <w:p>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 xml:space="preserve">13、接入警戒摄像机，支持对IPC的声音和闪光参数进行配置， 支持通过移动侦测、区域入侵、越界侦测、进入区域和离开区域事件联动一个或多个IPC的声光报警，可以对声光联动一键撤防；（以公安部检验报告为准） </w:t>
            </w:r>
          </w:p>
          <w:p>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14、当同时选择多个带有客流统计功能的IPC时，可自动将多个IPC的客流数据统计求和，并按日、周、月、年统计生成报表；</w:t>
            </w:r>
          </w:p>
          <w:p>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15、支持16个人脸库，库容1万张人脸图片；</w:t>
            </w:r>
          </w:p>
          <w:p>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 xml:space="preserve">16、单个GPU条件下，人脸库建模速度不低于35张/秒；（以公安部检验报告为准） </w:t>
            </w:r>
          </w:p>
          <w:p>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17、企业技术要求：支持人脸、周界、车辆检测、视频结构化的报警触发时联动语音播报；</w:t>
            </w:r>
          </w:p>
          <w:p>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18、人脸库建模成功率不低于99.99%；</w:t>
            </w:r>
          </w:p>
          <w:p>
            <w:pPr>
              <w:keepNext w:val="0"/>
              <w:keepLines w:val="0"/>
              <w:widowControl/>
              <w:numPr>
                <w:ilvl w:val="0"/>
                <w:numId w:val="0"/>
              </w:numPr>
              <w:suppressLineNumbers w:val="0"/>
              <w:ind w:leftChars="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19、采用单人戴口罩正脸依次循环通行进行试验，试验人员数量不小于5人，通过速度不小于1m/s，人员通过间隔时间不大于1s，戴口罩人脸检出率不低于99%；（以公安部检验报告为准）</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1"/>
                <w:szCs w:val="21"/>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1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19</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硬盘</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1、监控级硬盘；</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2、容量：6TB；</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3、接口类型：SATA3；</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4、转速：7200RPM；</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5、缓存：128MB；</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6、规格：3.5英寸；</w:t>
            </w:r>
          </w:p>
          <w:p>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7、用作硬盘录像机存储；</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7"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20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UPS</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cs="宋体"/>
                <w:i w:val="0"/>
                <w:iCs w:val="0"/>
                <w:color w:val="auto"/>
                <w:kern w:val="0"/>
                <w:sz w:val="21"/>
                <w:szCs w:val="21"/>
                <w:highlight w:val="none"/>
                <w:u w:val="none"/>
                <w:lang w:val="en-US" w:eastAsia="zh-CN"/>
              </w:rPr>
              <w:t>1、</w:t>
            </w:r>
            <w:r>
              <w:rPr>
                <w:rFonts w:hint="eastAsia" w:ascii="宋体" w:hAnsi="宋体" w:eastAsia="宋体" w:cs="宋体"/>
                <w:i w:val="0"/>
                <w:iCs w:val="0"/>
                <w:color w:val="auto"/>
                <w:kern w:val="0"/>
                <w:sz w:val="21"/>
                <w:szCs w:val="21"/>
                <w:highlight w:val="none"/>
                <w:u w:val="none"/>
                <w:lang w:val="en-US" w:eastAsia="zh-CN"/>
              </w:rPr>
              <w:t>高频主机单进单出6KVA一台，；</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2、交流输入电压110VAC-300VAC ，输入功率 PF大于0.99；三段式可扩展充电设计以确保电池更优越的表现，具备超强的冷启动功能，在无市电情况下，可满载进行冷启动，满足用户的应急需求。缺相状态下能正常工作；兼容发动机供电；</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3、输出功率因数：0.8； 超大液晶，可中英文显示，输入频率范围：46Hz ~ 54 Hz 或 56Hz ~ 64 Hz；</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输入率因数：100%负载时≧0.99；</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4、输出电压：208/220/230/240VAC，电压范围 (电池模式)：± 1%；输出频率范围(同步校正范围)：46Hz ~ 54 Hz 或 56Hz ~ 64 Hz ；输出频率范围 (电池模式)：50 Hz ± 0.1 Hz 或 60 Hz ± 0.1 Hz；</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5、输出浪涌比率：3:1，谐波失真：≦ 3% THD  (线性负载)≦5% THD (非线性负载）；波形(电池模式)：纯正弦波   ，效率市电模式：93%，效率电池模式：91%；</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6、可设置电池数量16-20节可选(1W铅酸电池),便于未来遭遇个别电池故障需要维护、更換时,可灵活调节电池节数的需要；</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7、可于面板设置充电电压和充电电流(可设定的范围为1A,2A,4A和6A)。充电电压：273VDC ± 1%（基于16颗）；</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8、外观LCD or LED显示：负载大小, 电池容量,市电模式,电池模式, 旁路模式, 故障指示</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9、报警 电池模式：每4秒响一声，电池电量低：每1秒响一声，过载：每1秒响一声，错误：连续鸣响；</w:t>
            </w:r>
          </w:p>
          <w:p>
            <w:pPr>
              <w:keepNext w:val="0"/>
              <w:keepLines w:val="0"/>
              <w:widowControl/>
              <w:numPr>
                <w:ilvl w:val="0"/>
                <w:numId w:val="0"/>
              </w:numPr>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10、具有SNMP+USB+RS-232 多重监控，支控制管理Smart RS-232 / USB: 支持  Windows® 2000/2003/XP/Vista/2008, Windows® 7/8, Linux, Unix, and MAC   ；                        11、使用环境 溫湿度:相对湿度 0-95 %  且 溫度 0- 40°C (不结露)，噪音:少于 58dB @ 1 米处；</w:t>
            </w:r>
          </w:p>
          <w:p>
            <w:pPr>
              <w:keepNext w:val="0"/>
              <w:keepLines w:val="0"/>
              <w:widowControl/>
              <w:numPr>
                <w:ilvl w:val="0"/>
                <w:numId w:val="0"/>
              </w:numPr>
              <w:suppressLineNumbers w:val="0"/>
              <w:jc w:val="left"/>
              <w:textAlignment w:val="center"/>
              <w:rPr>
                <w:rFonts w:hint="default" w:ascii="宋体" w:hAnsi="宋体" w:eastAsia="宋体" w:cs="宋体"/>
                <w:i w:val="0"/>
                <w:iCs w:val="0"/>
                <w:color w:val="auto"/>
                <w:sz w:val="21"/>
                <w:szCs w:val="21"/>
                <w:highlight w:val="none"/>
                <w:u w:val="none"/>
                <w:lang w:val="en-US"/>
              </w:rPr>
            </w:pPr>
            <w:r>
              <w:rPr>
                <w:rFonts w:hint="eastAsia" w:ascii="宋体" w:hAnsi="宋体" w:eastAsia="宋体" w:cs="宋体"/>
                <w:i w:val="0"/>
                <w:iCs w:val="0"/>
                <w:color w:val="auto"/>
                <w:kern w:val="0"/>
                <w:sz w:val="21"/>
                <w:szCs w:val="21"/>
                <w:highlight w:val="none"/>
                <w:u w:val="none"/>
                <w:lang w:val="en-US" w:eastAsia="zh-CN"/>
              </w:rPr>
              <w:t>12、需提供厂家的技术参数证明函并加盖厂家公章</w:t>
            </w:r>
            <w:r>
              <w:rPr>
                <w:rFonts w:hint="eastAsia" w:ascii="宋体" w:hAnsi="宋体" w:cs="宋体"/>
                <w:i w:val="0"/>
                <w:iCs w:val="0"/>
                <w:color w:val="auto"/>
                <w:kern w:val="0"/>
                <w:sz w:val="21"/>
                <w:szCs w:val="21"/>
                <w:highlight w:val="none"/>
                <w:u w:val="none"/>
                <w:lang w:val="en-US" w:eastAsia="zh-CN"/>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台</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55"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21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电池</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1、12V,100AH采用免维护蓄电池  采用先进技术，使用先进的自动气密检测机生产，自主技术生产的极板，，具有优越的导电，抗腐蚀能力；</w:t>
            </w:r>
          </w:p>
          <w:p>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2、配合特殊的双面涂板技术，具有更强的耐久能力；</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个</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22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交换机</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63"/>
              <w:numPr>
                <w:ilvl w:val="0"/>
                <w:numId w:val="0"/>
              </w:numPr>
              <w:ind w:leftChars="0"/>
              <w:rPr>
                <w:color w:val="auto"/>
                <w:sz w:val="21"/>
                <w:szCs w:val="21"/>
                <w:highlight w:val="none"/>
              </w:rPr>
            </w:pPr>
            <w:r>
              <w:rPr>
                <w:rFonts w:hint="eastAsia"/>
                <w:color w:val="auto"/>
                <w:sz w:val="21"/>
                <w:szCs w:val="21"/>
                <w:highlight w:val="none"/>
                <w:lang w:val="en-US" w:eastAsia="zh-CN"/>
              </w:rPr>
              <w:t>1、</w:t>
            </w:r>
            <w:r>
              <w:rPr>
                <w:rFonts w:hint="eastAsia"/>
                <w:color w:val="auto"/>
                <w:sz w:val="21"/>
                <w:szCs w:val="21"/>
                <w:highlight w:val="none"/>
              </w:rPr>
              <w:t>支持固化千兆电口≥24个，固化千兆光口≥4个，标准1U设备，交换容量≥336Gbps，包转发率≥</w:t>
            </w:r>
            <w:r>
              <w:rPr>
                <w:color w:val="auto"/>
                <w:sz w:val="21"/>
                <w:szCs w:val="21"/>
                <w:highlight w:val="none"/>
              </w:rPr>
              <w:t>42</w:t>
            </w:r>
            <w:r>
              <w:rPr>
                <w:rFonts w:hint="eastAsia"/>
                <w:color w:val="auto"/>
                <w:sz w:val="21"/>
                <w:szCs w:val="21"/>
                <w:highlight w:val="none"/>
              </w:rPr>
              <w:t>Mpps，;</w:t>
            </w:r>
          </w:p>
          <w:p>
            <w:pPr>
              <w:pStyle w:val="63"/>
              <w:numPr>
                <w:ilvl w:val="0"/>
                <w:numId w:val="0"/>
              </w:numPr>
              <w:ind w:leftChars="0"/>
              <w:rPr>
                <w:rFonts w:hint="eastAsia" w:eastAsia="宋体"/>
                <w:color w:val="auto"/>
                <w:sz w:val="21"/>
                <w:szCs w:val="21"/>
                <w:highlight w:val="none"/>
                <w:lang w:eastAsia="zh-CN"/>
              </w:rPr>
            </w:pPr>
            <w:r>
              <w:rPr>
                <w:rFonts w:hint="eastAsia"/>
                <w:color w:val="auto"/>
                <w:sz w:val="21"/>
                <w:szCs w:val="21"/>
                <w:highlight w:val="none"/>
                <w:lang w:val="en-US" w:eastAsia="zh-CN"/>
              </w:rPr>
              <w:t>2、</w:t>
            </w:r>
            <w:r>
              <w:rPr>
                <w:rFonts w:hint="eastAsia"/>
                <w:color w:val="auto"/>
                <w:sz w:val="21"/>
                <w:szCs w:val="21"/>
                <w:highlight w:val="none"/>
              </w:rPr>
              <w:t>支持生成树 STP</w:t>
            </w:r>
            <w:r>
              <w:rPr>
                <w:color w:val="auto"/>
                <w:sz w:val="21"/>
                <w:szCs w:val="21"/>
                <w:highlight w:val="none"/>
              </w:rPr>
              <w:t xml:space="preserve"> / RSTP ; </w:t>
            </w:r>
            <w:r>
              <w:rPr>
                <w:rFonts w:hint="eastAsia"/>
                <w:color w:val="auto"/>
                <w:sz w:val="21"/>
                <w:szCs w:val="21"/>
                <w:highlight w:val="none"/>
              </w:rPr>
              <w:t>提高容错能力，保证网络的稳定运行和链路的负载均衡，合理使用网络通道，提供冗余链路利用率</w:t>
            </w:r>
            <w:r>
              <w:rPr>
                <w:rFonts w:hint="eastAsia"/>
                <w:color w:val="auto"/>
                <w:sz w:val="21"/>
                <w:szCs w:val="21"/>
                <w:highlight w:val="none"/>
                <w:lang w:eastAsia="zh-CN"/>
              </w:rPr>
              <w:t>；</w:t>
            </w:r>
          </w:p>
          <w:p>
            <w:pPr>
              <w:pStyle w:val="63"/>
              <w:numPr>
                <w:ilvl w:val="0"/>
                <w:numId w:val="0"/>
              </w:numPr>
              <w:ind w:leftChars="0"/>
              <w:rPr>
                <w:rFonts w:hint="eastAsia" w:eastAsia="宋体"/>
                <w:color w:val="auto"/>
                <w:sz w:val="21"/>
                <w:szCs w:val="21"/>
                <w:highlight w:val="none"/>
                <w:lang w:eastAsia="zh-CN"/>
              </w:rPr>
            </w:pPr>
            <w:r>
              <w:rPr>
                <w:rFonts w:hint="eastAsia"/>
                <w:color w:val="auto"/>
                <w:sz w:val="21"/>
                <w:szCs w:val="21"/>
                <w:highlight w:val="none"/>
                <w:lang w:val="en-US" w:eastAsia="zh-CN"/>
              </w:rPr>
              <w:t>3、</w:t>
            </w:r>
            <w:r>
              <w:rPr>
                <w:rFonts w:hint="eastAsia"/>
                <w:color w:val="auto"/>
                <w:sz w:val="21"/>
                <w:szCs w:val="21"/>
                <w:highlight w:val="none"/>
              </w:rPr>
              <w:t>支持静态链路聚合</w:t>
            </w:r>
            <w:r>
              <w:rPr>
                <w:rFonts w:hint="eastAsia"/>
                <w:color w:val="auto"/>
                <w:sz w:val="21"/>
                <w:szCs w:val="21"/>
                <w:highlight w:val="none"/>
                <w:lang w:eastAsia="zh-CN"/>
              </w:rPr>
              <w:t>；</w:t>
            </w:r>
          </w:p>
          <w:p>
            <w:pPr>
              <w:pStyle w:val="63"/>
              <w:numPr>
                <w:ilvl w:val="0"/>
                <w:numId w:val="0"/>
              </w:numPr>
              <w:ind w:leftChars="0"/>
              <w:rPr>
                <w:rFonts w:hint="eastAsia" w:eastAsia="宋体"/>
                <w:color w:val="auto"/>
                <w:sz w:val="21"/>
                <w:szCs w:val="21"/>
                <w:highlight w:val="none"/>
                <w:lang w:eastAsia="zh-CN"/>
              </w:rPr>
            </w:pPr>
            <w:r>
              <w:rPr>
                <w:rFonts w:hint="eastAsia"/>
                <w:color w:val="auto"/>
                <w:sz w:val="21"/>
                <w:szCs w:val="21"/>
                <w:highlight w:val="none"/>
                <w:lang w:val="en-US" w:eastAsia="zh-CN"/>
              </w:rPr>
              <w:t>4、</w:t>
            </w:r>
            <w:r>
              <w:rPr>
                <w:rFonts w:hint="eastAsia"/>
                <w:color w:val="auto"/>
                <w:sz w:val="21"/>
                <w:szCs w:val="21"/>
                <w:highlight w:val="none"/>
              </w:rPr>
              <w:t>支持端口镜像，一对一镜像，多对一镜像</w:t>
            </w:r>
            <w:r>
              <w:rPr>
                <w:rFonts w:hint="eastAsia"/>
                <w:color w:val="auto"/>
                <w:sz w:val="21"/>
                <w:szCs w:val="21"/>
                <w:highlight w:val="none"/>
                <w:lang w:eastAsia="zh-CN"/>
              </w:rPr>
              <w:t>；</w:t>
            </w:r>
          </w:p>
          <w:p>
            <w:pPr>
              <w:pStyle w:val="63"/>
              <w:numPr>
                <w:ilvl w:val="0"/>
                <w:numId w:val="0"/>
              </w:numPr>
              <w:ind w:leftChars="0"/>
              <w:rPr>
                <w:rFonts w:hint="eastAsia" w:eastAsia="宋体"/>
                <w:color w:val="auto"/>
                <w:sz w:val="21"/>
                <w:szCs w:val="21"/>
                <w:highlight w:val="none"/>
                <w:lang w:eastAsia="zh-CN"/>
              </w:rPr>
            </w:pPr>
            <w:r>
              <w:rPr>
                <w:rFonts w:hint="eastAsia"/>
                <w:color w:val="auto"/>
                <w:sz w:val="21"/>
                <w:szCs w:val="21"/>
                <w:highlight w:val="none"/>
                <w:lang w:val="en-US" w:eastAsia="zh-CN"/>
              </w:rPr>
              <w:t>5、</w:t>
            </w:r>
            <w:r>
              <w:rPr>
                <w:rFonts w:hint="eastAsia"/>
                <w:color w:val="auto"/>
                <w:sz w:val="21"/>
                <w:szCs w:val="21"/>
                <w:highlight w:val="none"/>
              </w:rPr>
              <w:t>支持DHCP Snooping；很好的避免了上网终端从非法DHCP服务器分配的IP地址，引起的网络异常或安全隐患</w:t>
            </w:r>
            <w:r>
              <w:rPr>
                <w:rFonts w:hint="eastAsia"/>
                <w:color w:val="auto"/>
                <w:sz w:val="21"/>
                <w:szCs w:val="21"/>
                <w:highlight w:val="none"/>
                <w:lang w:eastAsia="zh-CN"/>
              </w:rPr>
              <w:t>；</w:t>
            </w:r>
          </w:p>
          <w:p>
            <w:pPr>
              <w:pStyle w:val="63"/>
              <w:numPr>
                <w:ilvl w:val="0"/>
                <w:numId w:val="0"/>
              </w:numPr>
              <w:ind w:leftChars="0"/>
              <w:rPr>
                <w:rFonts w:hint="eastAsia" w:eastAsia="宋体"/>
                <w:color w:val="auto"/>
                <w:sz w:val="21"/>
                <w:szCs w:val="21"/>
                <w:highlight w:val="none"/>
                <w:lang w:eastAsia="zh-CN"/>
              </w:rPr>
            </w:pPr>
            <w:r>
              <w:rPr>
                <w:rFonts w:hint="eastAsia"/>
                <w:color w:val="auto"/>
                <w:sz w:val="21"/>
                <w:szCs w:val="21"/>
                <w:highlight w:val="none"/>
                <w:lang w:val="en-US" w:eastAsia="zh-CN"/>
              </w:rPr>
              <w:t>6、</w:t>
            </w:r>
            <w:r>
              <w:rPr>
                <w:rFonts w:hint="eastAsia"/>
                <w:color w:val="auto"/>
                <w:sz w:val="21"/>
                <w:szCs w:val="21"/>
                <w:highlight w:val="none"/>
              </w:rPr>
              <w:t>支持VLAN划分，最大支持4094个VLAN</w:t>
            </w:r>
            <w:r>
              <w:rPr>
                <w:rFonts w:hint="eastAsia"/>
                <w:color w:val="auto"/>
                <w:sz w:val="21"/>
                <w:szCs w:val="21"/>
                <w:highlight w:val="none"/>
                <w:lang w:eastAsia="zh-CN"/>
              </w:rPr>
              <w:t>；</w:t>
            </w:r>
          </w:p>
          <w:p>
            <w:pPr>
              <w:pStyle w:val="63"/>
              <w:numPr>
                <w:ilvl w:val="0"/>
                <w:numId w:val="0"/>
              </w:numPr>
              <w:ind w:leftChars="0"/>
              <w:rPr>
                <w:rFonts w:hint="eastAsia" w:eastAsia="宋体"/>
                <w:color w:val="auto"/>
                <w:sz w:val="21"/>
                <w:szCs w:val="21"/>
                <w:highlight w:val="none"/>
                <w:lang w:eastAsia="zh-CN"/>
              </w:rPr>
            </w:pPr>
            <w:r>
              <w:rPr>
                <w:rFonts w:hint="eastAsia"/>
                <w:color w:val="auto"/>
                <w:sz w:val="21"/>
                <w:szCs w:val="21"/>
                <w:highlight w:val="none"/>
                <w:lang w:val="en-US" w:eastAsia="zh-CN"/>
              </w:rPr>
              <w:t>7、</w:t>
            </w:r>
            <w:r>
              <w:rPr>
                <w:rFonts w:hint="eastAsia"/>
                <w:color w:val="auto"/>
                <w:sz w:val="21"/>
                <w:szCs w:val="21"/>
                <w:highlight w:val="none"/>
              </w:rPr>
              <w:t>支持高效节能以太网（EEE），端口如果在连续一段时间之内空闲，系统会将该端口设置为节能模式，当有报文收发时再通过定时发送的监听码流唤醒端口恢复业务，达到节能的效果</w:t>
            </w:r>
            <w:r>
              <w:rPr>
                <w:rFonts w:hint="eastAsia"/>
                <w:color w:val="auto"/>
                <w:sz w:val="21"/>
                <w:szCs w:val="21"/>
                <w:highlight w:val="none"/>
                <w:lang w:eastAsia="zh-CN"/>
              </w:rPr>
              <w:t>；</w:t>
            </w:r>
          </w:p>
          <w:p>
            <w:pPr>
              <w:pStyle w:val="63"/>
              <w:numPr>
                <w:ilvl w:val="0"/>
                <w:numId w:val="0"/>
              </w:numPr>
              <w:ind w:leftChars="0"/>
              <w:rPr>
                <w:color w:val="auto"/>
                <w:sz w:val="21"/>
                <w:szCs w:val="21"/>
                <w:highlight w:val="none"/>
              </w:rPr>
            </w:pPr>
            <w:r>
              <w:rPr>
                <w:rFonts w:hint="eastAsia"/>
                <w:color w:val="auto"/>
                <w:sz w:val="21"/>
                <w:szCs w:val="21"/>
                <w:highlight w:val="none"/>
                <w:lang w:val="en-US" w:eastAsia="zh-CN"/>
              </w:rPr>
              <w:t>8、</w:t>
            </w:r>
            <w:r>
              <w:rPr>
                <w:rFonts w:hint="eastAsia"/>
                <w:color w:val="auto"/>
                <w:sz w:val="21"/>
                <w:szCs w:val="21"/>
                <w:highlight w:val="none"/>
              </w:rPr>
              <w:t>为了可以对交换机进行统一的可视化集中管理，要求所投交换机支持管理平台的集中管理，能够实现拓扑呈现，链路状态呈现，远程配置等，</w:t>
            </w:r>
            <w:r>
              <w:rPr>
                <w:color w:val="auto"/>
                <w:sz w:val="21"/>
                <w:szCs w:val="21"/>
                <w:highlight w:val="none"/>
              </w:rPr>
              <w:t>实配网管平台，</w:t>
            </w:r>
            <w:r>
              <w:rPr>
                <w:rFonts w:hint="eastAsia"/>
                <w:color w:val="auto"/>
                <w:sz w:val="21"/>
                <w:szCs w:val="21"/>
                <w:highlight w:val="none"/>
              </w:rPr>
              <w:t>保留测试权力；</w:t>
            </w:r>
          </w:p>
          <w:p>
            <w:pPr>
              <w:pStyle w:val="63"/>
              <w:numPr>
                <w:ilvl w:val="0"/>
                <w:numId w:val="0"/>
              </w:numPr>
              <w:ind w:leftChars="0"/>
              <w:rPr>
                <w:color w:val="auto"/>
                <w:sz w:val="21"/>
                <w:szCs w:val="21"/>
                <w:highlight w:val="none"/>
              </w:rPr>
            </w:pPr>
            <w:r>
              <w:rPr>
                <w:rFonts w:hint="eastAsia"/>
                <w:color w:val="auto"/>
                <w:sz w:val="21"/>
                <w:szCs w:val="21"/>
                <w:highlight w:val="none"/>
                <w:lang w:val="en-US" w:eastAsia="zh-CN"/>
              </w:rPr>
              <w:t>9、</w:t>
            </w:r>
            <w:r>
              <w:rPr>
                <w:rFonts w:hint="eastAsia"/>
                <w:color w:val="auto"/>
                <w:sz w:val="21"/>
                <w:szCs w:val="21"/>
                <w:highlight w:val="none"/>
              </w:rPr>
              <w:t>要求所投交换机可以通过同一品牌的网管软件实现CPU，内存利用率的查看，以及交换机VLAN划分等功能，</w:t>
            </w:r>
            <w:r>
              <w:rPr>
                <w:color w:val="auto"/>
                <w:sz w:val="21"/>
                <w:szCs w:val="21"/>
                <w:highlight w:val="none"/>
              </w:rPr>
              <w:t>实配网管平台，</w:t>
            </w:r>
            <w:r>
              <w:rPr>
                <w:rFonts w:hint="eastAsia"/>
                <w:color w:val="auto"/>
                <w:sz w:val="21"/>
                <w:szCs w:val="21"/>
                <w:highlight w:val="none"/>
              </w:rPr>
              <w:t>保留测试权力；</w:t>
            </w:r>
          </w:p>
          <w:p>
            <w:pPr>
              <w:pStyle w:val="63"/>
              <w:numPr>
                <w:ilvl w:val="0"/>
                <w:numId w:val="0"/>
              </w:numPr>
              <w:ind w:leftChars="0"/>
              <w:rPr>
                <w:color w:val="auto"/>
                <w:sz w:val="21"/>
                <w:szCs w:val="21"/>
                <w:highlight w:val="none"/>
              </w:rPr>
            </w:pPr>
            <w:r>
              <w:rPr>
                <w:rFonts w:hint="eastAsia"/>
                <w:color w:val="auto"/>
                <w:sz w:val="21"/>
                <w:szCs w:val="21"/>
                <w:highlight w:val="none"/>
                <w:lang w:val="en-US" w:eastAsia="zh-CN"/>
              </w:rPr>
              <w:t>10、</w:t>
            </w:r>
            <w:r>
              <w:rPr>
                <w:rFonts w:hint="eastAsia"/>
                <w:color w:val="auto"/>
                <w:sz w:val="21"/>
                <w:szCs w:val="21"/>
                <w:highlight w:val="none"/>
              </w:rPr>
              <w:t>要求所投产品支持网管平台和手机APP集中管理，实配网管平台，出现交换机端口状态改变、网络出现环路、交换机端口流量过阀值等问题通过微信告警推送，保留测试权力；</w:t>
            </w:r>
          </w:p>
          <w:p>
            <w:pPr>
              <w:pStyle w:val="63"/>
              <w:numPr>
                <w:ilvl w:val="0"/>
                <w:numId w:val="0"/>
              </w:numPr>
              <w:ind w:leftChars="0"/>
              <w:rPr>
                <w:color w:val="auto"/>
                <w:sz w:val="21"/>
                <w:szCs w:val="21"/>
                <w:highlight w:val="none"/>
              </w:rPr>
            </w:pPr>
            <w:r>
              <w:rPr>
                <w:rFonts w:hint="eastAsia"/>
                <w:color w:val="auto"/>
                <w:sz w:val="21"/>
                <w:szCs w:val="21"/>
                <w:highlight w:val="none"/>
                <w:lang w:val="en-US" w:eastAsia="zh-CN"/>
              </w:rPr>
              <w:t>11、</w:t>
            </w:r>
            <w:r>
              <w:rPr>
                <w:color w:val="auto"/>
                <w:sz w:val="21"/>
                <w:szCs w:val="21"/>
                <w:highlight w:val="none"/>
              </w:rPr>
              <w:t>为方便新建项目开局，要求设备支持对全网同品牌设备进行统一的发现，并通过网关对交换、AP、AC进行集中化的调试，避免各区域分别调试的麻烦。</w:t>
            </w:r>
            <w:r>
              <w:rPr>
                <w:rFonts w:hint="eastAsia"/>
                <w:color w:val="auto"/>
                <w:sz w:val="21"/>
                <w:szCs w:val="21"/>
                <w:highlight w:val="none"/>
              </w:rPr>
              <w:t>保留测试权力；</w:t>
            </w:r>
          </w:p>
          <w:p>
            <w:pPr>
              <w:pStyle w:val="63"/>
              <w:numPr>
                <w:ilvl w:val="0"/>
                <w:numId w:val="0"/>
              </w:numPr>
              <w:ind w:leftChars="0"/>
              <w:rPr>
                <w:color w:val="auto"/>
                <w:sz w:val="21"/>
                <w:szCs w:val="21"/>
                <w:highlight w:val="none"/>
              </w:rPr>
            </w:pPr>
            <w:r>
              <w:rPr>
                <w:rFonts w:hint="eastAsia" w:ascii="Segoe UI Symbol" w:hAnsi="Segoe UI Symbol" w:cs="Segoe UI Symbol"/>
                <w:color w:val="auto"/>
                <w:sz w:val="21"/>
                <w:szCs w:val="21"/>
                <w:highlight w:val="none"/>
                <w:lang w:val="en-US" w:eastAsia="zh-CN"/>
              </w:rPr>
              <w:t>12、</w:t>
            </w:r>
            <w:r>
              <w:rPr>
                <w:color w:val="auto"/>
                <w:sz w:val="21"/>
                <w:szCs w:val="21"/>
                <w:highlight w:val="none"/>
              </w:rPr>
              <w:t>为方便新建项目开局，要求设备支持</w:t>
            </w:r>
            <w:r>
              <w:rPr>
                <w:rFonts w:hint="eastAsia"/>
                <w:color w:val="auto"/>
                <w:sz w:val="21"/>
                <w:szCs w:val="21"/>
                <w:highlight w:val="none"/>
              </w:rPr>
              <w:t>APP</w:t>
            </w:r>
            <w:r>
              <w:rPr>
                <w:color w:val="auto"/>
                <w:sz w:val="21"/>
                <w:szCs w:val="21"/>
                <w:highlight w:val="none"/>
              </w:rPr>
              <w:t>进行统一的发现、调试、</w:t>
            </w:r>
            <w:r>
              <w:rPr>
                <w:rFonts w:hint="eastAsia"/>
                <w:color w:val="auto"/>
                <w:sz w:val="21"/>
                <w:szCs w:val="21"/>
                <w:highlight w:val="none"/>
              </w:rPr>
              <w:t>运维，保留测试权力；</w:t>
            </w:r>
          </w:p>
          <w:p>
            <w:pPr>
              <w:keepNext w:val="0"/>
              <w:keepLines w:val="0"/>
              <w:widowControl/>
              <w:suppressLineNumbers w:val="0"/>
              <w:jc w:val="left"/>
              <w:textAlignment w:val="center"/>
              <w:rPr>
                <w:rFonts w:hint="eastAsia" w:eastAsia="宋体"/>
                <w:color w:val="auto"/>
                <w:sz w:val="21"/>
                <w:szCs w:val="21"/>
                <w:highlight w:val="none"/>
                <w:lang w:eastAsia="zh-CN"/>
              </w:rPr>
            </w:pPr>
            <w:r>
              <w:rPr>
                <w:rFonts w:hint="eastAsia"/>
                <w:color w:val="auto"/>
                <w:sz w:val="21"/>
                <w:szCs w:val="21"/>
                <w:highlight w:val="none"/>
              </w:rPr>
              <w:t>用作指挥中心多席位电脑终端、解码器、拼接控制器的网络接入</w:t>
            </w:r>
            <w:r>
              <w:rPr>
                <w:rFonts w:hint="eastAsia"/>
                <w:color w:val="auto"/>
                <w:sz w:val="21"/>
                <w:szCs w:val="21"/>
                <w:highlight w:val="none"/>
                <w:lang w:eastAsia="zh-CN"/>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台</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13"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23</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交换机</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63"/>
              <w:numPr>
                <w:ilvl w:val="0"/>
                <w:numId w:val="0"/>
              </w:numPr>
              <w:ind w:leftChars="0"/>
              <w:rPr>
                <w:rFonts w:ascii="宋体" w:hAnsi="宋体"/>
                <w:color w:val="auto"/>
                <w:sz w:val="21"/>
                <w:szCs w:val="21"/>
                <w:highlight w:val="none"/>
              </w:rPr>
            </w:pPr>
            <w:r>
              <w:rPr>
                <w:rFonts w:hint="eastAsia" w:ascii="宋体" w:hAnsi="宋体"/>
                <w:color w:val="auto"/>
                <w:sz w:val="21"/>
                <w:szCs w:val="21"/>
                <w:highlight w:val="none"/>
                <w:lang w:val="en-US" w:eastAsia="zh-CN"/>
              </w:rPr>
              <w:t>1、</w:t>
            </w:r>
            <w:r>
              <w:rPr>
                <w:rFonts w:hint="eastAsia" w:ascii="宋体" w:hAnsi="宋体"/>
                <w:color w:val="auto"/>
                <w:sz w:val="21"/>
                <w:szCs w:val="21"/>
                <w:highlight w:val="none"/>
              </w:rPr>
              <w:t>固化端口：≥24个10/100/1000Mbps电口，≥4个SFP光口，标准1U设备；</w:t>
            </w:r>
          </w:p>
          <w:p>
            <w:pPr>
              <w:pStyle w:val="63"/>
              <w:numPr>
                <w:ilvl w:val="0"/>
                <w:numId w:val="0"/>
              </w:numPr>
              <w:ind w:leftChars="0"/>
              <w:rPr>
                <w:rFonts w:ascii="宋体" w:hAnsi="宋体"/>
                <w:color w:val="auto"/>
                <w:sz w:val="21"/>
                <w:szCs w:val="21"/>
                <w:highlight w:val="none"/>
              </w:rPr>
            </w:pPr>
            <w:r>
              <w:rPr>
                <w:rFonts w:hint="eastAsia" w:ascii="宋体" w:hAnsi="宋体"/>
                <w:color w:val="auto"/>
                <w:sz w:val="21"/>
                <w:szCs w:val="21"/>
                <w:highlight w:val="none"/>
                <w:lang w:val="en-US" w:eastAsia="zh-CN"/>
              </w:rPr>
              <w:t>2、</w:t>
            </w:r>
            <w:r>
              <w:rPr>
                <w:rFonts w:hint="eastAsia" w:ascii="宋体" w:hAnsi="宋体"/>
                <w:color w:val="auto"/>
                <w:sz w:val="21"/>
                <w:szCs w:val="21"/>
                <w:highlight w:val="none"/>
              </w:rPr>
              <w:t>交换容量≥336Gbps，包转发率≥51Mpps；</w:t>
            </w:r>
          </w:p>
          <w:p>
            <w:pPr>
              <w:pStyle w:val="63"/>
              <w:numPr>
                <w:ilvl w:val="0"/>
                <w:numId w:val="0"/>
              </w:numPr>
              <w:ind w:leftChars="0"/>
              <w:rPr>
                <w:rFonts w:hint="eastAsia" w:ascii="宋体" w:hAnsi="宋体" w:eastAsia="宋体"/>
                <w:color w:val="auto"/>
                <w:sz w:val="21"/>
                <w:szCs w:val="21"/>
                <w:highlight w:val="none"/>
                <w:lang w:eastAsia="zh-CN"/>
              </w:rPr>
            </w:pPr>
            <w:r>
              <w:rPr>
                <w:rFonts w:hint="eastAsia" w:ascii="宋体" w:hAnsi="宋体"/>
                <w:color w:val="auto"/>
                <w:sz w:val="21"/>
                <w:szCs w:val="21"/>
                <w:highlight w:val="none"/>
                <w:lang w:val="en-US" w:eastAsia="zh-CN"/>
              </w:rPr>
              <w:t>3、</w:t>
            </w:r>
            <w:r>
              <w:rPr>
                <w:rFonts w:hint="eastAsia" w:ascii="宋体" w:hAnsi="宋体"/>
                <w:color w:val="auto"/>
                <w:sz w:val="21"/>
                <w:szCs w:val="21"/>
                <w:highlight w:val="none"/>
              </w:rPr>
              <w:t>支持 MAC地址容量≥16K，三层SVI接口≥16个</w:t>
            </w:r>
            <w:r>
              <w:rPr>
                <w:rFonts w:hint="eastAsia" w:ascii="宋体" w:hAnsi="宋体"/>
                <w:color w:val="auto"/>
                <w:sz w:val="21"/>
                <w:szCs w:val="21"/>
                <w:highlight w:val="none"/>
                <w:lang w:eastAsia="zh-CN"/>
              </w:rPr>
              <w:t>；</w:t>
            </w:r>
          </w:p>
          <w:p>
            <w:pPr>
              <w:pStyle w:val="63"/>
              <w:numPr>
                <w:ilvl w:val="0"/>
                <w:numId w:val="0"/>
              </w:numPr>
              <w:ind w:leftChars="0"/>
              <w:rPr>
                <w:rFonts w:hint="eastAsia" w:ascii="宋体" w:hAnsi="宋体" w:eastAsia="宋体"/>
                <w:color w:val="auto"/>
                <w:sz w:val="21"/>
                <w:szCs w:val="21"/>
                <w:highlight w:val="none"/>
                <w:lang w:eastAsia="zh-CN"/>
              </w:rPr>
            </w:pPr>
            <w:r>
              <w:rPr>
                <w:rFonts w:hint="eastAsia" w:ascii="宋体" w:hAnsi="宋体"/>
                <w:color w:val="auto"/>
                <w:sz w:val="21"/>
                <w:szCs w:val="21"/>
                <w:highlight w:val="none"/>
                <w:lang w:val="en-US" w:eastAsia="zh-CN"/>
              </w:rPr>
              <w:t>4、</w:t>
            </w:r>
            <w:r>
              <w:rPr>
                <w:rFonts w:hint="eastAsia" w:ascii="宋体" w:hAnsi="宋体"/>
                <w:color w:val="auto"/>
                <w:sz w:val="21"/>
                <w:szCs w:val="21"/>
                <w:highlight w:val="none"/>
              </w:rPr>
              <w:t>为避免网络被异常流量和突发流量波及导致网络瘫痪，要求设备</w:t>
            </w:r>
            <w:r>
              <w:rPr>
                <w:rFonts w:ascii="宋体" w:hAnsi="宋体"/>
                <w:color w:val="auto"/>
                <w:sz w:val="21"/>
                <w:szCs w:val="21"/>
                <w:highlight w:val="none"/>
              </w:rPr>
              <w:t>支持QOS，</w:t>
            </w:r>
            <w:r>
              <w:rPr>
                <w:rFonts w:hint="eastAsia" w:ascii="宋体" w:hAnsi="宋体"/>
                <w:color w:val="auto"/>
                <w:sz w:val="21"/>
                <w:szCs w:val="21"/>
                <w:highlight w:val="none"/>
              </w:rPr>
              <w:t>支持端口流量限速</w:t>
            </w:r>
            <w:r>
              <w:rPr>
                <w:rFonts w:hint="eastAsia" w:ascii="宋体" w:hAnsi="宋体"/>
                <w:color w:val="auto"/>
                <w:sz w:val="21"/>
                <w:szCs w:val="21"/>
                <w:highlight w:val="none"/>
                <w:lang w:eastAsia="zh-CN"/>
              </w:rPr>
              <w:t>；</w:t>
            </w:r>
          </w:p>
          <w:p>
            <w:pPr>
              <w:pStyle w:val="63"/>
              <w:numPr>
                <w:ilvl w:val="0"/>
                <w:numId w:val="0"/>
              </w:numPr>
              <w:ind w:leftChars="0"/>
              <w:rPr>
                <w:rFonts w:ascii="宋体" w:hAnsi="宋体"/>
                <w:color w:val="auto"/>
                <w:sz w:val="21"/>
                <w:szCs w:val="21"/>
                <w:highlight w:val="none"/>
              </w:rPr>
            </w:pPr>
            <w:r>
              <w:rPr>
                <w:rFonts w:hint="eastAsia" w:ascii="宋体" w:hAnsi="宋体"/>
                <w:color w:val="auto"/>
                <w:sz w:val="21"/>
                <w:szCs w:val="21"/>
                <w:highlight w:val="none"/>
                <w:lang w:val="en-US" w:eastAsia="zh-CN"/>
              </w:rPr>
              <w:t>5、</w:t>
            </w:r>
            <w:r>
              <w:rPr>
                <w:rFonts w:hint="eastAsia" w:ascii="宋体" w:hAnsi="宋体"/>
                <w:color w:val="auto"/>
                <w:sz w:val="21"/>
                <w:szCs w:val="21"/>
                <w:highlight w:val="none"/>
              </w:rPr>
              <w:t>支持专门针对CPU的保护机制，能够针对发往CPU处理的各种报文进行流量控制和优先级处理，保护交换机在各种环境下稳定工作，</w:t>
            </w:r>
            <w:r>
              <w:rPr>
                <w:rFonts w:hint="eastAsia"/>
                <w:color w:val="auto"/>
                <w:sz w:val="21"/>
                <w:szCs w:val="21"/>
                <w:highlight w:val="none"/>
              </w:rPr>
              <w:t>保留测试权力；</w:t>
            </w:r>
          </w:p>
          <w:p>
            <w:pPr>
              <w:pStyle w:val="63"/>
              <w:numPr>
                <w:ilvl w:val="0"/>
                <w:numId w:val="0"/>
              </w:numPr>
              <w:ind w:leftChars="0"/>
              <w:rPr>
                <w:rFonts w:ascii="宋体" w:hAnsi="宋体"/>
                <w:color w:val="auto"/>
                <w:sz w:val="21"/>
                <w:szCs w:val="21"/>
                <w:highlight w:val="none"/>
              </w:rPr>
            </w:pPr>
            <w:r>
              <w:rPr>
                <w:rFonts w:hint="eastAsia" w:ascii="宋体" w:hAnsi="宋体"/>
                <w:color w:val="auto"/>
                <w:sz w:val="21"/>
                <w:szCs w:val="21"/>
                <w:highlight w:val="none"/>
                <w:lang w:val="en-US" w:eastAsia="zh-CN"/>
              </w:rPr>
              <w:t>6、</w:t>
            </w:r>
            <w:r>
              <w:rPr>
                <w:rFonts w:hint="eastAsia" w:ascii="宋体" w:hAnsi="宋体"/>
                <w:color w:val="auto"/>
                <w:sz w:val="21"/>
                <w:szCs w:val="21"/>
                <w:highlight w:val="none"/>
              </w:rPr>
              <w:t>支持标准的ACL、支持基于I</w:t>
            </w:r>
            <w:r>
              <w:rPr>
                <w:rFonts w:ascii="宋体" w:hAnsi="宋体"/>
                <w:color w:val="auto"/>
                <w:sz w:val="21"/>
                <w:szCs w:val="21"/>
                <w:highlight w:val="none"/>
              </w:rPr>
              <w:t>P/MAC</w:t>
            </w:r>
            <w:r>
              <w:rPr>
                <w:rFonts w:hint="eastAsia" w:ascii="宋体" w:hAnsi="宋体"/>
                <w:color w:val="auto"/>
                <w:sz w:val="21"/>
                <w:szCs w:val="21"/>
                <w:highlight w:val="none"/>
              </w:rPr>
              <w:t>扩展的ACL；</w:t>
            </w:r>
          </w:p>
          <w:p>
            <w:pPr>
              <w:pStyle w:val="63"/>
              <w:numPr>
                <w:ilvl w:val="0"/>
                <w:numId w:val="0"/>
              </w:numPr>
              <w:ind w:leftChars="0"/>
              <w:rPr>
                <w:rFonts w:ascii="宋体" w:hAnsi="宋体"/>
                <w:color w:val="auto"/>
                <w:sz w:val="21"/>
                <w:szCs w:val="21"/>
                <w:highlight w:val="none"/>
              </w:rPr>
            </w:pPr>
            <w:r>
              <w:rPr>
                <w:rFonts w:hint="eastAsia" w:ascii="宋体" w:hAnsi="宋体"/>
                <w:color w:val="auto"/>
                <w:sz w:val="21"/>
                <w:szCs w:val="21"/>
                <w:highlight w:val="none"/>
                <w:lang w:val="en-US" w:eastAsia="zh-CN"/>
              </w:rPr>
              <w:t>7、</w:t>
            </w:r>
            <w:r>
              <w:rPr>
                <w:rFonts w:hint="eastAsia" w:ascii="宋体" w:hAnsi="宋体"/>
                <w:color w:val="auto"/>
                <w:sz w:val="21"/>
                <w:szCs w:val="21"/>
                <w:highlight w:val="none"/>
              </w:rPr>
              <w:t>符合国家低碳环保等政策要求，支持IEEE 802.3az标准的EEE节能技术；</w:t>
            </w:r>
          </w:p>
          <w:p>
            <w:pPr>
              <w:pStyle w:val="63"/>
              <w:numPr>
                <w:ilvl w:val="0"/>
                <w:numId w:val="0"/>
              </w:numPr>
              <w:ind w:leftChars="0"/>
              <w:rPr>
                <w:rFonts w:ascii="宋体" w:hAnsi="宋体"/>
                <w:color w:val="auto"/>
                <w:sz w:val="21"/>
                <w:szCs w:val="21"/>
                <w:highlight w:val="none"/>
              </w:rPr>
            </w:pPr>
            <w:r>
              <w:rPr>
                <w:rFonts w:hint="eastAsia" w:ascii="宋体" w:hAnsi="宋体"/>
                <w:color w:val="auto"/>
                <w:sz w:val="21"/>
                <w:szCs w:val="21"/>
                <w:highlight w:val="none"/>
                <w:lang w:val="en-US" w:eastAsia="zh-CN"/>
              </w:rPr>
              <w:t>8、</w:t>
            </w:r>
            <w:r>
              <w:rPr>
                <w:rFonts w:hint="eastAsia" w:ascii="宋体" w:hAnsi="宋体"/>
                <w:color w:val="auto"/>
                <w:sz w:val="21"/>
                <w:szCs w:val="21"/>
                <w:highlight w:val="none"/>
              </w:rPr>
              <w:t>支持网管平台管理，通过可上网的PC或者手机，即可完成部署，即插即用，支持可视化整网拓扑、前面板端口通断状态呈现、CPU、内存利用率、设备配置等功能，</w:t>
            </w:r>
            <w:r>
              <w:rPr>
                <w:rFonts w:hint="eastAsia"/>
                <w:color w:val="auto"/>
                <w:sz w:val="21"/>
                <w:szCs w:val="21"/>
                <w:highlight w:val="none"/>
              </w:rPr>
              <w:t>保留测试权力；</w:t>
            </w:r>
          </w:p>
          <w:p>
            <w:pPr>
              <w:pStyle w:val="63"/>
              <w:numPr>
                <w:ilvl w:val="0"/>
                <w:numId w:val="0"/>
              </w:numPr>
              <w:ind w:leftChars="0"/>
              <w:rPr>
                <w:rFonts w:ascii="宋体" w:hAnsi="宋体"/>
                <w:color w:val="auto"/>
                <w:sz w:val="21"/>
                <w:szCs w:val="21"/>
                <w:highlight w:val="none"/>
              </w:rPr>
            </w:pPr>
            <w:r>
              <w:rPr>
                <w:rFonts w:hint="eastAsia" w:ascii="宋体" w:hAnsi="宋体"/>
                <w:color w:val="auto"/>
                <w:sz w:val="21"/>
                <w:szCs w:val="21"/>
                <w:highlight w:val="none"/>
                <w:lang w:val="en-US" w:eastAsia="zh-CN"/>
              </w:rPr>
              <w:t>9、</w:t>
            </w:r>
            <w:r>
              <w:rPr>
                <w:rFonts w:ascii="宋体" w:hAnsi="宋体"/>
                <w:color w:val="auto"/>
                <w:sz w:val="21"/>
                <w:szCs w:val="21"/>
                <w:highlight w:val="none"/>
              </w:rPr>
              <w:t>为方便新建项目开局，要求设备支持对全网同品牌设备进行统一的发现，并通过网关对交换、AP、AC进行集中化的调试，避免各区域分别调试的麻烦。</w:t>
            </w:r>
          </w:p>
          <w:p>
            <w:pPr>
              <w:pStyle w:val="63"/>
              <w:numPr>
                <w:ilvl w:val="0"/>
                <w:numId w:val="0"/>
              </w:numPr>
              <w:ind w:leftChars="0"/>
              <w:rPr>
                <w:rFonts w:ascii="宋体" w:hAnsi="宋体"/>
                <w:color w:val="auto"/>
                <w:sz w:val="21"/>
                <w:szCs w:val="21"/>
                <w:highlight w:val="none"/>
              </w:rPr>
            </w:pPr>
          </w:p>
          <w:p>
            <w:pPr>
              <w:keepNext w:val="0"/>
              <w:keepLines w:val="0"/>
              <w:widowControl/>
              <w:suppressLineNumbers w:val="0"/>
              <w:jc w:val="left"/>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2"/>
                <w:sz w:val="21"/>
                <w:szCs w:val="21"/>
                <w:highlight w:val="none"/>
                <w:u w:val="none"/>
                <w:lang w:val="en-US" w:eastAsia="zh-CN" w:bidi="ar-SA"/>
              </w:rPr>
              <w:t>用作监控、电脑等设备网络接入</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台</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24</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核心交换机</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63"/>
              <w:numPr>
                <w:ilvl w:val="0"/>
                <w:numId w:val="0"/>
              </w:numPr>
              <w:ind w:leftChars="0"/>
              <w:rPr>
                <w:color w:val="auto"/>
                <w:sz w:val="21"/>
                <w:szCs w:val="21"/>
                <w:highlight w:val="none"/>
              </w:rPr>
            </w:pPr>
            <w:r>
              <w:rPr>
                <w:rFonts w:hint="eastAsia"/>
                <w:color w:val="auto"/>
                <w:sz w:val="21"/>
                <w:szCs w:val="21"/>
                <w:highlight w:val="none"/>
                <w:lang w:val="en-US" w:eastAsia="zh-CN"/>
              </w:rPr>
              <w:t>1、</w:t>
            </w:r>
            <w:r>
              <w:rPr>
                <w:rFonts w:hint="eastAsia"/>
                <w:color w:val="auto"/>
                <w:sz w:val="21"/>
                <w:szCs w:val="21"/>
                <w:highlight w:val="none"/>
              </w:rPr>
              <w:t>固化10/100/1000M以太网电端口≥24，固化1G SFP光接口≥4个，整机最大可用千兆口≥28，交换容量≥3.3Tbps，包转发率≥12</w:t>
            </w:r>
            <w:r>
              <w:rPr>
                <w:color w:val="auto"/>
                <w:sz w:val="21"/>
                <w:szCs w:val="21"/>
                <w:highlight w:val="none"/>
              </w:rPr>
              <w:t>0</w:t>
            </w:r>
            <w:r>
              <w:rPr>
                <w:rFonts w:hint="eastAsia"/>
                <w:color w:val="auto"/>
                <w:sz w:val="21"/>
                <w:szCs w:val="21"/>
                <w:highlight w:val="none"/>
              </w:rPr>
              <w:t>Mpps；</w:t>
            </w:r>
          </w:p>
          <w:p>
            <w:pPr>
              <w:pStyle w:val="63"/>
              <w:numPr>
                <w:ilvl w:val="0"/>
                <w:numId w:val="0"/>
              </w:numPr>
              <w:ind w:leftChars="0"/>
              <w:rPr>
                <w:color w:val="auto"/>
                <w:sz w:val="21"/>
                <w:szCs w:val="21"/>
                <w:highlight w:val="none"/>
              </w:rPr>
            </w:pPr>
            <w:r>
              <w:rPr>
                <w:rFonts w:hint="eastAsia"/>
                <w:color w:val="auto"/>
                <w:sz w:val="21"/>
                <w:szCs w:val="21"/>
                <w:highlight w:val="none"/>
                <w:lang w:val="en-US" w:eastAsia="zh-CN"/>
              </w:rPr>
              <w:t>2、</w:t>
            </w:r>
            <w:r>
              <w:rPr>
                <w:rFonts w:hint="eastAsia"/>
                <w:color w:val="auto"/>
                <w:sz w:val="21"/>
                <w:szCs w:val="21"/>
                <w:highlight w:val="none"/>
              </w:rPr>
              <w:t>要求设备采用静音无风扇节能设计，且支持IEEE 802.3az标准的 EEE节能技术，保留测试权力；</w:t>
            </w:r>
          </w:p>
          <w:p>
            <w:pPr>
              <w:pStyle w:val="63"/>
              <w:numPr>
                <w:ilvl w:val="0"/>
                <w:numId w:val="0"/>
              </w:numPr>
              <w:ind w:leftChars="0"/>
              <w:rPr>
                <w:color w:val="auto"/>
                <w:sz w:val="21"/>
                <w:szCs w:val="21"/>
                <w:highlight w:val="none"/>
              </w:rPr>
            </w:pPr>
            <w:r>
              <w:rPr>
                <w:rFonts w:hint="eastAsia"/>
                <w:color w:val="auto"/>
                <w:sz w:val="21"/>
                <w:szCs w:val="21"/>
                <w:highlight w:val="none"/>
                <w:lang w:val="en-US" w:eastAsia="zh-CN"/>
              </w:rPr>
              <w:t>3、</w:t>
            </w:r>
            <w:r>
              <w:rPr>
                <w:rFonts w:hint="eastAsia"/>
                <w:color w:val="auto"/>
                <w:sz w:val="21"/>
                <w:szCs w:val="21"/>
                <w:highlight w:val="none"/>
              </w:rPr>
              <w:t>为了保证交换机使用寿命，要求所投产品的端口防雷≥</w:t>
            </w:r>
            <w:r>
              <w:rPr>
                <w:color w:val="auto"/>
                <w:sz w:val="21"/>
                <w:szCs w:val="21"/>
                <w:highlight w:val="none"/>
              </w:rPr>
              <w:t>10</w:t>
            </w:r>
            <w:r>
              <w:rPr>
                <w:rFonts w:hint="eastAsia"/>
                <w:color w:val="auto"/>
                <w:sz w:val="21"/>
                <w:szCs w:val="21"/>
                <w:highlight w:val="none"/>
              </w:rPr>
              <w:t>KV；</w:t>
            </w:r>
          </w:p>
          <w:p>
            <w:pPr>
              <w:pStyle w:val="63"/>
              <w:numPr>
                <w:ilvl w:val="0"/>
                <w:numId w:val="0"/>
              </w:numPr>
              <w:ind w:leftChars="0"/>
              <w:rPr>
                <w:color w:val="auto"/>
                <w:sz w:val="21"/>
                <w:szCs w:val="21"/>
                <w:highlight w:val="none"/>
              </w:rPr>
            </w:pPr>
            <w:r>
              <w:rPr>
                <w:rFonts w:hint="eastAsia"/>
                <w:color w:val="auto"/>
                <w:sz w:val="21"/>
                <w:szCs w:val="21"/>
                <w:highlight w:val="none"/>
                <w:lang w:val="en-US" w:eastAsia="zh-CN"/>
              </w:rPr>
              <w:t>4、</w:t>
            </w:r>
            <w:r>
              <w:rPr>
                <w:rFonts w:hint="eastAsia"/>
                <w:color w:val="auto"/>
                <w:sz w:val="21"/>
                <w:szCs w:val="21"/>
                <w:highlight w:val="none"/>
              </w:rPr>
              <w:t>支持专门针对CPU的保护机制，能够针对发往CPU处理的各种报文进行流量控制和优先级处理，保护交换机在各种环境下稳定工作；</w:t>
            </w:r>
          </w:p>
          <w:p>
            <w:pPr>
              <w:pStyle w:val="63"/>
              <w:numPr>
                <w:ilvl w:val="0"/>
                <w:numId w:val="0"/>
              </w:numPr>
              <w:ind w:leftChars="0"/>
              <w:rPr>
                <w:color w:val="auto"/>
                <w:sz w:val="21"/>
                <w:szCs w:val="21"/>
                <w:highlight w:val="none"/>
              </w:rPr>
            </w:pPr>
            <w:r>
              <w:rPr>
                <w:rFonts w:hint="eastAsia"/>
                <w:color w:val="auto"/>
                <w:sz w:val="21"/>
                <w:szCs w:val="21"/>
                <w:highlight w:val="none"/>
                <w:lang w:val="en-US" w:eastAsia="zh-CN"/>
              </w:rPr>
              <w:t>5、</w:t>
            </w:r>
            <w:r>
              <w:rPr>
                <w:rFonts w:hint="eastAsia"/>
                <w:color w:val="auto"/>
                <w:sz w:val="21"/>
                <w:szCs w:val="21"/>
                <w:highlight w:val="none"/>
              </w:rPr>
              <w:t>支持虚拟路由器冗余协议VRRP，有效保障网络稳定。</w:t>
            </w:r>
          </w:p>
          <w:p>
            <w:pPr>
              <w:pStyle w:val="63"/>
              <w:numPr>
                <w:ilvl w:val="0"/>
                <w:numId w:val="0"/>
              </w:numPr>
              <w:ind w:leftChars="0"/>
              <w:rPr>
                <w:color w:val="auto"/>
                <w:sz w:val="21"/>
                <w:szCs w:val="21"/>
                <w:highlight w:val="none"/>
              </w:rPr>
            </w:pPr>
            <w:r>
              <w:rPr>
                <w:rFonts w:hint="eastAsia"/>
                <w:color w:val="auto"/>
                <w:sz w:val="21"/>
                <w:szCs w:val="21"/>
                <w:highlight w:val="none"/>
                <w:lang w:val="en-US" w:eastAsia="zh-CN"/>
              </w:rPr>
              <w:t>6、</w:t>
            </w:r>
            <w:r>
              <w:rPr>
                <w:rFonts w:hint="eastAsia"/>
                <w:color w:val="auto"/>
                <w:sz w:val="21"/>
                <w:szCs w:val="21"/>
                <w:highlight w:val="none"/>
              </w:rPr>
              <w:t>支持虚拟化技术，可将多台物理设备虚拟化为一台逻辑设备统一管理；</w:t>
            </w:r>
          </w:p>
          <w:p>
            <w:pPr>
              <w:pStyle w:val="63"/>
              <w:numPr>
                <w:ilvl w:val="0"/>
                <w:numId w:val="0"/>
              </w:numPr>
              <w:ind w:leftChars="0"/>
              <w:rPr>
                <w:color w:val="auto"/>
                <w:sz w:val="21"/>
                <w:szCs w:val="21"/>
                <w:highlight w:val="none"/>
              </w:rPr>
            </w:pPr>
            <w:r>
              <w:rPr>
                <w:rFonts w:hint="eastAsia" w:ascii="宋体" w:hAnsi="宋体"/>
                <w:color w:val="auto"/>
                <w:sz w:val="21"/>
                <w:szCs w:val="21"/>
                <w:highlight w:val="none"/>
                <w:lang w:val="en-US" w:eastAsia="zh-CN"/>
              </w:rPr>
              <w:t>7、</w:t>
            </w:r>
            <w:r>
              <w:rPr>
                <w:rFonts w:hint="eastAsia" w:ascii="宋体" w:hAnsi="宋体"/>
                <w:color w:val="auto"/>
                <w:sz w:val="21"/>
                <w:szCs w:val="21"/>
                <w:highlight w:val="none"/>
              </w:rPr>
              <w:t>为了可以对交换机进行统一的可视化集中管理，要求所投交换机支持管理平台的集中管理，能够实现拓扑呈现，链路状态呈现，远程配置等，</w:t>
            </w:r>
            <w:r>
              <w:rPr>
                <w:rFonts w:ascii="宋体" w:hAnsi="宋体"/>
                <w:color w:val="auto"/>
                <w:sz w:val="21"/>
                <w:szCs w:val="21"/>
                <w:highlight w:val="none"/>
              </w:rPr>
              <w:t>实配网管平台，</w:t>
            </w:r>
            <w:r>
              <w:rPr>
                <w:rFonts w:hint="eastAsia"/>
                <w:color w:val="auto"/>
                <w:sz w:val="21"/>
                <w:szCs w:val="21"/>
                <w:highlight w:val="none"/>
              </w:rPr>
              <w:t>保留测试权力；</w:t>
            </w:r>
          </w:p>
          <w:p>
            <w:pPr>
              <w:pStyle w:val="63"/>
              <w:numPr>
                <w:ilvl w:val="0"/>
                <w:numId w:val="0"/>
              </w:numPr>
              <w:ind w:leftChars="0"/>
              <w:rPr>
                <w:color w:val="auto"/>
                <w:sz w:val="21"/>
                <w:szCs w:val="21"/>
                <w:highlight w:val="none"/>
              </w:rPr>
            </w:pPr>
            <w:r>
              <w:rPr>
                <w:rFonts w:hint="eastAsia"/>
                <w:color w:val="auto"/>
                <w:sz w:val="21"/>
                <w:szCs w:val="21"/>
                <w:highlight w:val="none"/>
                <w:lang w:val="en-US" w:eastAsia="zh-CN"/>
              </w:rPr>
              <w:t>8、</w:t>
            </w:r>
            <w:r>
              <w:rPr>
                <w:rFonts w:hint="eastAsia"/>
                <w:color w:val="auto"/>
                <w:sz w:val="21"/>
                <w:szCs w:val="21"/>
                <w:highlight w:val="none"/>
              </w:rPr>
              <w:t>要求所投产品支持ITU-TG.8032国际公有环网协议ERPS,并且链路故障的收敛时间≤50ms；</w:t>
            </w:r>
          </w:p>
          <w:p>
            <w:pPr>
              <w:pStyle w:val="63"/>
              <w:numPr>
                <w:ilvl w:val="0"/>
                <w:numId w:val="0"/>
              </w:numPr>
              <w:ind w:leftChars="0"/>
              <w:rPr>
                <w:color w:val="auto"/>
                <w:sz w:val="21"/>
                <w:szCs w:val="21"/>
                <w:highlight w:val="none"/>
              </w:rPr>
            </w:pPr>
            <w:r>
              <w:rPr>
                <w:rFonts w:hint="eastAsia"/>
                <w:color w:val="auto"/>
                <w:sz w:val="21"/>
                <w:szCs w:val="21"/>
                <w:highlight w:val="none"/>
                <w:lang w:val="en-US" w:eastAsia="zh-CN"/>
              </w:rPr>
              <w:t>9、</w:t>
            </w:r>
            <w:r>
              <w:rPr>
                <w:rFonts w:hint="eastAsia"/>
                <w:color w:val="auto"/>
                <w:sz w:val="21"/>
                <w:szCs w:val="21"/>
                <w:highlight w:val="none"/>
              </w:rPr>
              <w:t>要求所投产品支持快速链路检测协议，可快速检测链路的通断和光纤链路的单向性，并支持端口下的环路检测功能；</w:t>
            </w:r>
          </w:p>
          <w:p>
            <w:pPr>
              <w:pStyle w:val="63"/>
              <w:numPr>
                <w:ilvl w:val="0"/>
                <w:numId w:val="0"/>
              </w:numPr>
              <w:ind w:leftChars="0"/>
              <w:rPr>
                <w:rFonts w:ascii="宋体" w:hAnsi="宋体"/>
                <w:color w:val="auto"/>
                <w:sz w:val="21"/>
                <w:szCs w:val="21"/>
                <w:highlight w:val="none"/>
              </w:rPr>
            </w:pPr>
            <w:r>
              <w:rPr>
                <w:rFonts w:hint="eastAsia" w:ascii="宋体" w:hAnsi="宋体"/>
                <w:color w:val="auto"/>
                <w:sz w:val="21"/>
                <w:szCs w:val="21"/>
                <w:highlight w:val="none"/>
                <w:lang w:val="en-US" w:eastAsia="zh-CN"/>
              </w:rPr>
              <w:t>10、</w:t>
            </w:r>
            <w:r>
              <w:rPr>
                <w:rFonts w:hint="eastAsia" w:ascii="宋体" w:hAnsi="宋体"/>
                <w:color w:val="auto"/>
                <w:sz w:val="21"/>
                <w:szCs w:val="21"/>
                <w:highlight w:val="none"/>
              </w:rPr>
              <w:t>要求所投交换机可以通过同一品牌的网管软件实现CPU，内存利用率的查看，以及交换机VLAN划分等功能，</w:t>
            </w:r>
            <w:r>
              <w:rPr>
                <w:rFonts w:ascii="宋体" w:hAnsi="宋体"/>
                <w:color w:val="auto"/>
                <w:sz w:val="21"/>
                <w:szCs w:val="21"/>
                <w:highlight w:val="none"/>
              </w:rPr>
              <w:t>实配网管平台</w:t>
            </w:r>
            <w:r>
              <w:rPr>
                <w:rFonts w:hint="eastAsia" w:ascii="宋体" w:hAnsi="宋体"/>
                <w:color w:val="auto"/>
                <w:sz w:val="21"/>
                <w:szCs w:val="21"/>
                <w:highlight w:val="none"/>
                <w:lang w:eastAsia="zh-CN"/>
              </w:rPr>
              <w:t>；</w:t>
            </w:r>
            <w:r>
              <w:rPr>
                <w:rFonts w:hint="eastAsia"/>
                <w:color w:val="auto"/>
                <w:sz w:val="21"/>
                <w:szCs w:val="21"/>
                <w:highlight w:val="none"/>
              </w:rPr>
              <w:t>保留测试权力；</w:t>
            </w:r>
          </w:p>
          <w:p>
            <w:pPr>
              <w:pStyle w:val="63"/>
              <w:numPr>
                <w:ilvl w:val="0"/>
                <w:numId w:val="0"/>
              </w:numPr>
              <w:ind w:leftChars="0"/>
              <w:rPr>
                <w:color w:val="auto"/>
                <w:sz w:val="21"/>
                <w:szCs w:val="21"/>
                <w:highlight w:val="none"/>
              </w:rPr>
            </w:pPr>
            <w:r>
              <w:rPr>
                <w:rFonts w:hint="eastAsia" w:ascii="宋体" w:hAnsi="宋体"/>
                <w:color w:val="auto"/>
                <w:sz w:val="21"/>
                <w:szCs w:val="21"/>
                <w:highlight w:val="none"/>
                <w:lang w:val="en-US" w:eastAsia="zh-CN"/>
              </w:rPr>
              <w:t>11、</w:t>
            </w:r>
            <w:r>
              <w:rPr>
                <w:rFonts w:hint="eastAsia" w:ascii="宋体" w:hAnsi="宋体"/>
                <w:color w:val="auto"/>
                <w:sz w:val="21"/>
                <w:szCs w:val="21"/>
                <w:highlight w:val="none"/>
              </w:rPr>
              <w:t>要求所投产品支持网管平台集中管理，实配网管平台，出现交换机端口状态改变、网络出现环路、交换机端口流量过阀值等问题通过微信告警推送</w:t>
            </w:r>
            <w:r>
              <w:rPr>
                <w:rFonts w:hint="eastAsia"/>
                <w:color w:val="auto"/>
                <w:sz w:val="21"/>
                <w:szCs w:val="21"/>
                <w:highlight w:val="none"/>
              </w:rPr>
              <w:t>；保留测试权力；</w:t>
            </w:r>
          </w:p>
          <w:p>
            <w:pPr>
              <w:pStyle w:val="63"/>
              <w:widowControl/>
              <w:numPr>
                <w:ilvl w:val="0"/>
                <w:numId w:val="0"/>
              </w:numPr>
              <w:ind w:leftChars="0"/>
              <w:jc w:val="left"/>
              <w:rPr>
                <w:color w:val="auto"/>
                <w:sz w:val="21"/>
                <w:szCs w:val="21"/>
                <w:highlight w:val="none"/>
              </w:rPr>
            </w:pPr>
            <w:r>
              <w:rPr>
                <w:rFonts w:hint="eastAsia"/>
                <w:color w:val="auto"/>
                <w:sz w:val="21"/>
                <w:szCs w:val="21"/>
                <w:highlight w:val="none"/>
                <w:lang w:val="en-US" w:eastAsia="zh-CN"/>
              </w:rPr>
              <w:t>12、</w:t>
            </w:r>
            <w:r>
              <w:rPr>
                <w:color w:val="auto"/>
                <w:sz w:val="21"/>
                <w:szCs w:val="21"/>
                <w:highlight w:val="none"/>
              </w:rPr>
              <w:t>为方便新建项目开局，要求设备支持对全网同品牌设备进行统一的发现，并通过网关对交换、AP、AC进行集中化的调试，避免各区域分别调试的麻烦。</w:t>
            </w:r>
            <w:r>
              <w:rPr>
                <w:rFonts w:hint="eastAsia"/>
                <w:color w:val="auto"/>
                <w:sz w:val="21"/>
                <w:szCs w:val="21"/>
                <w:highlight w:val="none"/>
              </w:rPr>
              <w:t>保留测试权力；</w:t>
            </w:r>
          </w:p>
          <w:p>
            <w:pPr>
              <w:keepNext w:val="0"/>
              <w:keepLines w:val="0"/>
              <w:widowControl/>
              <w:suppressLineNumbers w:val="0"/>
              <w:jc w:val="left"/>
              <w:textAlignment w:val="center"/>
              <w:rPr>
                <w:rFonts w:hint="eastAsia" w:ascii="宋体" w:hAnsi="宋体" w:eastAsia="宋体" w:cs="宋体"/>
                <w:i w:val="0"/>
                <w:iCs w:val="0"/>
                <w:color w:val="auto"/>
                <w:kern w:val="2"/>
                <w:sz w:val="21"/>
                <w:szCs w:val="21"/>
                <w:highlight w:val="none"/>
                <w:u w:val="none"/>
                <w:lang w:val="en-US" w:eastAsia="zh-CN" w:bidi="ar-SA"/>
              </w:rPr>
            </w:pPr>
            <w:r>
              <w:rPr>
                <w:rFonts w:hint="eastAsia" w:ascii="宋体" w:hAnsi="宋体" w:eastAsia="宋体" w:cs="宋体"/>
                <w:i w:val="0"/>
                <w:iCs w:val="0"/>
                <w:color w:val="auto"/>
                <w:kern w:val="2"/>
                <w:sz w:val="21"/>
                <w:szCs w:val="21"/>
                <w:highlight w:val="none"/>
                <w:u w:val="none"/>
                <w:lang w:val="en-US" w:eastAsia="zh-CN" w:bidi="ar-SA"/>
              </w:rPr>
              <w:t>用作服务器等设备网络接入</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台</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5"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25</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交换机</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63"/>
              <w:widowControl/>
              <w:numPr>
                <w:ilvl w:val="0"/>
                <w:numId w:val="0"/>
              </w:numPr>
              <w:ind w:leftChars="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lang w:val="en-US" w:eastAsia="zh-CN"/>
              </w:rPr>
              <w:t>1、</w:t>
            </w:r>
            <w:r>
              <w:rPr>
                <w:rFonts w:hint="eastAsia" w:ascii="宋体" w:hAnsi="宋体" w:cs="宋体"/>
                <w:color w:val="auto"/>
                <w:kern w:val="0"/>
                <w:sz w:val="21"/>
                <w:szCs w:val="21"/>
                <w:highlight w:val="none"/>
              </w:rPr>
              <w:t>端口数量：</w:t>
            </w:r>
            <w:r>
              <w:rPr>
                <w:rFonts w:ascii="宋体" w:hAnsi="宋体" w:cs="宋体"/>
                <w:color w:val="auto"/>
                <w:kern w:val="0"/>
                <w:sz w:val="21"/>
                <w:szCs w:val="21"/>
                <w:highlight w:val="none"/>
              </w:rPr>
              <w:t>8个10/100/1000Mbps自适应以太网端口</w:t>
            </w:r>
            <w:r>
              <w:rPr>
                <w:rFonts w:hint="eastAsia" w:ascii="宋体" w:hAnsi="宋体" w:cs="宋体"/>
                <w:color w:val="auto"/>
                <w:kern w:val="0"/>
                <w:sz w:val="21"/>
                <w:szCs w:val="21"/>
                <w:highlight w:val="none"/>
                <w:lang w:eastAsia="zh-CN"/>
              </w:rPr>
              <w:t>；</w:t>
            </w:r>
          </w:p>
          <w:p>
            <w:pPr>
              <w:pStyle w:val="63"/>
              <w:widowControl/>
              <w:numPr>
                <w:ilvl w:val="0"/>
                <w:numId w:val="0"/>
              </w:numPr>
              <w:ind w:leftChars="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lang w:val="en-US" w:eastAsia="zh-CN"/>
              </w:rPr>
              <w:t>2、</w:t>
            </w:r>
            <w:r>
              <w:rPr>
                <w:rFonts w:hint="eastAsia" w:ascii="宋体" w:hAnsi="宋体" w:cs="宋体"/>
                <w:color w:val="auto"/>
                <w:kern w:val="0"/>
                <w:sz w:val="21"/>
                <w:szCs w:val="21"/>
                <w:highlight w:val="none"/>
              </w:rPr>
              <w:t>工作模式：半双工、全双工、自协商模式，支持</w:t>
            </w:r>
            <w:r>
              <w:rPr>
                <w:rFonts w:ascii="宋体" w:hAnsi="宋体" w:cs="宋体"/>
                <w:color w:val="auto"/>
                <w:kern w:val="0"/>
                <w:sz w:val="21"/>
                <w:szCs w:val="21"/>
                <w:highlight w:val="none"/>
              </w:rPr>
              <w:t>MDI/MDI-X自适应</w:t>
            </w:r>
            <w:r>
              <w:rPr>
                <w:rFonts w:hint="eastAsia" w:ascii="宋体" w:hAnsi="宋体" w:cs="宋体"/>
                <w:color w:val="auto"/>
                <w:kern w:val="0"/>
                <w:sz w:val="21"/>
                <w:szCs w:val="21"/>
                <w:highlight w:val="none"/>
                <w:lang w:eastAsia="zh-CN"/>
              </w:rPr>
              <w:t>；</w:t>
            </w:r>
          </w:p>
          <w:p>
            <w:pPr>
              <w:pStyle w:val="63"/>
              <w:widowControl/>
              <w:numPr>
                <w:ilvl w:val="0"/>
                <w:numId w:val="0"/>
              </w:numPr>
              <w:ind w:leftChars="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lang w:val="en-US" w:eastAsia="zh-CN"/>
              </w:rPr>
              <w:t>3、</w:t>
            </w:r>
            <w:r>
              <w:rPr>
                <w:rFonts w:hint="eastAsia" w:ascii="宋体" w:hAnsi="宋体" w:cs="宋体"/>
                <w:color w:val="auto"/>
                <w:kern w:val="0"/>
                <w:sz w:val="21"/>
                <w:szCs w:val="21"/>
                <w:highlight w:val="none"/>
              </w:rPr>
              <w:t>交换容量：</w:t>
            </w:r>
            <w:r>
              <w:rPr>
                <w:rFonts w:ascii="宋体" w:hAnsi="宋体" w:cs="宋体"/>
                <w:color w:val="auto"/>
                <w:kern w:val="0"/>
                <w:sz w:val="21"/>
                <w:szCs w:val="21"/>
                <w:highlight w:val="none"/>
              </w:rPr>
              <w:t>16Gbps</w:t>
            </w:r>
            <w:r>
              <w:rPr>
                <w:rFonts w:hint="eastAsia" w:ascii="宋体" w:hAnsi="宋体" w:cs="宋体"/>
                <w:color w:val="auto"/>
                <w:kern w:val="0"/>
                <w:sz w:val="21"/>
                <w:szCs w:val="21"/>
                <w:highlight w:val="none"/>
                <w:lang w:eastAsia="zh-CN"/>
              </w:rPr>
              <w:t>；</w:t>
            </w:r>
          </w:p>
          <w:p>
            <w:pPr>
              <w:pStyle w:val="63"/>
              <w:widowControl/>
              <w:numPr>
                <w:ilvl w:val="0"/>
                <w:numId w:val="0"/>
              </w:numPr>
              <w:ind w:leftChars="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lang w:val="en-US" w:eastAsia="zh-CN"/>
              </w:rPr>
              <w:t>4、</w:t>
            </w:r>
            <w:r>
              <w:rPr>
                <w:rFonts w:hint="eastAsia" w:ascii="宋体" w:hAnsi="宋体" w:cs="宋体"/>
                <w:color w:val="auto"/>
                <w:kern w:val="0"/>
                <w:sz w:val="21"/>
                <w:szCs w:val="21"/>
                <w:highlight w:val="none"/>
              </w:rPr>
              <w:t>包转发率：</w:t>
            </w:r>
            <w:r>
              <w:rPr>
                <w:rFonts w:ascii="宋体" w:hAnsi="宋体" w:cs="宋体"/>
                <w:color w:val="auto"/>
                <w:kern w:val="0"/>
                <w:sz w:val="21"/>
                <w:szCs w:val="21"/>
                <w:highlight w:val="none"/>
              </w:rPr>
              <w:t>11.9Mpps</w:t>
            </w:r>
            <w:r>
              <w:rPr>
                <w:rFonts w:hint="eastAsia" w:ascii="宋体" w:hAnsi="宋体" w:cs="宋体"/>
                <w:color w:val="auto"/>
                <w:kern w:val="0"/>
                <w:sz w:val="21"/>
                <w:szCs w:val="21"/>
                <w:highlight w:val="none"/>
                <w:lang w:eastAsia="zh-CN"/>
              </w:rPr>
              <w:t>；</w:t>
            </w:r>
          </w:p>
          <w:p>
            <w:pPr>
              <w:pStyle w:val="63"/>
              <w:widowControl/>
              <w:numPr>
                <w:ilvl w:val="0"/>
                <w:numId w:val="0"/>
              </w:numPr>
              <w:ind w:leftChars="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lang w:val="en-US" w:eastAsia="zh-CN"/>
              </w:rPr>
              <w:t>5、</w:t>
            </w:r>
            <w:r>
              <w:rPr>
                <w:rFonts w:ascii="宋体" w:hAnsi="宋体" w:cs="宋体"/>
                <w:color w:val="auto"/>
                <w:kern w:val="0"/>
                <w:sz w:val="21"/>
                <w:szCs w:val="21"/>
                <w:highlight w:val="none"/>
              </w:rPr>
              <w:t>MAC地址：2K</w:t>
            </w:r>
            <w:r>
              <w:rPr>
                <w:rFonts w:hint="eastAsia" w:ascii="宋体" w:hAnsi="宋体" w:cs="宋体"/>
                <w:color w:val="auto"/>
                <w:kern w:val="0"/>
                <w:sz w:val="21"/>
                <w:szCs w:val="21"/>
                <w:highlight w:val="none"/>
                <w:lang w:eastAsia="zh-CN"/>
              </w:rPr>
              <w:t>；</w:t>
            </w:r>
          </w:p>
          <w:p>
            <w:pPr>
              <w:pStyle w:val="63"/>
              <w:widowControl/>
              <w:numPr>
                <w:ilvl w:val="0"/>
                <w:numId w:val="0"/>
              </w:numPr>
              <w:ind w:leftChars="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lang w:val="en-US" w:eastAsia="zh-CN"/>
              </w:rPr>
              <w:t>6、</w:t>
            </w:r>
            <w:r>
              <w:rPr>
                <w:rFonts w:hint="eastAsia" w:ascii="宋体" w:hAnsi="宋体" w:cs="宋体"/>
                <w:color w:val="auto"/>
                <w:kern w:val="0"/>
                <w:sz w:val="21"/>
                <w:szCs w:val="21"/>
                <w:highlight w:val="none"/>
              </w:rPr>
              <w:t>风扇：无</w:t>
            </w:r>
            <w:r>
              <w:rPr>
                <w:rFonts w:hint="eastAsia" w:ascii="宋体" w:hAnsi="宋体" w:cs="宋体"/>
                <w:color w:val="auto"/>
                <w:kern w:val="0"/>
                <w:sz w:val="21"/>
                <w:szCs w:val="21"/>
                <w:highlight w:val="none"/>
                <w:lang w:eastAsia="zh-CN"/>
              </w:rPr>
              <w:t>；</w:t>
            </w:r>
          </w:p>
          <w:p>
            <w:pPr>
              <w:pStyle w:val="63"/>
              <w:widowControl/>
              <w:numPr>
                <w:ilvl w:val="0"/>
                <w:numId w:val="0"/>
              </w:numPr>
              <w:ind w:leftChars="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lang w:val="en-US" w:eastAsia="zh-CN"/>
              </w:rPr>
              <w:t>7、</w:t>
            </w:r>
            <w:r>
              <w:rPr>
                <w:rFonts w:hint="eastAsia" w:ascii="宋体" w:hAnsi="宋体" w:cs="宋体"/>
                <w:color w:val="auto"/>
                <w:kern w:val="0"/>
                <w:sz w:val="21"/>
                <w:szCs w:val="21"/>
                <w:highlight w:val="none"/>
              </w:rPr>
              <w:t>防雷：</w:t>
            </w:r>
            <w:r>
              <w:rPr>
                <w:rFonts w:ascii="宋体" w:hAnsi="宋体" w:cs="宋体"/>
                <w:color w:val="auto"/>
                <w:kern w:val="0"/>
                <w:sz w:val="21"/>
                <w:szCs w:val="21"/>
                <w:highlight w:val="none"/>
              </w:rPr>
              <w:t>4KV</w:t>
            </w:r>
            <w:r>
              <w:rPr>
                <w:rFonts w:hint="eastAsia" w:ascii="宋体" w:hAnsi="宋体" w:cs="宋体"/>
                <w:color w:val="auto"/>
                <w:kern w:val="0"/>
                <w:sz w:val="21"/>
                <w:szCs w:val="21"/>
                <w:highlight w:val="none"/>
                <w:lang w:eastAsia="zh-CN"/>
              </w:rPr>
              <w:t>；</w:t>
            </w:r>
          </w:p>
          <w:p>
            <w:pPr>
              <w:pStyle w:val="63"/>
              <w:widowControl/>
              <w:numPr>
                <w:ilvl w:val="0"/>
                <w:numId w:val="0"/>
              </w:numPr>
              <w:ind w:leftChars="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lang w:val="en-US" w:eastAsia="zh-CN"/>
              </w:rPr>
              <w:t>8、</w:t>
            </w:r>
            <w:r>
              <w:rPr>
                <w:rFonts w:ascii="宋体" w:hAnsi="宋体" w:cs="宋体"/>
                <w:color w:val="auto"/>
                <w:kern w:val="0"/>
                <w:sz w:val="21"/>
                <w:szCs w:val="21"/>
                <w:highlight w:val="none"/>
              </w:rPr>
              <w:t>PoE：不支持</w:t>
            </w:r>
            <w:r>
              <w:rPr>
                <w:rFonts w:hint="eastAsia" w:ascii="宋体" w:hAnsi="宋体" w:cs="宋体"/>
                <w:color w:val="auto"/>
                <w:kern w:val="0"/>
                <w:sz w:val="21"/>
                <w:szCs w:val="21"/>
                <w:highlight w:val="none"/>
                <w:lang w:eastAsia="zh-CN"/>
              </w:rPr>
              <w:t>；</w:t>
            </w:r>
          </w:p>
          <w:p>
            <w:pPr>
              <w:pStyle w:val="63"/>
              <w:widowControl/>
              <w:numPr>
                <w:ilvl w:val="0"/>
                <w:numId w:val="0"/>
              </w:numPr>
              <w:ind w:leftChars="0"/>
              <w:jc w:val="left"/>
              <w:rPr>
                <w:rFonts w:ascii="宋体" w:hAnsi="宋体" w:cs="宋体"/>
                <w:color w:val="auto"/>
                <w:kern w:val="0"/>
                <w:sz w:val="21"/>
                <w:szCs w:val="21"/>
                <w:highlight w:val="none"/>
              </w:rPr>
            </w:pPr>
            <w:r>
              <w:rPr>
                <w:rFonts w:hint="eastAsia" w:ascii="宋体" w:hAnsi="宋体" w:cs="宋体"/>
                <w:color w:val="auto"/>
                <w:kern w:val="0"/>
                <w:sz w:val="21"/>
                <w:szCs w:val="21"/>
                <w:highlight w:val="none"/>
                <w:lang w:val="en-US" w:eastAsia="zh-CN"/>
              </w:rPr>
              <w:t>9、</w:t>
            </w:r>
            <w:r>
              <w:rPr>
                <w:rFonts w:hint="eastAsia" w:ascii="宋体" w:hAnsi="宋体" w:cs="宋体"/>
                <w:color w:val="auto"/>
                <w:kern w:val="0"/>
                <w:sz w:val="21"/>
                <w:szCs w:val="21"/>
                <w:highlight w:val="none"/>
              </w:rPr>
              <w:t>工作温度：</w:t>
            </w:r>
            <w:r>
              <w:rPr>
                <w:rFonts w:ascii="宋体" w:hAnsi="宋体" w:cs="宋体"/>
                <w:color w:val="auto"/>
                <w:kern w:val="0"/>
                <w:sz w:val="21"/>
                <w:szCs w:val="21"/>
                <w:highlight w:val="none"/>
              </w:rPr>
              <w:t xml:space="preserve">0℃～40℃ </w:t>
            </w:r>
            <w:r>
              <w:rPr>
                <w:rFonts w:hint="eastAsia" w:ascii="宋体" w:hAnsi="宋体" w:cs="宋体"/>
                <w:color w:val="auto"/>
                <w:kern w:val="0"/>
                <w:sz w:val="21"/>
                <w:szCs w:val="21"/>
                <w:highlight w:val="none"/>
                <w:lang w:eastAsia="zh-CN"/>
              </w:rPr>
              <w:t>；</w:t>
            </w:r>
          </w:p>
          <w:p>
            <w:pPr>
              <w:pStyle w:val="63"/>
              <w:widowControl/>
              <w:numPr>
                <w:ilvl w:val="0"/>
                <w:numId w:val="0"/>
              </w:numPr>
              <w:ind w:leftChars="0"/>
              <w:jc w:val="left"/>
              <w:rPr>
                <w:rFonts w:hint="eastAsia" w:ascii="宋体" w:hAnsi="宋体" w:eastAsia="宋体" w:cs="宋体"/>
                <w:i w:val="0"/>
                <w:iCs w:val="0"/>
                <w:color w:val="auto"/>
                <w:sz w:val="21"/>
                <w:szCs w:val="21"/>
                <w:highlight w:val="none"/>
                <w:u w:val="none"/>
                <w:lang w:eastAsia="zh-CN"/>
              </w:rPr>
            </w:pPr>
            <w:r>
              <w:rPr>
                <w:rFonts w:hint="eastAsia" w:ascii="宋体" w:hAnsi="宋体" w:cs="宋体"/>
                <w:color w:val="auto"/>
                <w:kern w:val="0"/>
                <w:sz w:val="21"/>
                <w:szCs w:val="21"/>
                <w:highlight w:val="none"/>
                <w:lang w:val="en-US" w:eastAsia="zh-CN"/>
              </w:rPr>
              <w:t>10、</w:t>
            </w:r>
            <w:r>
              <w:rPr>
                <w:rFonts w:hint="eastAsia" w:ascii="宋体" w:hAnsi="宋体" w:cs="宋体"/>
                <w:color w:val="auto"/>
                <w:kern w:val="0"/>
                <w:sz w:val="21"/>
                <w:szCs w:val="21"/>
                <w:highlight w:val="none"/>
              </w:rPr>
              <w:t>尺寸：桌面式</w:t>
            </w:r>
            <w:r>
              <w:rPr>
                <w:rFonts w:hint="eastAsia" w:ascii="宋体" w:hAnsi="宋体" w:cs="宋体"/>
                <w:color w:val="auto"/>
                <w:kern w:val="0"/>
                <w:sz w:val="21"/>
                <w:szCs w:val="21"/>
                <w:highlight w:val="none"/>
                <w:lang w:eastAsia="zh-CN"/>
              </w:rPr>
              <w:t>；</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台</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6"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26</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千兆POE交换机</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63"/>
              <w:numPr>
                <w:ilvl w:val="0"/>
                <w:numId w:val="0"/>
              </w:numPr>
              <w:ind w:leftChars="0"/>
              <w:rPr>
                <w:rFonts w:hint="eastAsia" w:eastAsia="宋体"/>
                <w:color w:val="auto"/>
                <w:sz w:val="21"/>
                <w:szCs w:val="21"/>
                <w:highlight w:val="none"/>
                <w:lang w:eastAsia="zh-CN"/>
              </w:rPr>
            </w:pPr>
            <w:r>
              <w:rPr>
                <w:rFonts w:hint="eastAsia"/>
                <w:color w:val="auto"/>
                <w:sz w:val="21"/>
                <w:szCs w:val="21"/>
                <w:highlight w:val="none"/>
                <w:lang w:val="en-US" w:eastAsia="zh-CN"/>
              </w:rPr>
              <w:t>1、</w:t>
            </w:r>
            <w:r>
              <w:rPr>
                <w:rFonts w:hint="eastAsia"/>
                <w:color w:val="auto"/>
                <w:sz w:val="21"/>
                <w:szCs w:val="21"/>
                <w:highlight w:val="none"/>
              </w:rPr>
              <w:t>标准1U设备，支持固化千兆电口≥24个，固化千兆光口≥4个，交换容量≥336Gbps，包转发率≥</w:t>
            </w:r>
            <w:r>
              <w:rPr>
                <w:color w:val="auto"/>
                <w:sz w:val="21"/>
                <w:szCs w:val="21"/>
                <w:highlight w:val="none"/>
              </w:rPr>
              <w:t>42</w:t>
            </w:r>
            <w:r>
              <w:rPr>
                <w:rFonts w:hint="eastAsia"/>
                <w:color w:val="auto"/>
                <w:sz w:val="21"/>
                <w:szCs w:val="21"/>
                <w:highlight w:val="none"/>
              </w:rPr>
              <w:t>Mpps</w:t>
            </w:r>
            <w:r>
              <w:rPr>
                <w:rFonts w:hint="eastAsia"/>
                <w:color w:val="auto"/>
                <w:sz w:val="21"/>
                <w:szCs w:val="21"/>
                <w:highlight w:val="none"/>
                <w:lang w:eastAsia="zh-CN"/>
              </w:rPr>
              <w:t>；</w:t>
            </w:r>
          </w:p>
          <w:p>
            <w:pPr>
              <w:pStyle w:val="63"/>
              <w:numPr>
                <w:ilvl w:val="0"/>
                <w:numId w:val="0"/>
              </w:numPr>
              <w:ind w:leftChars="0"/>
              <w:rPr>
                <w:rFonts w:hint="eastAsia" w:eastAsia="宋体"/>
                <w:color w:val="auto"/>
                <w:sz w:val="21"/>
                <w:szCs w:val="21"/>
                <w:highlight w:val="none"/>
                <w:lang w:eastAsia="zh-CN"/>
              </w:rPr>
            </w:pPr>
            <w:r>
              <w:rPr>
                <w:rFonts w:hint="eastAsia"/>
                <w:color w:val="auto"/>
                <w:sz w:val="21"/>
                <w:szCs w:val="21"/>
                <w:highlight w:val="none"/>
                <w:lang w:val="en-US" w:eastAsia="zh-CN"/>
              </w:rPr>
              <w:t>2、</w:t>
            </w:r>
            <w:r>
              <w:rPr>
                <w:color w:val="auto"/>
                <w:sz w:val="21"/>
                <w:szCs w:val="21"/>
                <w:highlight w:val="none"/>
              </w:rPr>
              <w:t>支持PoE供电口</w:t>
            </w:r>
            <w:r>
              <w:rPr>
                <w:rFonts w:hint="eastAsia"/>
                <w:color w:val="auto"/>
                <w:sz w:val="21"/>
                <w:szCs w:val="21"/>
                <w:highlight w:val="none"/>
              </w:rPr>
              <w:t>≥</w:t>
            </w:r>
            <w:r>
              <w:rPr>
                <w:color w:val="auto"/>
                <w:sz w:val="21"/>
                <w:szCs w:val="21"/>
                <w:highlight w:val="none"/>
              </w:rPr>
              <w:t>24</w:t>
            </w:r>
            <w:r>
              <w:rPr>
                <w:rFonts w:hint="eastAsia"/>
                <w:color w:val="auto"/>
                <w:sz w:val="21"/>
                <w:szCs w:val="21"/>
                <w:highlight w:val="none"/>
              </w:rPr>
              <w:t>个，整机输出功率≥370W</w:t>
            </w:r>
            <w:r>
              <w:rPr>
                <w:color w:val="auto"/>
                <w:sz w:val="21"/>
                <w:szCs w:val="21"/>
                <w:highlight w:val="none"/>
              </w:rPr>
              <w:t>, 单口最大输出功率</w:t>
            </w:r>
            <w:r>
              <w:rPr>
                <w:rFonts w:hint="eastAsia"/>
                <w:color w:val="auto"/>
                <w:sz w:val="21"/>
                <w:szCs w:val="21"/>
                <w:highlight w:val="none"/>
              </w:rPr>
              <w:t>≥30W</w:t>
            </w:r>
            <w:r>
              <w:rPr>
                <w:rFonts w:hint="eastAsia"/>
                <w:color w:val="auto"/>
                <w:sz w:val="21"/>
                <w:szCs w:val="21"/>
                <w:highlight w:val="none"/>
                <w:lang w:eastAsia="zh-CN"/>
              </w:rPr>
              <w:t>；</w:t>
            </w:r>
          </w:p>
          <w:p>
            <w:pPr>
              <w:pStyle w:val="63"/>
              <w:numPr>
                <w:ilvl w:val="0"/>
                <w:numId w:val="0"/>
              </w:numPr>
              <w:ind w:leftChars="0"/>
              <w:rPr>
                <w:rFonts w:hint="eastAsia" w:eastAsia="宋体"/>
                <w:color w:val="auto"/>
                <w:sz w:val="21"/>
                <w:szCs w:val="21"/>
                <w:highlight w:val="none"/>
                <w:lang w:eastAsia="zh-CN"/>
              </w:rPr>
            </w:pPr>
            <w:r>
              <w:rPr>
                <w:rFonts w:hint="eastAsia"/>
                <w:color w:val="auto"/>
                <w:sz w:val="21"/>
                <w:szCs w:val="21"/>
                <w:highlight w:val="none"/>
                <w:lang w:val="en-US" w:eastAsia="zh-CN"/>
              </w:rPr>
              <w:t>3、</w:t>
            </w:r>
            <w:r>
              <w:rPr>
                <w:rFonts w:hint="eastAsia"/>
                <w:color w:val="auto"/>
                <w:sz w:val="21"/>
                <w:szCs w:val="21"/>
                <w:highlight w:val="none"/>
              </w:rPr>
              <w:t>为了方便设备的运维，支持通过APP进行远程管理PoE，支持远程重启Po</w:t>
            </w:r>
            <w:r>
              <w:rPr>
                <w:color w:val="auto"/>
                <w:sz w:val="21"/>
                <w:szCs w:val="21"/>
                <w:highlight w:val="none"/>
              </w:rPr>
              <w:t>E端口</w:t>
            </w:r>
            <w:r>
              <w:rPr>
                <w:rFonts w:hint="eastAsia"/>
                <w:color w:val="auto"/>
                <w:sz w:val="21"/>
                <w:szCs w:val="21"/>
                <w:highlight w:val="none"/>
              </w:rPr>
              <w:t>，并保留测试权力</w:t>
            </w:r>
            <w:r>
              <w:rPr>
                <w:rFonts w:hint="eastAsia"/>
                <w:color w:val="auto"/>
                <w:sz w:val="21"/>
                <w:szCs w:val="21"/>
                <w:highlight w:val="none"/>
                <w:lang w:eastAsia="zh-CN"/>
              </w:rPr>
              <w:t>；</w:t>
            </w:r>
          </w:p>
          <w:p>
            <w:pPr>
              <w:pStyle w:val="63"/>
              <w:numPr>
                <w:ilvl w:val="0"/>
                <w:numId w:val="0"/>
              </w:numPr>
              <w:ind w:leftChars="0"/>
              <w:rPr>
                <w:rFonts w:hint="eastAsia" w:eastAsia="宋体"/>
                <w:color w:val="auto"/>
                <w:sz w:val="21"/>
                <w:szCs w:val="21"/>
                <w:highlight w:val="none"/>
                <w:lang w:eastAsia="zh-CN"/>
              </w:rPr>
            </w:pPr>
            <w:r>
              <w:rPr>
                <w:rFonts w:hint="eastAsia"/>
                <w:color w:val="auto"/>
                <w:sz w:val="21"/>
                <w:szCs w:val="21"/>
                <w:highlight w:val="none"/>
                <w:lang w:val="en-US" w:eastAsia="zh-CN"/>
              </w:rPr>
              <w:t>4、</w:t>
            </w:r>
            <w:r>
              <w:rPr>
                <w:rFonts w:hint="eastAsia"/>
                <w:color w:val="auto"/>
                <w:sz w:val="21"/>
                <w:szCs w:val="21"/>
                <w:highlight w:val="none"/>
              </w:rPr>
              <w:t>支持生成树 STP</w:t>
            </w:r>
            <w:r>
              <w:rPr>
                <w:color w:val="auto"/>
                <w:sz w:val="21"/>
                <w:szCs w:val="21"/>
                <w:highlight w:val="none"/>
              </w:rPr>
              <w:t xml:space="preserve"> / RSTP ; </w:t>
            </w:r>
            <w:r>
              <w:rPr>
                <w:rFonts w:hint="eastAsia"/>
                <w:color w:val="auto"/>
                <w:sz w:val="21"/>
                <w:szCs w:val="21"/>
                <w:highlight w:val="none"/>
              </w:rPr>
              <w:t>提高容错能力，保证网络的稳定运行和链路的负载均衡，合理使用网络通道，提供冗余链路利用率</w:t>
            </w:r>
            <w:r>
              <w:rPr>
                <w:rFonts w:hint="eastAsia"/>
                <w:color w:val="auto"/>
                <w:sz w:val="21"/>
                <w:szCs w:val="21"/>
                <w:highlight w:val="none"/>
                <w:lang w:eastAsia="zh-CN"/>
              </w:rPr>
              <w:t>；</w:t>
            </w:r>
          </w:p>
          <w:p>
            <w:pPr>
              <w:pStyle w:val="63"/>
              <w:numPr>
                <w:ilvl w:val="0"/>
                <w:numId w:val="0"/>
              </w:numPr>
              <w:ind w:leftChars="0"/>
              <w:rPr>
                <w:rFonts w:hint="eastAsia" w:eastAsia="宋体"/>
                <w:color w:val="auto"/>
                <w:sz w:val="21"/>
                <w:szCs w:val="21"/>
                <w:highlight w:val="none"/>
                <w:lang w:eastAsia="zh-CN"/>
              </w:rPr>
            </w:pPr>
            <w:r>
              <w:rPr>
                <w:rFonts w:hint="eastAsia"/>
                <w:color w:val="auto"/>
                <w:sz w:val="21"/>
                <w:szCs w:val="21"/>
                <w:highlight w:val="none"/>
                <w:lang w:val="en-US" w:eastAsia="zh-CN"/>
              </w:rPr>
              <w:t>5、</w:t>
            </w:r>
            <w:r>
              <w:rPr>
                <w:rFonts w:hint="eastAsia"/>
                <w:color w:val="auto"/>
                <w:sz w:val="21"/>
                <w:szCs w:val="21"/>
                <w:highlight w:val="none"/>
              </w:rPr>
              <w:t>支持静态链路聚合</w:t>
            </w:r>
            <w:r>
              <w:rPr>
                <w:rFonts w:hint="eastAsia"/>
                <w:color w:val="auto"/>
                <w:sz w:val="21"/>
                <w:szCs w:val="21"/>
                <w:highlight w:val="none"/>
                <w:lang w:eastAsia="zh-CN"/>
              </w:rPr>
              <w:t>；</w:t>
            </w:r>
          </w:p>
          <w:p>
            <w:pPr>
              <w:pStyle w:val="63"/>
              <w:numPr>
                <w:ilvl w:val="0"/>
                <w:numId w:val="0"/>
              </w:numPr>
              <w:ind w:leftChars="0"/>
              <w:rPr>
                <w:rFonts w:hint="eastAsia" w:eastAsia="宋体"/>
                <w:color w:val="auto"/>
                <w:sz w:val="21"/>
                <w:szCs w:val="21"/>
                <w:highlight w:val="none"/>
                <w:lang w:eastAsia="zh-CN"/>
              </w:rPr>
            </w:pPr>
            <w:r>
              <w:rPr>
                <w:rFonts w:hint="eastAsia"/>
                <w:color w:val="auto"/>
                <w:sz w:val="21"/>
                <w:szCs w:val="21"/>
                <w:highlight w:val="none"/>
                <w:lang w:val="en-US" w:eastAsia="zh-CN"/>
              </w:rPr>
              <w:t>6、</w:t>
            </w:r>
            <w:r>
              <w:rPr>
                <w:rFonts w:hint="eastAsia"/>
                <w:color w:val="auto"/>
                <w:sz w:val="21"/>
                <w:szCs w:val="21"/>
                <w:highlight w:val="none"/>
              </w:rPr>
              <w:t>支持端口镜像，一对一镜像，多对一镜像</w:t>
            </w:r>
            <w:r>
              <w:rPr>
                <w:rFonts w:hint="eastAsia"/>
                <w:color w:val="auto"/>
                <w:sz w:val="21"/>
                <w:szCs w:val="21"/>
                <w:highlight w:val="none"/>
                <w:lang w:eastAsia="zh-CN"/>
              </w:rPr>
              <w:t>；</w:t>
            </w:r>
          </w:p>
          <w:p>
            <w:pPr>
              <w:pStyle w:val="63"/>
              <w:numPr>
                <w:ilvl w:val="0"/>
                <w:numId w:val="0"/>
              </w:numPr>
              <w:ind w:leftChars="0"/>
              <w:rPr>
                <w:rFonts w:hint="eastAsia" w:eastAsia="宋体"/>
                <w:color w:val="auto"/>
                <w:sz w:val="21"/>
                <w:szCs w:val="21"/>
                <w:highlight w:val="none"/>
                <w:lang w:eastAsia="zh-CN"/>
              </w:rPr>
            </w:pPr>
            <w:r>
              <w:rPr>
                <w:rFonts w:hint="eastAsia"/>
                <w:color w:val="auto"/>
                <w:sz w:val="21"/>
                <w:szCs w:val="21"/>
                <w:highlight w:val="none"/>
                <w:lang w:val="en-US" w:eastAsia="zh-CN"/>
              </w:rPr>
              <w:t>7、</w:t>
            </w:r>
            <w:r>
              <w:rPr>
                <w:rFonts w:hint="eastAsia"/>
                <w:color w:val="auto"/>
                <w:sz w:val="21"/>
                <w:szCs w:val="21"/>
                <w:highlight w:val="none"/>
              </w:rPr>
              <w:t>支持DHCP Snooping；很好的避免了上网终端从非法DHCP服务器分配的IP地址，引起的网络异常或安全隐患</w:t>
            </w:r>
            <w:r>
              <w:rPr>
                <w:rFonts w:hint="eastAsia"/>
                <w:color w:val="auto"/>
                <w:sz w:val="21"/>
                <w:szCs w:val="21"/>
                <w:highlight w:val="none"/>
                <w:lang w:eastAsia="zh-CN"/>
              </w:rPr>
              <w:t>；</w:t>
            </w:r>
          </w:p>
          <w:p>
            <w:pPr>
              <w:pStyle w:val="63"/>
              <w:numPr>
                <w:ilvl w:val="0"/>
                <w:numId w:val="0"/>
              </w:numPr>
              <w:ind w:leftChars="0"/>
              <w:rPr>
                <w:rFonts w:hint="eastAsia" w:eastAsia="宋体"/>
                <w:color w:val="auto"/>
                <w:sz w:val="21"/>
                <w:szCs w:val="21"/>
                <w:highlight w:val="none"/>
                <w:lang w:eastAsia="zh-CN"/>
              </w:rPr>
            </w:pPr>
            <w:r>
              <w:rPr>
                <w:rFonts w:hint="eastAsia"/>
                <w:color w:val="auto"/>
                <w:sz w:val="21"/>
                <w:szCs w:val="21"/>
                <w:highlight w:val="none"/>
                <w:lang w:val="en-US" w:eastAsia="zh-CN"/>
              </w:rPr>
              <w:t>8、</w:t>
            </w:r>
            <w:r>
              <w:rPr>
                <w:rFonts w:hint="eastAsia"/>
                <w:color w:val="auto"/>
                <w:sz w:val="21"/>
                <w:szCs w:val="21"/>
                <w:highlight w:val="none"/>
              </w:rPr>
              <w:t>支持VLAN划分，最大支持4094个VLAN</w:t>
            </w:r>
            <w:r>
              <w:rPr>
                <w:rFonts w:hint="eastAsia"/>
                <w:color w:val="auto"/>
                <w:sz w:val="21"/>
                <w:szCs w:val="21"/>
                <w:highlight w:val="none"/>
                <w:lang w:eastAsia="zh-CN"/>
              </w:rPr>
              <w:t>；</w:t>
            </w:r>
          </w:p>
          <w:p>
            <w:pPr>
              <w:pStyle w:val="63"/>
              <w:numPr>
                <w:ilvl w:val="0"/>
                <w:numId w:val="0"/>
              </w:numPr>
              <w:ind w:leftChars="0"/>
              <w:rPr>
                <w:color w:val="auto"/>
                <w:sz w:val="21"/>
                <w:szCs w:val="21"/>
                <w:highlight w:val="none"/>
              </w:rPr>
            </w:pPr>
            <w:r>
              <w:rPr>
                <w:rFonts w:hint="eastAsia"/>
                <w:color w:val="auto"/>
                <w:sz w:val="21"/>
                <w:szCs w:val="21"/>
                <w:highlight w:val="none"/>
                <w:lang w:val="en-US" w:eastAsia="zh-CN"/>
              </w:rPr>
              <w:t>9、</w:t>
            </w:r>
            <w:r>
              <w:rPr>
                <w:rFonts w:hint="eastAsia"/>
                <w:color w:val="auto"/>
                <w:sz w:val="21"/>
                <w:szCs w:val="21"/>
                <w:highlight w:val="none"/>
              </w:rPr>
              <w:t>为了可以对交换机进行统一的可视化集中管理，要求所投交换机支持管理平台的集中管理，能够实现拓扑呈现，链路状态呈现，远程配置等，</w:t>
            </w:r>
            <w:r>
              <w:rPr>
                <w:color w:val="auto"/>
                <w:sz w:val="21"/>
                <w:szCs w:val="21"/>
                <w:highlight w:val="none"/>
              </w:rPr>
              <w:t>实配网管平台，</w:t>
            </w:r>
            <w:r>
              <w:rPr>
                <w:rFonts w:hint="eastAsia"/>
                <w:color w:val="auto"/>
                <w:sz w:val="21"/>
                <w:szCs w:val="21"/>
                <w:highlight w:val="none"/>
              </w:rPr>
              <w:t>保留测试权力；</w:t>
            </w:r>
          </w:p>
          <w:p>
            <w:pPr>
              <w:pStyle w:val="63"/>
              <w:numPr>
                <w:ilvl w:val="0"/>
                <w:numId w:val="0"/>
              </w:numPr>
              <w:ind w:leftChars="0"/>
              <w:rPr>
                <w:color w:val="auto"/>
                <w:sz w:val="21"/>
                <w:szCs w:val="21"/>
                <w:highlight w:val="none"/>
              </w:rPr>
            </w:pPr>
            <w:r>
              <w:rPr>
                <w:rFonts w:hint="eastAsia"/>
                <w:color w:val="auto"/>
                <w:sz w:val="21"/>
                <w:szCs w:val="21"/>
                <w:highlight w:val="none"/>
                <w:lang w:val="en-US" w:eastAsia="zh-CN"/>
              </w:rPr>
              <w:t>10、</w:t>
            </w:r>
            <w:r>
              <w:rPr>
                <w:rFonts w:hint="eastAsia"/>
                <w:color w:val="auto"/>
                <w:sz w:val="21"/>
                <w:szCs w:val="21"/>
                <w:highlight w:val="none"/>
              </w:rPr>
              <w:t>要求所投交换机可以通过同一品牌的网管软件实现CPU，内存利用率的查看，以及交换机VLAN划分等功能，</w:t>
            </w:r>
            <w:r>
              <w:rPr>
                <w:color w:val="auto"/>
                <w:sz w:val="21"/>
                <w:szCs w:val="21"/>
                <w:highlight w:val="none"/>
              </w:rPr>
              <w:t>实配网管平台，</w:t>
            </w:r>
            <w:r>
              <w:rPr>
                <w:rFonts w:hint="eastAsia"/>
                <w:color w:val="auto"/>
                <w:sz w:val="21"/>
                <w:szCs w:val="21"/>
                <w:highlight w:val="none"/>
              </w:rPr>
              <w:t>保留测试权力；</w:t>
            </w:r>
          </w:p>
          <w:p>
            <w:pPr>
              <w:pStyle w:val="63"/>
              <w:numPr>
                <w:ilvl w:val="0"/>
                <w:numId w:val="0"/>
              </w:numPr>
              <w:ind w:leftChars="0"/>
              <w:rPr>
                <w:color w:val="auto"/>
                <w:sz w:val="21"/>
                <w:szCs w:val="21"/>
                <w:highlight w:val="none"/>
              </w:rPr>
            </w:pPr>
            <w:r>
              <w:rPr>
                <w:rFonts w:hint="eastAsia"/>
                <w:color w:val="auto"/>
                <w:sz w:val="21"/>
                <w:szCs w:val="21"/>
                <w:highlight w:val="none"/>
                <w:lang w:val="en-US" w:eastAsia="zh-CN"/>
              </w:rPr>
              <w:t>11、</w:t>
            </w:r>
            <w:r>
              <w:rPr>
                <w:rFonts w:hint="eastAsia"/>
                <w:color w:val="auto"/>
                <w:sz w:val="21"/>
                <w:szCs w:val="21"/>
                <w:highlight w:val="none"/>
              </w:rPr>
              <w:t>要求所投产品支持网管平台和手机APP集中管理，实配网管平台，出现交换机端口状态改变、网络出现环路、交换机端口流量过阀值等问题通过微信告警推送，保留测试权力；</w:t>
            </w:r>
          </w:p>
          <w:p>
            <w:pPr>
              <w:pStyle w:val="63"/>
              <w:numPr>
                <w:ilvl w:val="0"/>
                <w:numId w:val="0"/>
              </w:numPr>
              <w:ind w:leftChars="0"/>
              <w:rPr>
                <w:color w:val="auto"/>
                <w:sz w:val="21"/>
                <w:szCs w:val="21"/>
                <w:highlight w:val="none"/>
              </w:rPr>
            </w:pPr>
            <w:r>
              <w:rPr>
                <w:rFonts w:hint="eastAsia"/>
                <w:color w:val="auto"/>
                <w:sz w:val="21"/>
                <w:szCs w:val="21"/>
                <w:highlight w:val="none"/>
                <w:lang w:val="en-US" w:eastAsia="zh-CN"/>
              </w:rPr>
              <w:t>12、</w:t>
            </w:r>
            <w:r>
              <w:rPr>
                <w:color w:val="auto"/>
                <w:sz w:val="21"/>
                <w:szCs w:val="21"/>
                <w:highlight w:val="none"/>
              </w:rPr>
              <w:t>为方便新建项目开局，要求设备支持对全网同品牌设备进行统一的发现，并通过网关对交换、AP、AC进行集中化的调试，避免各区域分别调试的麻烦。</w:t>
            </w:r>
            <w:r>
              <w:rPr>
                <w:rFonts w:hint="eastAsia"/>
                <w:color w:val="auto"/>
                <w:sz w:val="21"/>
                <w:szCs w:val="21"/>
                <w:highlight w:val="none"/>
              </w:rPr>
              <w:t>保留测试权力；</w:t>
            </w:r>
          </w:p>
          <w:p>
            <w:pPr>
              <w:pStyle w:val="63"/>
              <w:numPr>
                <w:ilvl w:val="0"/>
                <w:numId w:val="0"/>
              </w:numPr>
              <w:ind w:leftChars="0"/>
              <w:rPr>
                <w:color w:val="auto"/>
                <w:sz w:val="21"/>
                <w:szCs w:val="21"/>
                <w:highlight w:val="none"/>
              </w:rPr>
            </w:pPr>
            <w:r>
              <w:rPr>
                <w:rFonts w:hint="eastAsia" w:ascii="Segoe UI Symbol" w:hAnsi="Segoe UI Symbol" w:cs="Segoe UI Symbol"/>
                <w:color w:val="auto"/>
                <w:sz w:val="21"/>
                <w:szCs w:val="21"/>
                <w:highlight w:val="none"/>
                <w:lang w:val="en-US" w:eastAsia="zh-CN"/>
              </w:rPr>
              <w:t>13、</w:t>
            </w:r>
            <w:r>
              <w:rPr>
                <w:color w:val="auto"/>
                <w:sz w:val="21"/>
                <w:szCs w:val="21"/>
                <w:highlight w:val="none"/>
              </w:rPr>
              <w:t>为方便新建项目开局，要求设备支持</w:t>
            </w:r>
            <w:r>
              <w:rPr>
                <w:rFonts w:hint="eastAsia"/>
                <w:color w:val="auto"/>
                <w:sz w:val="21"/>
                <w:szCs w:val="21"/>
                <w:highlight w:val="none"/>
              </w:rPr>
              <w:t>APP</w:t>
            </w:r>
            <w:r>
              <w:rPr>
                <w:color w:val="auto"/>
                <w:sz w:val="21"/>
                <w:szCs w:val="21"/>
                <w:highlight w:val="none"/>
              </w:rPr>
              <w:t>进行统一的发现、调试、</w:t>
            </w:r>
            <w:r>
              <w:rPr>
                <w:rFonts w:hint="eastAsia"/>
                <w:color w:val="auto"/>
                <w:sz w:val="21"/>
                <w:szCs w:val="21"/>
                <w:highlight w:val="none"/>
              </w:rPr>
              <w:t>运维，保留测试权力；</w:t>
            </w:r>
          </w:p>
          <w:p>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用作监控等POE供电设备网络接入</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台</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05"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27</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机柜</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1、黑色钢化玻璃门机柜 ；</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2、尺寸：600*600*1200；</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3、配备：1个8位10A PDU；</w:t>
            </w:r>
          </w:p>
          <w:p>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4、用作安装交换机等设备；</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台</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8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28</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工业路由器</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6" w:lineRule="atLeast"/>
              <w:ind w:left="0" w:right="0" w:firstLine="0"/>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1、千兆7模4G路由器；</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6" w:lineRule="atLeast"/>
              <w:ind w:left="0" w:right="0" w:firstLine="0"/>
              <w:jc w:val="left"/>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2、支持 TD-LTE/FDD-LTE/WCDMA/TD-SCDMA/CDMA2000/GSM/CDMA 1X制式。5个10/100M以太口，1个USB端口，1个SIM卡插槽，2个外置SMA天线接头，支持；</w:t>
            </w:r>
          </w:p>
          <w:p>
            <w:pPr>
              <w:pStyle w:val="21"/>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26" w:lineRule="atLeast"/>
              <w:ind w:left="0" w:right="0" w:firstLine="0"/>
              <w:jc w:val="left"/>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3、TD-LTE/FDD-LTE/WCDMA/COMA2000,TD-SCDMA/CDMA/GSM模式，标配2条4G短棒天线，标准+12VDC电源接口，标配1个220VAV/DC电源适配器，、国密加密SM1-SM2-SM3-SM4算法；</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8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29</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 xml:space="preserve"> 多功能打印一体机</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1、基础参数：</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产品类型：黑白激光多功能一体机；</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功能：打印/复印/扫描  手动双面；</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最大处理幅面：A4 ；</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2、打印功能</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黑白打印速度：18ppm ；</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打印分辨率：600×600dpi ；</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首页打印时间：8.5秒 ；</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月打印负荷：7500页；</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3、复印功能</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复印速度：18cpm ；</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复印分辨率：300×300dpi；</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4、扫描功能</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扫描类型：平板；</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扫描速度：6ppm ；</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光学分辨率：1200×1200dpi ；</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扫描格式：PDF，TIF，BMP，GIF，JPG ；</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5、介质规格</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介质类型：普通纸，激光打印纸，信封，投影胶片，标签，卡片，明信片；</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介质尺寸：A4，A5，A6，B5(JIS)；</w:t>
            </w:r>
          </w:p>
          <w:p>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用作外出执法办公使用</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台</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15"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30</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报警按钮</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1、紧急按钮，采用ABS材质，性能稳定，经久耐用，操作安装简单，实用性强；</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2、外壳材料：ABS；</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3、工作电压（V/DC)：≤250；</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4、工作电流(mA)：≤300；</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5、触点模式(NC\NO)：常开/常闭；</w:t>
            </w:r>
          </w:p>
          <w:p>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6、用作突发情况紧急上报监控指挥室；</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个</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5"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31</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网络报警模块</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1RJ45输入口，1输出口，12V</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个</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4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32</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声光报警器</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1、声光报警器(红/白双色外观)；</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2、ABS阻燃外壳材料，质量可靠；</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3、可联网报警，超大报警音量、威摄力强的有线声光警号；</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4、额定工作电压(V/DC):12V；</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5、工作电压范围(V):9-15V；</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6、工作电流范围(mA):≤300；</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7、声压(dB):≥105dB/m；</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8、连续工作时间:≥45min DC12V；</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9、闪灯次数(分钟):200±30；</w:t>
            </w:r>
          </w:p>
          <w:p>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10、用于警员接收报警信息；</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个</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65"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33</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通用型车载取证</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1、产品类型：车载取证(主机、云台、手控器、显示屏)；</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2、视频通道：1路H.265高清1080P云台+4路H.265网络1080P IPC(6芯航空头对接)；</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3、存储容量：标配1T硬盘(最大支持2块2.5寸硬盘)；</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4、通信模块：电信4G（全网通）；</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5、定位模块：标配GPS&amp;北斗；</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6、WIFI模块；</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7、电源输入：DC+8V～+36V；</w:t>
            </w:r>
          </w:p>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8、云台参数：1080P分辨率,30倍光学变焦，IP66防护等级；</w:t>
            </w:r>
          </w:p>
          <w:p>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 xml:space="preserve">9、显示屏：标配7寸LED显示屏，分辨率1024X600 RGB，支持触摸屏操作； </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8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34</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车载广播功放及高音喇叭</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1"/>
                <w:szCs w:val="21"/>
                <w:highlight w:val="none"/>
                <w:u w:val="none"/>
                <w:lang w:val="en-US" w:eastAsia="zh-CN"/>
              </w:rPr>
            </w:pPr>
            <w:r>
              <w:rPr>
                <w:rFonts w:hint="eastAsia" w:ascii="宋体" w:hAnsi="宋体" w:eastAsia="宋体" w:cs="宋体"/>
                <w:i w:val="0"/>
                <w:iCs w:val="0"/>
                <w:color w:val="auto"/>
                <w:kern w:val="0"/>
                <w:sz w:val="21"/>
                <w:szCs w:val="21"/>
                <w:highlight w:val="none"/>
                <w:u w:val="none"/>
                <w:lang w:val="en-US" w:eastAsia="zh-CN"/>
              </w:rPr>
              <w:t>支持U盘，SD卡MP3扩音播放，话筒讲话，电脑自动收音，液晶时钟频率显示，功率400W；</w:t>
            </w:r>
          </w:p>
          <w:p>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配置高音喇叭、专用防雨低音喇叭一套，专用扩音器一台，专用话筒一只，磁吸式支架一套；</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5"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35</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车辆改造</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车内线路整改，加装操作台，逆变器等；</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套</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10" w:hRule="atLeast"/>
        </w:trPr>
        <w:tc>
          <w:tcPr>
            <w:tcW w:w="5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36</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辅材及施工费</w:t>
            </w:r>
          </w:p>
        </w:tc>
        <w:tc>
          <w:tcPr>
            <w:tcW w:w="702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音视频线缆，超五类网线，超六类网线，电源线缆，接插件，线槽，线管，及施工费用；</w:t>
            </w:r>
          </w:p>
        </w:tc>
        <w:tc>
          <w:tcPr>
            <w:tcW w:w="55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批</w:t>
            </w:r>
          </w:p>
        </w:tc>
        <w:tc>
          <w:tcPr>
            <w:tcW w:w="6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1"/>
                <w:szCs w:val="21"/>
                <w:highlight w:val="none"/>
                <w:u w:val="none"/>
              </w:rPr>
            </w:pPr>
            <w:r>
              <w:rPr>
                <w:rFonts w:hint="eastAsia" w:ascii="宋体" w:hAnsi="宋体" w:eastAsia="宋体" w:cs="宋体"/>
                <w:i w:val="0"/>
                <w:iCs w:val="0"/>
                <w:color w:val="auto"/>
                <w:kern w:val="0"/>
                <w:sz w:val="21"/>
                <w:szCs w:val="21"/>
                <w:highlight w:val="none"/>
                <w:u w:val="none"/>
                <w:lang w:val="en-US" w:eastAsia="zh-CN"/>
              </w:rPr>
              <w:t>1</w:t>
            </w:r>
          </w:p>
        </w:tc>
      </w:tr>
    </w:tbl>
    <w:p>
      <w:pPr>
        <w:pStyle w:val="8"/>
        <w:rPr>
          <w:rFonts w:hint="eastAsia" w:ascii="宋体" w:hAnsi="宋体" w:eastAsia="宋体" w:cs="宋体"/>
          <w:color w:val="auto"/>
          <w:sz w:val="21"/>
          <w:szCs w:val="20"/>
          <w:highlight w:val="none"/>
          <w:lang w:val="en-US" w:eastAsia="zh-CN"/>
        </w:rPr>
      </w:pPr>
    </w:p>
    <w:p>
      <w:pPr>
        <w:rPr>
          <w:color w:val="auto"/>
          <w:highlight w:val="none"/>
        </w:rPr>
      </w:pPr>
    </w:p>
    <w:p>
      <w:pPr>
        <w:spacing w:line="440" w:lineRule="exact"/>
        <w:ind w:firstLine="562" w:firstLineChars="200"/>
        <w:jc w:val="center"/>
        <w:outlineLvl w:val="1"/>
        <w:rPr>
          <w:rFonts w:hint="eastAsia" w:ascii="宋体" w:hAnsi="宋体" w:eastAsia="宋体"/>
          <w:b/>
          <w:color w:val="auto"/>
          <w:sz w:val="28"/>
          <w:szCs w:val="28"/>
          <w:highlight w:val="none"/>
        </w:rPr>
      </w:pPr>
    </w:p>
    <w:p>
      <w:pPr>
        <w:spacing w:line="440" w:lineRule="exact"/>
        <w:ind w:firstLine="562" w:firstLineChars="200"/>
        <w:jc w:val="center"/>
        <w:outlineLvl w:val="1"/>
        <w:rPr>
          <w:rFonts w:hint="eastAsia" w:ascii="宋体" w:hAnsi="宋体" w:eastAsia="宋体"/>
          <w:b/>
          <w:color w:val="auto"/>
          <w:sz w:val="28"/>
          <w:szCs w:val="28"/>
          <w:highlight w:val="none"/>
        </w:rPr>
      </w:pPr>
    </w:p>
    <w:p>
      <w:pPr>
        <w:spacing w:line="440" w:lineRule="exact"/>
        <w:ind w:firstLine="562" w:firstLineChars="200"/>
        <w:jc w:val="center"/>
        <w:outlineLvl w:val="1"/>
        <w:rPr>
          <w:rFonts w:hint="eastAsia" w:ascii="宋体" w:hAnsi="宋体" w:eastAsia="宋体"/>
          <w:b/>
          <w:color w:val="auto"/>
          <w:sz w:val="28"/>
          <w:szCs w:val="28"/>
          <w:highlight w:val="none"/>
        </w:rPr>
      </w:pPr>
    </w:p>
    <w:p>
      <w:pPr>
        <w:spacing w:line="440" w:lineRule="exact"/>
        <w:ind w:firstLine="562" w:firstLineChars="200"/>
        <w:jc w:val="center"/>
        <w:outlineLvl w:val="1"/>
        <w:rPr>
          <w:rFonts w:hint="eastAsia" w:ascii="宋体" w:hAnsi="宋体" w:eastAsia="宋体"/>
          <w:b/>
          <w:color w:val="auto"/>
          <w:sz w:val="28"/>
          <w:szCs w:val="28"/>
          <w:highlight w:val="none"/>
        </w:rPr>
      </w:pPr>
    </w:p>
    <w:p>
      <w:pPr>
        <w:spacing w:line="440" w:lineRule="exact"/>
        <w:ind w:firstLine="562" w:firstLineChars="200"/>
        <w:jc w:val="center"/>
        <w:outlineLvl w:val="1"/>
        <w:rPr>
          <w:rFonts w:hint="eastAsia" w:ascii="宋体" w:hAnsi="宋体" w:eastAsia="宋体"/>
          <w:b/>
          <w:color w:val="auto"/>
          <w:sz w:val="28"/>
          <w:szCs w:val="28"/>
          <w:highlight w:val="none"/>
        </w:rPr>
      </w:pPr>
    </w:p>
    <w:p>
      <w:pPr>
        <w:spacing w:line="440" w:lineRule="exact"/>
        <w:ind w:firstLine="562" w:firstLineChars="200"/>
        <w:jc w:val="center"/>
        <w:outlineLvl w:val="0"/>
        <w:rPr>
          <w:rFonts w:ascii="宋体" w:hAnsi="宋体" w:eastAsia="宋体"/>
          <w:b/>
          <w:color w:val="auto"/>
          <w:sz w:val="28"/>
          <w:szCs w:val="28"/>
          <w:highlight w:val="none"/>
        </w:rPr>
      </w:pPr>
      <w:bookmarkStart w:id="82" w:name="_Toc23566"/>
      <w:r>
        <w:rPr>
          <w:rFonts w:hint="eastAsia" w:ascii="宋体" w:hAnsi="宋体" w:eastAsia="宋体"/>
          <w:b/>
          <w:color w:val="auto"/>
          <w:sz w:val="28"/>
          <w:szCs w:val="28"/>
          <w:highlight w:val="none"/>
        </w:rPr>
        <w:t>第五章  合同签订及条款</w:t>
      </w:r>
      <w:bookmarkEnd w:id="82"/>
    </w:p>
    <w:p>
      <w:pPr>
        <w:spacing w:line="440" w:lineRule="exact"/>
        <w:ind w:firstLine="480" w:firstLineChars="200"/>
        <w:rPr>
          <w:rFonts w:ascii="宋体" w:hAnsi="宋体" w:cs="宋体"/>
          <w:color w:val="auto"/>
          <w:szCs w:val="21"/>
          <w:highlight w:val="none"/>
        </w:rPr>
      </w:pPr>
      <w:bookmarkStart w:id="83" w:name="_Toc1706"/>
      <w:r>
        <w:rPr>
          <w:rFonts w:ascii="宋体" w:hAnsi="宋体" w:eastAsia="宋体"/>
          <w:color w:val="auto"/>
          <w:sz w:val="24"/>
          <w:szCs w:val="24"/>
          <w:highlight w:val="none"/>
        </w:rPr>
        <w:t>1</w:t>
      </w:r>
      <w:r>
        <w:rPr>
          <w:rFonts w:hint="eastAsia" w:ascii="宋体" w:hAnsi="宋体" w:cs="宋体"/>
          <w:color w:val="auto"/>
          <w:szCs w:val="21"/>
          <w:highlight w:val="none"/>
        </w:rPr>
        <w:t>.合同签订</w:t>
      </w:r>
      <w:bookmarkEnd w:id="83"/>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1.1 中标人应按中标通知书指定的时间、地点，与采购人签订合同。中标人与采购人不得签订背离招标文件实质性内容的合同，否则合同无效。</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1.2 如采购人或中标人拒签合同，则按违约处理。</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1.3 如中标人不按本招标文件要求签订合同，则取消其中标资格。招标人并依法追究中标人的缔约过失责任及其他法律责任。</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1.4 采购人追加合同标的权利：签订合同后，采购人如需追加与合同标的相同的货物、工程或者服务的，在不改变本合同其他条款的前提下，可以与中标人协商签订补充合同，但所有补充合同的采购金额不得超过原合同采购金额的10%。</w:t>
      </w:r>
      <w:r>
        <w:rPr>
          <w:rFonts w:hint="eastAsia" w:ascii="宋体" w:hAnsi="宋体" w:cs="宋体"/>
          <w:color w:val="auto"/>
          <w:szCs w:val="21"/>
          <w:highlight w:val="none"/>
        </w:rPr>
        <w:tab/>
      </w:r>
    </w:p>
    <w:p>
      <w:pPr>
        <w:spacing w:line="440" w:lineRule="exact"/>
        <w:ind w:firstLine="420" w:firstLineChars="200"/>
        <w:rPr>
          <w:rFonts w:ascii="宋体" w:hAnsi="宋体" w:cs="宋体"/>
          <w:color w:val="auto"/>
          <w:szCs w:val="21"/>
          <w:highlight w:val="none"/>
        </w:rPr>
      </w:pPr>
      <w:bookmarkStart w:id="84" w:name="_Toc488422014"/>
      <w:bookmarkStart w:id="85" w:name="_Toc9383"/>
      <w:bookmarkStart w:id="86" w:name="_Toc421284761"/>
      <w:bookmarkStart w:id="87" w:name="_Toc8336"/>
      <w:bookmarkStart w:id="88" w:name="_Toc32638"/>
      <w:bookmarkStart w:id="89" w:name="_Toc21209"/>
      <w:bookmarkStart w:id="90" w:name="_Toc27043"/>
      <w:bookmarkStart w:id="91" w:name="_Toc6716"/>
      <w:bookmarkStart w:id="92" w:name="_Toc18545"/>
      <w:bookmarkStart w:id="93" w:name="_Toc488422613"/>
      <w:bookmarkStart w:id="94" w:name="_Toc3663"/>
      <w:r>
        <w:rPr>
          <w:rFonts w:hint="eastAsia" w:ascii="宋体" w:hAnsi="宋体" w:cs="宋体"/>
          <w:color w:val="auto"/>
          <w:szCs w:val="21"/>
          <w:highlight w:val="none"/>
        </w:rPr>
        <w:t>2.合同一般条款</w:t>
      </w:r>
      <w:bookmarkEnd w:id="84"/>
      <w:bookmarkEnd w:id="85"/>
      <w:bookmarkEnd w:id="86"/>
      <w:bookmarkEnd w:id="87"/>
      <w:bookmarkEnd w:id="88"/>
      <w:bookmarkEnd w:id="89"/>
      <w:bookmarkEnd w:id="90"/>
      <w:bookmarkEnd w:id="91"/>
      <w:bookmarkEnd w:id="92"/>
      <w:bookmarkEnd w:id="93"/>
      <w:bookmarkEnd w:id="94"/>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2.1、定义</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（1）甲方（需方）即采购人，是指通过招标采购，接受合同货物及服务的各级国家机关、事业单位和团体组织。</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（2）乙方（供方）即中标供应商，是指中标后提供合同货物和服务的自然人、法人及其他组织。</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（3）合同是指由甲乙双方按照招标文件和投标文件的实质性内容，通过协商一致达成的书面协议。</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（4）合同价格指以中标价格为依据，在供方全面履行合同义务后，需方应支付给供方的金额。</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（5）技术资料是指合同货物及其相关的设计、制造、监造、检验、验收等文件（包括图纸、各种文字说明、标准）。</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2.2、货物内容</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合同包括以下内容：货物名称、规格型号、技术参数、数量（单位）等内容。</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2.3、合同价格</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（1）合同价格即合同总价。</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（2）合同价格包括合同货物、技术资料、合同货物的税费、运杂费、保险费、包装费、装卸费及与货物有关的供方应纳的税费等，所有税费由乙方负担。</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2.4、转包或分包</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（1）本合同范围的货物，应由乙方直接供应，不得转让他人供应；</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（2）非经甲方书面同意，乙方不得将本合同范围的货物全部或部分分包给他人供应；</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（3）如有转让和未经甲方同意的分包行为，甲方有权解除合同，履约保证金不予退还并追究乙方的违约责任。</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2.5、质量保证及售后服务</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（1）乙方应按招标文件规定的货物性能、技术要求、质量标准向甲方提供未经使用的全新产品。</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（2）乙方提供的货物在质保期内因货物本身的质量问题发生故障，乙方应负责免费更换。对达不到技术要求者，根据实际情况，经双方协商，可按以下办法处理：</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A、更换：由乙方承担所发生的全部费用。</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B、退货处理：乙方应退还甲方支付的合同款，同时应承担该货物的直接费用（运输、保险、检验、货款利息及银行手续费等）。</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（3）如在使用过程中发生质量问题，乙方在接到甲方通知后在X小时内到达甲方现场。</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（4）在质保期内，乙方应对货物出现的质量及安全问题负责处理解决并承担一切费用。</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（5）上述货物的免费保修期按照国家有关规定标准执行，终生维修，维修时只收部件成本费。</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（6）乙方提供的货物由原厂提供售后服务的，乙方必须提供原厂商出具的售后服务承诺函（原件）。</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2.6、付款</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（1）本合同使用货币币制为人民币。</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（2）付款方式及方法：按专用条款执行。</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2.7、检查验收</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（1）供方应随货物提供合格证和质量证明文件，如是国外进口的货物还须提供入关证明。</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（2）货物验收</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（3）货物验收报告应由需方、供方经办人签字，并加盖双方公章，以此作为支付凭据。</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2.8、索赔</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供方所提供货物、工程或者服务不符合合同约定的，需方有权拒收货物、拒绝服务、解除合同，供方应赔偿需方所有损失。</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2.9、知识产权</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乙方应保证所提供的货物或其任何一部分均不会侵犯任何第三方的知识产权，如若出现侵权行为，由乙方付全部责任。</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2.10、人员培训：供方免费对需方人员进行技术培训，直到需方人员熟练操作或掌握为准。</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培训地点：；培训时间：；</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培训方式：</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 xml:space="preserve">    2.11、违约责任</w:t>
      </w: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按专用条款及招标文件的其他有关约定执行。专用条款及招标文件约定不明或未约定的，按照《中华人民共和国合同法》、《中华人民共和国政府采购法》的有关规定执行。</w:t>
      </w:r>
      <w:bookmarkStart w:id="95" w:name="_Toc17676"/>
      <w:bookmarkStart w:id="96" w:name="_Toc421284762"/>
      <w:bookmarkStart w:id="97" w:name="_Toc15325"/>
      <w:bookmarkStart w:id="98" w:name="_Toc17461"/>
      <w:bookmarkStart w:id="99" w:name="_Toc13625"/>
      <w:bookmarkStart w:id="100" w:name="_Toc488422614"/>
      <w:bookmarkStart w:id="101" w:name="_Toc5009"/>
      <w:bookmarkStart w:id="102" w:name="_Toc18962"/>
      <w:bookmarkStart w:id="103" w:name="_Toc1746"/>
      <w:bookmarkStart w:id="104" w:name="_Toc488422015"/>
      <w:bookmarkStart w:id="105" w:name="_Toc24549"/>
      <w:bookmarkStart w:id="106" w:name="_Toc27148142"/>
    </w:p>
    <w:p>
      <w:pPr>
        <w:spacing w:line="440" w:lineRule="exact"/>
        <w:ind w:firstLine="420" w:firstLineChars="200"/>
        <w:rPr>
          <w:rFonts w:ascii="宋体" w:hAnsi="宋体" w:cs="宋体"/>
          <w:color w:val="auto"/>
          <w:szCs w:val="21"/>
          <w:highlight w:val="none"/>
        </w:rPr>
      </w:pPr>
    </w:p>
    <w:p>
      <w:pPr>
        <w:spacing w:line="440" w:lineRule="exact"/>
        <w:ind w:firstLine="422" w:firstLineChars="200"/>
        <w:jc w:val="center"/>
        <w:rPr>
          <w:rFonts w:ascii="宋体" w:hAnsi="宋体" w:cs="宋体"/>
          <w:color w:val="auto"/>
          <w:szCs w:val="21"/>
          <w:highlight w:val="none"/>
        </w:rPr>
      </w:pPr>
      <w:r>
        <w:rPr>
          <w:rFonts w:hint="eastAsia" w:ascii="宋体" w:hAnsi="宋体" w:cs="宋体"/>
          <w:b/>
          <w:bCs/>
          <w:color w:val="auto"/>
          <w:szCs w:val="21"/>
          <w:highlight w:val="none"/>
        </w:rPr>
        <w:t>3．</w:t>
      </w:r>
      <w:bookmarkEnd w:id="95"/>
      <w:bookmarkEnd w:id="96"/>
      <w:bookmarkEnd w:id="97"/>
      <w:bookmarkEnd w:id="98"/>
      <w:bookmarkEnd w:id="99"/>
      <w:r>
        <w:rPr>
          <w:rFonts w:hint="eastAsia" w:ascii="宋体" w:hAnsi="宋体" w:cs="宋体"/>
          <w:b/>
          <w:bCs/>
          <w:color w:val="auto"/>
          <w:szCs w:val="21"/>
          <w:highlight w:val="none"/>
        </w:rPr>
        <w:t>合同专用条款（特别约定条款）</w:t>
      </w:r>
      <w:bookmarkEnd w:id="100"/>
      <w:bookmarkEnd w:id="101"/>
      <w:bookmarkEnd w:id="102"/>
      <w:bookmarkEnd w:id="103"/>
      <w:bookmarkEnd w:id="104"/>
      <w:bookmarkEnd w:id="105"/>
      <w:bookmarkEnd w:id="106"/>
    </w:p>
    <w:p>
      <w:pPr>
        <w:spacing w:line="440" w:lineRule="exact"/>
        <w:ind w:firstLine="420" w:firstLineChars="200"/>
        <w:rPr>
          <w:rFonts w:ascii="宋体" w:hAnsi="宋体" w:cs="宋体"/>
          <w:color w:val="auto"/>
          <w:szCs w:val="21"/>
          <w:highlight w:val="none"/>
        </w:rPr>
      </w:pPr>
    </w:p>
    <w:p>
      <w:pPr>
        <w:spacing w:line="440" w:lineRule="exact"/>
        <w:ind w:firstLine="420" w:firstLineChars="200"/>
        <w:rPr>
          <w:rFonts w:ascii="宋体" w:hAnsi="宋体" w:cs="宋体"/>
          <w:color w:val="auto"/>
          <w:szCs w:val="21"/>
          <w:highlight w:val="none"/>
        </w:rPr>
      </w:pPr>
      <w:r>
        <w:rPr>
          <w:rFonts w:hint="eastAsia" w:ascii="宋体" w:hAnsi="宋体" w:cs="宋体"/>
          <w:color w:val="auto"/>
          <w:szCs w:val="21"/>
          <w:highlight w:val="none"/>
        </w:rPr>
        <w:t>（注：可结合具体招标项目进行更明确的约定）</w:t>
      </w:r>
    </w:p>
    <w:p>
      <w:pPr>
        <w:spacing w:line="440" w:lineRule="exact"/>
        <w:rPr>
          <w:rFonts w:ascii="宋体" w:hAnsi="宋体" w:cs="宋体"/>
          <w:color w:val="auto"/>
          <w:szCs w:val="21"/>
          <w:highlight w:val="none"/>
        </w:rPr>
      </w:pPr>
    </w:p>
    <w:p>
      <w:pPr>
        <w:spacing w:line="440" w:lineRule="exact"/>
        <w:ind w:firstLine="420" w:firstLineChars="200"/>
        <w:jc w:val="center"/>
        <w:rPr>
          <w:rFonts w:ascii="宋体" w:hAnsi="宋体" w:cs="宋体"/>
          <w:color w:val="auto"/>
          <w:szCs w:val="21"/>
          <w:highlight w:val="none"/>
        </w:rPr>
      </w:pPr>
      <w:r>
        <w:rPr>
          <w:rFonts w:hint="eastAsia" w:ascii="宋体" w:hAnsi="宋体" w:cs="宋体"/>
          <w:color w:val="auto"/>
          <w:szCs w:val="21"/>
          <w:highlight w:val="none"/>
        </w:rPr>
        <w:t>温县政府集中采购合同</w:t>
      </w:r>
    </w:p>
    <w:p>
      <w:pPr>
        <w:spacing w:line="440" w:lineRule="exact"/>
        <w:ind w:firstLine="420" w:firstLineChars="200"/>
        <w:rPr>
          <w:rFonts w:ascii="宋体" w:hAnsi="宋体" w:cs="宋体"/>
          <w:color w:val="auto"/>
          <w:szCs w:val="21"/>
          <w:highlight w:val="none"/>
        </w:rPr>
      </w:pPr>
    </w:p>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bookmarkStart w:id="107" w:name="_Toc21953"/>
      <w:r>
        <w:rPr>
          <w:rFonts w:hint="eastAsia" w:ascii="宋体" w:hAnsi="宋体" w:eastAsia="宋体" w:cs="宋体"/>
          <w:color w:val="auto"/>
          <w:sz w:val="22"/>
          <w:szCs w:val="22"/>
          <w:highlight w:val="none"/>
        </w:rPr>
        <w:t>合同编号：</w:t>
      </w:r>
    </w:p>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甲方</w:t>
      </w:r>
      <w:r>
        <w:rPr>
          <w:rFonts w:hint="eastAsia" w:ascii="宋体" w:hAnsi="宋体" w:cs="宋体"/>
          <w:color w:val="auto"/>
          <w:sz w:val="22"/>
          <w:szCs w:val="22"/>
          <w:highlight w:val="none"/>
          <w:lang w:eastAsia="zh-CN"/>
        </w:rPr>
        <w:t>（采购人）：</w:t>
      </w:r>
      <w:r>
        <w:rPr>
          <w:rFonts w:hint="eastAsia" w:ascii="宋体" w:hAnsi="宋体" w:cs="宋体"/>
          <w:color w:val="auto"/>
          <w:sz w:val="22"/>
          <w:szCs w:val="22"/>
          <w:highlight w:val="none"/>
          <w:u w:val="single"/>
          <w:lang w:val="en-US" w:eastAsia="zh-CN"/>
        </w:rPr>
        <w:t xml:space="preserve"> 温县司法局                     </w:t>
      </w:r>
    </w:p>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default" w:ascii="宋体" w:hAnsi="宋体" w:cs="宋体"/>
          <w:color w:val="auto"/>
          <w:sz w:val="22"/>
          <w:szCs w:val="22"/>
          <w:highlight w:val="none"/>
          <w:u w:val="single"/>
          <w:lang w:val="en-US" w:eastAsia="zh-CN"/>
        </w:rPr>
      </w:pPr>
      <w:r>
        <w:rPr>
          <w:rFonts w:hint="eastAsia" w:ascii="宋体" w:hAnsi="宋体" w:eastAsia="宋体" w:cs="宋体"/>
          <w:color w:val="auto"/>
          <w:sz w:val="22"/>
          <w:szCs w:val="22"/>
          <w:highlight w:val="none"/>
        </w:rPr>
        <w:t>乙方</w:t>
      </w:r>
      <w:r>
        <w:rPr>
          <w:rFonts w:hint="eastAsia" w:ascii="宋体" w:hAnsi="宋体" w:cs="宋体"/>
          <w:color w:val="auto"/>
          <w:sz w:val="22"/>
          <w:szCs w:val="22"/>
          <w:highlight w:val="none"/>
          <w:lang w:eastAsia="zh-CN"/>
        </w:rPr>
        <w:t>（供应商）：</w:t>
      </w:r>
      <w:r>
        <w:rPr>
          <w:rFonts w:hint="eastAsia" w:ascii="宋体" w:hAnsi="宋体" w:cs="宋体"/>
          <w:color w:val="auto"/>
          <w:sz w:val="22"/>
          <w:szCs w:val="22"/>
          <w:highlight w:val="none"/>
          <w:u w:val="single"/>
          <w:lang w:val="en-US" w:eastAsia="zh-CN"/>
        </w:rPr>
        <w:t xml:space="preserve">                               </w:t>
      </w:r>
    </w:p>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default" w:ascii="宋体" w:hAnsi="宋体" w:eastAsia="宋体" w:cs="宋体"/>
          <w:color w:val="auto"/>
          <w:sz w:val="22"/>
          <w:szCs w:val="22"/>
          <w:highlight w:val="none"/>
          <w:u w:val="single"/>
          <w:lang w:val="en-US" w:eastAsia="zh-CN"/>
        </w:rPr>
      </w:pPr>
      <w:r>
        <w:rPr>
          <w:rFonts w:hint="eastAsia" w:ascii="宋体" w:hAnsi="宋体" w:cs="宋体"/>
          <w:color w:val="auto"/>
          <w:sz w:val="22"/>
          <w:szCs w:val="22"/>
          <w:highlight w:val="none"/>
          <w:lang w:eastAsia="zh-CN"/>
        </w:rPr>
        <w:t>第三方：焦作市司法局</w:t>
      </w:r>
      <w:r>
        <w:rPr>
          <w:rFonts w:hint="eastAsia" w:ascii="宋体" w:hAnsi="宋体" w:cs="宋体"/>
          <w:color w:val="auto"/>
          <w:sz w:val="22"/>
          <w:szCs w:val="22"/>
          <w:highlight w:val="none"/>
          <w:u w:val="none"/>
          <w:lang w:val="en-US" w:eastAsia="zh-CN"/>
        </w:rPr>
        <w:t xml:space="preserve">                           </w:t>
      </w:r>
    </w:p>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r>
        <w:rPr>
          <w:rFonts w:hint="eastAsia" w:ascii="宋体" w:hAnsi="宋体" w:cs="宋体"/>
          <w:color w:val="auto"/>
          <w:sz w:val="22"/>
          <w:szCs w:val="22"/>
          <w:highlight w:val="none"/>
          <w:lang w:eastAsia="zh-CN"/>
        </w:rPr>
        <w:t>乙方</w:t>
      </w:r>
      <w:r>
        <w:rPr>
          <w:rFonts w:hint="eastAsia" w:ascii="宋体" w:hAnsi="宋体" w:eastAsia="宋体" w:cs="宋体"/>
          <w:color w:val="auto"/>
          <w:sz w:val="22"/>
          <w:szCs w:val="22"/>
          <w:highlight w:val="none"/>
        </w:rPr>
        <w:t>持签发的中标/成交通知书，根据招标文件、</w:t>
      </w:r>
      <w:r>
        <w:rPr>
          <w:rFonts w:hint="eastAsia" w:ascii="宋体" w:hAnsi="宋体" w:cs="宋体"/>
          <w:color w:val="auto"/>
          <w:sz w:val="22"/>
          <w:szCs w:val="22"/>
          <w:highlight w:val="none"/>
          <w:lang w:eastAsia="zh-CN"/>
        </w:rPr>
        <w:t>乙方</w:t>
      </w:r>
      <w:r>
        <w:rPr>
          <w:rFonts w:hint="eastAsia" w:ascii="宋体" w:hAnsi="宋体" w:eastAsia="宋体" w:cs="宋体"/>
          <w:color w:val="auto"/>
          <w:sz w:val="22"/>
          <w:szCs w:val="22"/>
          <w:highlight w:val="none"/>
        </w:rPr>
        <w:t>的投标/报价等文件[项目编号：温交易]，按照《政府采购法》、《合同法》等有关法律、法规的规定，</w:t>
      </w:r>
      <w:r>
        <w:rPr>
          <w:rFonts w:hint="eastAsia" w:ascii="宋体" w:hAnsi="宋体" w:cs="宋体"/>
          <w:color w:val="auto"/>
          <w:sz w:val="22"/>
          <w:szCs w:val="22"/>
          <w:highlight w:val="none"/>
          <w:lang w:eastAsia="zh-CN"/>
        </w:rPr>
        <w:t>甲乙</w:t>
      </w:r>
      <w:r>
        <w:rPr>
          <w:rFonts w:hint="eastAsia" w:ascii="宋体" w:hAnsi="宋体" w:eastAsia="宋体" w:cs="宋体"/>
          <w:color w:val="auto"/>
          <w:sz w:val="22"/>
          <w:szCs w:val="22"/>
          <w:highlight w:val="none"/>
        </w:rPr>
        <w:t>双方</w:t>
      </w:r>
      <w:r>
        <w:rPr>
          <w:rFonts w:hint="eastAsia" w:ascii="宋体" w:hAnsi="宋体" w:cs="宋体"/>
          <w:color w:val="auto"/>
          <w:sz w:val="22"/>
          <w:szCs w:val="22"/>
          <w:highlight w:val="none"/>
          <w:lang w:eastAsia="zh-CN"/>
        </w:rPr>
        <w:t>和第三方</w:t>
      </w:r>
      <w:r>
        <w:rPr>
          <w:rFonts w:hint="eastAsia" w:ascii="宋体" w:hAnsi="宋体" w:eastAsia="宋体" w:cs="宋体"/>
          <w:color w:val="auto"/>
          <w:sz w:val="22"/>
          <w:szCs w:val="22"/>
          <w:highlight w:val="none"/>
        </w:rPr>
        <w:t>经协商一致，达成以下合同专用条款：</w:t>
      </w:r>
    </w:p>
    <w:p>
      <w:pPr>
        <w:keepNext w:val="0"/>
        <w:keepLines w:val="0"/>
        <w:pageBreakBefore w:val="0"/>
        <w:widowControl w:val="0"/>
        <w:numPr>
          <w:ilvl w:val="0"/>
          <w:numId w:val="15"/>
        </w:numPr>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本合同名称：</w:t>
      </w:r>
    </w:p>
    <w:p>
      <w:pPr>
        <w:keepNext w:val="0"/>
        <w:keepLines w:val="0"/>
        <w:pageBreakBefore w:val="0"/>
        <w:widowControl w:val="0"/>
        <w:numPr>
          <w:ilvl w:val="0"/>
          <w:numId w:val="0"/>
        </w:numPr>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二、本合同总价：元（人民币）（大写：元）。供货范围、技术规格、及分项价格如下：单位：人民币元</w:t>
      </w:r>
    </w:p>
    <w:tbl>
      <w:tblPr>
        <w:tblStyle w:val="25"/>
        <w:tblW w:w="9380" w:type="dxa"/>
        <w:jc w:val="center"/>
        <w:tblLayout w:type="fixed"/>
        <w:tblCellMar>
          <w:top w:w="0" w:type="dxa"/>
          <w:left w:w="108" w:type="dxa"/>
          <w:bottom w:w="0" w:type="dxa"/>
          <w:right w:w="108" w:type="dxa"/>
        </w:tblCellMar>
      </w:tblPr>
      <w:tblGrid>
        <w:gridCol w:w="1167"/>
        <w:gridCol w:w="1381"/>
        <w:gridCol w:w="1754"/>
        <w:gridCol w:w="543"/>
        <w:gridCol w:w="709"/>
        <w:gridCol w:w="734"/>
        <w:gridCol w:w="723"/>
        <w:gridCol w:w="1031"/>
        <w:gridCol w:w="1338"/>
      </w:tblGrid>
      <w:tr>
        <w:tblPrEx>
          <w:tblCellMar>
            <w:top w:w="0" w:type="dxa"/>
            <w:left w:w="108" w:type="dxa"/>
            <w:bottom w:w="0" w:type="dxa"/>
            <w:right w:w="108" w:type="dxa"/>
          </w:tblCellMar>
        </w:tblPrEx>
        <w:trPr>
          <w:trHeight w:val="599" w:hRule="atLeast"/>
          <w:jc w:val="center"/>
        </w:trPr>
        <w:tc>
          <w:tcPr>
            <w:tcW w:w="116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138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1754"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54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709"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734"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72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1031" w:type="dxa"/>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1338" w:type="dxa"/>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r>
      <w:tr>
        <w:tblPrEx>
          <w:tblCellMar>
            <w:top w:w="0" w:type="dxa"/>
            <w:left w:w="108" w:type="dxa"/>
            <w:bottom w:w="0" w:type="dxa"/>
            <w:right w:w="108" w:type="dxa"/>
          </w:tblCellMar>
        </w:tblPrEx>
        <w:trPr>
          <w:trHeight w:val="599" w:hRule="atLeast"/>
          <w:jc w:val="center"/>
        </w:trPr>
        <w:tc>
          <w:tcPr>
            <w:tcW w:w="1167"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1381"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1754"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54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709"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734"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723" w:type="dxa"/>
            <w:tcBorders>
              <w:top w:val="single" w:color="auto" w:sz="6" w:space="0"/>
              <w:left w:val="single" w:color="auto" w:sz="6"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1031" w:type="dxa"/>
            <w:tcBorders>
              <w:top w:val="single" w:color="auto" w:sz="6" w:space="0"/>
              <w:left w:val="single" w:color="auto" w:sz="6" w:space="0"/>
              <w:bottom w:val="single" w:color="auto" w:sz="6" w:space="0"/>
              <w:right w:val="single" w:color="auto" w:sz="4" w:space="0"/>
            </w:tcBorders>
            <w:vAlign w:val="center"/>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1338" w:type="dxa"/>
            <w:tcBorders>
              <w:top w:val="single" w:color="auto" w:sz="6" w:space="0"/>
              <w:left w:val="single" w:color="auto" w:sz="4" w:space="0"/>
              <w:bottom w:val="single" w:color="auto" w:sz="6" w:space="0"/>
              <w:right w:val="single" w:color="auto" w:sz="6" w:space="0"/>
            </w:tcBorders>
            <w:vAlign w:val="center"/>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r>
      <w:tr>
        <w:tblPrEx>
          <w:tblCellMar>
            <w:top w:w="0" w:type="dxa"/>
            <w:left w:w="108" w:type="dxa"/>
            <w:bottom w:w="0" w:type="dxa"/>
            <w:right w:w="108" w:type="dxa"/>
          </w:tblCellMar>
        </w:tblPrEx>
        <w:trPr>
          <w:trHeight w:val="599" w:hRule="atLeast"/>
          <w:jc w:val="center"/>
        </w:trPr>
        <w:tc>
          <w:tcPr>
            <w:tcW w:w="1167" w:type="dxa"/>
            <w:tcBorders>
              <w:top w:val="single" w:color="auto" w:sz="6" w:space="0"/>
              <w:left w:val="single" w:color="auto" w:sz="6" w:space="0"/>
              <w:bottom w:val="single" w:color="auto" w:sz="6" w:space="0"/>
              <w:right w:val="single" w:color="auto" w:sz="6" w:space="0"/>
            </w:tcBorders>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1381" w:type="dxa"/>
            <w:tcBorders>
              <w:top w:val="single" w:color="auto" w:sz="6" w:space="0"/>
              <w:left w:val="single" w:color="auto" w:sz="6" w:space="0"/>
              <w:bottom w:val="single" w:color="auto" w:sz="6" w:space="0"/>
              <w:right w:val="single" w:color="auto" w:sz="6" w:space="0"/>
            </w:tcBorders>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1754" w:type="dxa"/>
            <w:tcBorders>
              <w:top w:val="single" w:color="auto" w:sz="6" w:space="0"/>
              <w:left w:val="single" w:color="auto" w:sz="6" w:space="0"/>
              <w:bottom w:val="single" w:color="auto" w:sz="6" w:space="0"/>
              <w:right w:val="single" w:color="auto" w:sz="6" w:space="0"/>
            </w:tcBorders>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543" w:type="dxa"/>
            <w:tcBorders>
              <w:top w:val="single" w:color="auto" w:sz="6" w:space="0"/>
              <w:left w:val="single" w:color="auto" w:sz="6" w:space="0"/>
              <w:bottom w:val="single" w:color="auto" w:sz="6" w:space="0"/>
              <w:right w:val="single" w:color="auto" w:sz="6" w:space="0"/>
            </w:tcBorders>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709" w:type="dxa"/>
            <w:tcBorders>
              <w:top w:val="single" w:color="auto" w:sz="6" w:space="0"/>
              <w:left w:val="single" w:color="auto" w:sz="6" w:space="0"/>
              <w:bottom w:val="single" w:color="auto" w:sz="6" w:space="0"/>
              <w:right w:val="single" w:color="auto" w:sz="6" w:space="0"/>
            </w:tcBorders>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734" w:type="dxa"/>
            <w:tcBorders>
              <w:top w:val="single" w:color="auto" w:sz="6" w:space="0"/>
              <w:left w:val="single" w:color="auto" w:sz="6" w:space="0"/>
              <w:bottom w:val="single" w:color="auto" w:sz="6" w:space="0"/>
              <w:right w:val="single" w:color="auto" w:sz="6" w:space="0"/>
            </w:tcBorders>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723" w:type="dxa"/>
            <w:tcBorders>
              <w:top w:val="single" w:color="auto" w:sz="6" w:space="0"/>
              <w:left w:val="single" w:color="auto" w:sz="6" w:space="0"/>
              <w:bottom w:val="single" w:color="auto" w:sz="6" w:space="0"/>
              <w:right w:val="single" w:color="auto" w:sz="6" w:space="0"/>
            </w:tcBorders>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1031" w:type="dxa"/>
            <w:tcBorders>
              <w:top w:val="single" w:color="auto" w:sz="6" w:space="0"/>
              <w:left w:val="single" w:color="auto" w:sz="6" w:space="0"/>
              <w:bottom w:val="single" w:color="auto" w:sz="6" w:space="0"/>
              <w:right w:val="single" w:color="auto" w:sz="4" w:space="0"/>
            </w:tcBorders>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1338" w:type="dxa"/>
            <w:tcBorders>
              <w:top w:val="single" w:color="auto" w:sz="6" w:space="0"/>
              <w:left w:val="single" w:color="auto" w:sz="4" w:space="0"/>
              <w:bottom w:val="single" w:color="auto" w:sz="6" w:space="0"/>
              <w:right w:val="single" w:color="auto" w:sz="6" w:space="0"/>
            </w:tcBorders>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r>
      <w:tr>
        <w:tblPrEx>
          <w:tblCellMar>
            <w:top w:w="0" w:type="dxa"/>
            <w:left w:w="108" w:type="dxa"/>
            <w:bottom w:w="0" w:type="dxa"/>
            <w:right w:w="108" w:type="dxa"/>
          </w:tblCellMar>
        </w:tblPrEx>
        <w:trPr>
          <w:trHeight w:val="599" w:hRule="atLeast"/>
          <w:jc w:val="center"/>
        </w:trPr>
        <w:tc>
          <w:tcPr>
            <w:tcW w:w="1167" w:type="dxa"/>
            <w:tcBorders>
              <w:top w:val="single" w:color="auto" w:sz="6" w:space="0"/>
              <w:left w:val="single" w:color="auto" w:sz="6" w:space="0"/>
              <w:bottom w:val="single" w:color="auto" w:sz="6" w:space="0"/>
              <w:right w:val="single" w:color="auto" w:sz="6" w:space="0"/>
            </w:tcBorders>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1381" w:type="dxa"/>
            <w:tcBorders>
              <w:top w:val="single" w:color="auto" w:sz="6" w:space="0"/>
              <w:left w:val="single" w:color="auto" w:sz="6" w:space="0"/>
              <w:bottom w:val="single" w:color="auto" w:sz="6" w:space="0"/>
              <w:right w:val="single" w:color="auto" w:sz="6" w:space="0"/>
            </w:tcBorders>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1754" w:type="dxa"/>
            <w:tcBorders>
              <w:top w:val="single" w:color="auto" w:sz="6" w:space="0"/>
              <w:left w:val="single" w:color="auto" w:sz="6" w:space="0"/>
              <w:bottom w:val="single" w:color="auto" w:sz="6" w:space="0"/>
              <w:right w:val="single" w:color="auto" w:sz="6" w:space="0"/>
            </w:tcBorders>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543" w:type="dxa"/>
            <w:tcBorders>
              <w:top w:val="single" w:color="auto" w:sz="6" w:space="0"/>
              <w:left w:val="single" w:color="auto" w:sz="6" w:space="0"/>
              <w:bottom w:val="single" w:color="auto" w:sz="6" w:space="0"/>
              <w:right w:val="single" w:color="auto" w:sz="6" w:space="0"/>
            </w:tcBorders>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709" w:type="dxa"/>
            <w:tcBorders>
              <w:top w:val="single" w:color="auto" w:sz="6" w:space="0"/>
              <w:left w:val="single" w:color="auto" w:sz="6" w:space="0"/>
              <w:bottom w:val="single" w:color="auto" w:sz="6" w:space="0"/>
              <w:right w:val="single" w:color="auto" w:sz="6" w:space="0"/>
            </w:tcBorders>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734" w:type="dxa"/>
            <w:tcBorders>
              <w:top w:val="single" w:color="auto" w:sz="6" w:space="0"/>
              <w:left w:val="single" w:color="auto" w:sz="6" w:space="0"/>
              <w:bottom w:val="single" w:color="auto" w:sz="6" w:space="0"/>
              <w:right w:val="single" w:color="auto" w:sz="6" w:space="0"/>
            </w:tcBorders>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723" w:type="dxa"/>
            <w:tcBorders>
              <w:top w:val="single" w:color="auto" w:sz="6" w:space="0"/>
              <w:left w:val="single" w:color="auto" w:sz="6" w:space="0"/>
              <w:bottom w:val="single" w:color="auto" w:sz="6" w:space="0"/>
              <w:right w:val="single" w:color="auto" w:sz="6" w:space="0"/>
            </w:tcBorders>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1031" w:type="dxa"/>
            <w:tcBorders>
              <w:top w:val="single" w:color="auto" w:sz="6" w:space="0"/>
              <w:left w:val="single" w:color="auto" w:sz="6" w:space="0"/>
              <w:bottom w:val="single" w:color="auto" w:sz="6" w:space="0"/>
              <w:right w:val="single" w:color="auto" w:sz="4" w:space="0"/>
            </w:tcBorders>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1338" w:type="dxa"/>
            <w:tcBorders>
              <w:top w:val="single" w:color="auto" w:sz="6" w:space="0"/>
              <w:left w:val="single" w:color="auto" w:sz="4" w:space="0"/>
              <w:bottom w:val="single" w:color="auto" w:sz="6" w:space="0"/>
              <w:right w:val="single" w:color="auto" w:sz="6" w:space="0"/>
            </w:tcBorders>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r>
      <w:tr>
        <w:tblPrEx>
          <w:tblCellMar>
            <w:top w:w="0" w:type="dxa"/>
            <w:left w:w="108" w:type="dxa"/>
            <w:bottom w:w="0" w:type="dxa"/>
            <w:right w:w="108" w:type="dxa"/>
          </w:tblCellMar>
        </w:tblPrEx>
        <w:trPr>
          <w:trHeight w:val="618" w:hRule="atLeast"/>
          <w:jc w:val="center"/>
        </w:trPr>
        <w:tc>
          <w:tcPr>
            <w:tcW w:w="1167" w:type="dxa"/>
            <w:vMerge w:val="restart"/>
            <w:tcBorders>
              <w:top w:val="single" w:color="auto" w:sz="6" w:space="0"/>
              <w:left w:val="single" w:color="auto" w:sz="6" w:space="0"/>
              <w:bottom w:val="single" w:color="auto" w:sz="6" w:space="0"/>
              <w:right w:val="single" w:color="auto" w:sz="6" w:space="0"/>
            </w:tcBorders>
          </w:tcPr>
          <w:p>
            <w:pPr>
              <w:keepNext w:val="0"/>
              <w:keepLines w:val="0"/>
              <w:pageBreakBefore w:val="0"/>
              <w:widowControl w:val="0"/>
              <w:kinsoku/>
              <w:wordWrap/>
              <w:overflowPunct/>
              <w:topLinePunct w:val="0"/>
              <w:autoSpaceDE/>
              <w:autoSpaceDN/>
              <w:bidi w:val="0"/>
              <w:snapToGrid/>
              <w:spacing w:line="380" w:lineRule="exact"/>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总价</w:t>
            </w:r>
            <w:r>
              <w:rPr>
                <w:rFonts w:hint="eastAsia" w:ascii="宋体" w:hAnsi="宋体" w:cs="宋体"/>
                <w:color w:val="auto"/>
                <w:sz w:val="22"/>
                <w:szCs w:val="22"/>
                <w:highlight w:val="none"/>
                <w:lang w:eastAsia="zh-CN"/>
              </w:rPr>
              <w:t>（</w:t>
            </w:r>
            <w:r>
              <w:rPr>
                <w:rFonts w:hint="eastAsia" w:ascii="宋体" w:hAnsi="宋体" w:eastAsia="宋体" w:cs="宋体"/>
                <w:color w:val="auto"/>
                <w:sz w:val="22"/>
                <w:szCs w:val="22"/>
                <w:highlight w:val="none"/>
              </w:rPr>
              <w:t>人民币）</w:t>
            </w:r>
          </w:p>
        </w:tc>
        <w:tc>
          <w:tcPr>
            <w:tcW w:w="8213" w:type="dxa"/>
            <w:gridSpan w:val="8"/>
            <w:tcBorders>
              <w:top w:val="single" w:color="auto" w:sz="6" w:space="0"/>
              <w:left w:val="single" w:color="auto" w:sz="6" w:space="0"/>
              <w:bottom w:val="single" w:color="auto" w:sz="6" w:space="0"/>
              <w:right w:val="single" w:color="auto" w:sz="6" w:space="0"/>
            </w:tcBorders>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小写：</w:t>
            </w:r>
          </w:p>
        </w:tc>
      </w:tr>
      <w:tr>
        <w:tblPrEx>
          <w:tblCellMar>
            <w:top w:w="0" w:type="dxa"/>
            <w:left w:w="108" w:type="dxa"/>
            <w:bottom w:w="0" w:type="dxa"/>
            <w:right w:w="108" w:type="dxa"/>
          </w:tblCellMar>
        </w:tblPrEx>
        <w:trPr>
          <w:trHeight w:val="1156" w:hRule="atLeast"/>
          <w:jc w:val="center"/>
        </w:trPr>
        <w:tc>
          <w:tcPr>
            <w:tcW w:w="1167" w:type="dxa"/>
            <w:vMerge w:val="continue"/>
            <w:tcBorders>
              <w:top w:val="single" w:color="auto" w:sz="6" w:space="0"/>
              <w:left w:val="single" w:color="auto" w:sz="6" w:space="0"/>
              <w:bottom w:val="single" w:color="auto" w:sz="6" w:space="0"/>
              <w:right w:val="single" w:color="auto" w:sz="6" w:space="0"/>
            </w:tcBorders>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tc>
        <w:tc>
          <w:tcPr>
            <w:tcW w:w="8213" w:type="dxa"/>
            <w:gridSpan w:val="8"/>
            <w:tcBorders>
              <w:top w:val="single" w:color="auto" w:sz="6" w:space="0"/>
              <w:left w:val="single" w:color="auto" w:sz="6" w:space="0"/>
              <w:bottom w:val="single" w:color="auto" w:sz="6" w:space="0"/>
              <w:right w:val="single" w:color="auto" w:sz="6" w:space="0"/>
            </w:tcBorders>
          </w:tcPr>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大写：</w:t>
            </w:r>
          </w:p>
        </w:tc>
      </w:tr>
    </w:tbl>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三、质量要求及</w:t>
      </w:r>
      <w:r>
        <w:rPr>
          <w:rFonts w:hint="eastAsia" w:ascii="宋体" w:hAnsi="宋体" w:cs="宋体"/>
          <w:color w:val="auto"/>
          <w:sz w:val="22"/>
          <w:szCs w:val="22"/>
          <w:highlight w:val="none"/>
          <w:lang w:eastAsia="zh-CN"/>
        </w:rPr>
        <w:t>乙方</w:t>
      </w:r>
      <w:r>
        <w:rPr>
          <w:rFonts w:hint="eastAsia" w:ascii="宋体" w:hAnsi="宋体" w:eastAsia="宋体" w:cs="宋体"/>
          <w:color w:val="auto"/>
          <w:sz w:val="22"/>
          <w:szCs w:val="22"/>
          <w:highlight w:val="none"/>
        </w:rPr>
        <w:t>对质量负责条件和期限：</w:t>
      </w:r>
    </w:p>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所供货物必须首先符合有关国家强制性规定、国家（行业）标准或相关法律法规要求，同时符合招标文件规定的质量要求。</w:t>
      </w:r>
      <w:r>
        <w:rPr>
          <w:rFonts w:hint="eastAsia" w:ascii="宋体" w:hAnsi="宋体" w:cs="宋体"/>
          <w:color w:val="auto"/>
          <w:sz w:val="22"/>
          <w:szCs w:val="22"/>
          <w:highlight w:val="none"/>
          <w:lang w:eastAsia="zh-CN"/>
        </w:rPr>
        <w:t>乙方</w:t>
      </w:r>
      <w:r>
        <w:rPr>
          <w:rFonts w:hint="eastAsia" w:ascii="宋体" w:hAnsi="宋体" w:eastAsia="宋体" w:cs="宋体"/>
          <w:color w:val="auto"/>
          <w:sz w:val="22"/>
          <w:szCs w:val="22"/>
          <w:highlight w:val="none"/>
        </w:rPr>
        <w:t>应提供全新未拆封产品（包括零部件、附件、备品备件等），如确需拆封的，应在供货前征得采购人同意，否则视为不能交货。</w:t>
      </w:r>
      <w:r>
        <w:rPr>
          <w:rFonts w:hint="eastAsia" w:ascii="宋体" w:hAnsi="宋体" w:cs="宋体"/>
          <w:color w:val="auto"/>
          <w:sz w:val="22"/>
          <w:szCs w:val="22"/>
          <w:highlight w:val="none"/>
          <w:lang w:eastAsia="zh-CN"/>
        </w:rPr>
        <w:t>乙方</w:t>
      </w:r>
      <w:r>
        <w:rPr>
          <w:rFonts w:hint="eastAsia" w:ascii="宋体" w:hAnsi="宋体" w:eastAsia="宋体" w:cs="宋体"/>
          <w:color w:val="auto"/>
          <w:sz w:val="22"/>
          <w:szCs w:val="22"/>
          <w:highlight w:val="none"/>
        </w:rPr>
        <w:t>保证全部按照合同规定的时间和方式向</w:t>
      </w:r>
      <w:r>
        <w:rPr>
          <w:rFonts w:hint="eastAsia" w:ascii="宋体" w:hAnsi="宋体" w:cs="宋体"/>
          <w:color w:val="auto"/>
          <w:sz w:val="22"/>
          <w:szCs w:val="22"/>
          <w:highlight w:val="none"/>
          <w:lang w:eastAsia="zh-CN"/>
        </w:rPr>
        <w:t>甲方</w:t>
      </w:r>
      <w:r>
        <w:rPr>
          <w:rFonts w:hint="eastAsia" w:ascii="宋体" w:hAnsi="宋体" w:eastAsia="宋体" w:cs="宋体"/>
          <w:color w:val="auto"/>
          <w:sz w:val="22"/>
          <w:szCs w:val="22"/>
          <w:highlight w:val="none"/>
        </w:rPr>
        <w:t>提供货物和服务，并负责可能的弥补缺陷。</w:t>
      </w:r>
      <w:r>
        <w:rPr>
          <w:rFonts w:hint="eastAsia" w:ascii="宋体" w:hAnsi="宋体" w:cs="宋体"/>
          <w:color w:val="auto"/>
          <w:sz w:val="22"/>
          <w:szCs w:val="22"/>
          <w:highlight w:val="none"/>
          <w:lang w:eastAsia="zh-CN"/>
        </w:rPr>
        <w:t>甲方</w:t>
      </w:r>
      <w:r>
        <w:rPr>
          <w:rFonts w:hint="eastAsia" w:ascii="宋体" w:hAnsi="宋体" w:eastAsia="宋体" w:cs="宋体"/>
          <w:color w:val="auto"/>
          <w:sz w:val="22"/>
          <w:szCs w:val="22"/>
          <w:highlight w:val="none"/>
        </w:rPr>
        <w:t>对货物规格、型号、质量有异议的，应在收到货物后日内以书面形式向</w:t>
      </w:r>
      <w:r>
        <w:rPr>
          <w:rFonts w:hint="eastAsia" w:ascii="宋体" w:hAnsi="宋体" w:cs="宋体"/>
          <w:color w:val="auto"/>
          <w:sz w:val="22"/>
          <w:szCs w:val="22"/>
          <w:highlight w:val="none"/>
          <w:lang w:eastAsia="zh-CN"/>
        </w:rPr>
        <w:t>乙方</w:t>
      </w:r>
      <w:r>
        <w:rPr>
          <w:rFonts w:hint="eastAsia" w:ascii="宋体" w:hAnsi="宋体" w:eastAsia="宋体" w:cs="宋体"/>
          <w:color w:val="auto"/>
          <w:sz w:val="22"/>
          <w:szCs w:val="22"/>
          <w:highlight w:val="none"/>
        </w:rPr>
        <w:t>提出，需安装调试成套设备的提出异议的期限为日。</w:t>
      </w:r>
    </w:p>
    <w:p>
      <w:pPr>
        <w:keepNext w:val="0"/>
        <w:keepLines w:val="0"/>
        <w:pageBreakBefore w:val="0"/>
        <w:widowControl w:val="0"/>
        <w:kinsoku/>
        <w:wordWrap/>
        <w:overflowPunct/>
        <w:topLinePunct w:val="0"/>
        <w:autoSpaceDE/>
        <w:autoSpaceDN/>
        <w:bidi w:val="0"/>
        <w:adjustRightInd/>
        <w:snapToGrid/>
        <w:spacing w:line="360" w:lineRule="exact"/>
        <w:ind w:firstLine="440" w:firstLineChars="200"/>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四、售后服务承诺：</w:t>
      </w:r>
    </w:p>
    <w:p>
      <w:pPr>
        <w:keepNext w:val="0"/>
        <w:keepLines w:val="0"/>
        <w:pageBreakBefore w:val="0"/>
        <w:widowControl w:val="0"/>
        <w:kinsoku/>
        <w:wordWrap/>
        <w:overflowPunct/>
        <w:topLinePunct w:val="0"/>
        <w:autoSpaceDE/>
        <w:autoSpaceDN/>
        <w:bidi w:val="0"/>
        <w:adjustRightInd/>
        <w:snapToGrid/>
        <w:spacing w:line="360" w:lineRule="exact"/>
        <w:ind w:firstLine="440" w:firstLineChars="200"/>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售后服务响应时间：</w:t>
      </w:r>
    </w:p>
    <w:p>
      <w:pPr>
        <w:keepNext w:val="0"/>
        <w:keepLines w:val="0"/>
        <w:pageBreakBefore w:val="0"/>
        <w:widowControl w:val="0"/>
        <w:kinsoku/>
        <w:wordWrap/>
        <w:overflowPunct/>
        <w:topLinePunct w:val="0"/>
        <w:autoSpaceDE/>
        <w:autoSpaceDN/>
        <w:bidi w:val="0"/>
        <w:adjustRightInd/>
        <w:snapToGrid/>
        <w:spacing w:line="360" w:lineRule="exact"/>
        <w:ind w:firstLine="440" w:firstLineChars="200"/>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解决问题时间：</w:t>
      </w:r>
    </w:p>
    <w:p>
      <w:pPr>
        <w:keepNext w:val="0"/>
        <w:keepLines w:val="0"/>
        <w:pageBreakBefore w:val="0"/>
        <w:widowControl w:val="0"/>
        <w:kinsoku/>
        <w:wordWrap/>
        <w:overflowPunct/>
        <w:topLinePunct w:val="0"/>
        <w:autoSpaceDE/>
        <w:autoSpaceDN/>
        <w:bidi w:val="0"/>
        <w:adjustRightInd/>
        <w:snapToGrid/>
        <w:spacing w:line="360" w:lineRule="exact"/>
        <w:ind w:firstLine="440" w:firstLineChars="200"/>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售后服务机构名称、地址及联系方式：</w:t>
      </w:r>
    </w:p>
    <w:p>
      <w:pPr>
        <w:keepNext w:val="0"/>
        <w:keepLines w:val="0"/>
        <w:pageBreakBefore w:val="0"/>
        <w:widowControl w:val="0"/>
        <w:kinsoku/>
        <w:wordWrap/>
        <w:overflowPunct/>
        <w:topLinePunct w:val="0"/>
        <w:autoSpaceDE/>
        <w:autoSpaceDN/>
        <w:bidi w:val="0"/>
        <w:adjustRightInd/>
        <w:snapToGrid/>
        <w:spacing w:line="360" w:lineRule="exact"/>
        <w:ind w:firstLine="440" w:firstLineChars="200"/>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其他服务承诺：</w:t>
      </w:r>
    </w:p>
    <w:p>
      <w:pPr>
        <w:keepNext w:val="0"/>
        <w:keepLines w:val="0"/>
        <w:pageBreakBefore w:val="0"/>
        <w:widowControl w:val="0"/>
        <w:kinsoku/>
        <w:wordWrap/>
        <w:overflowPunct/>
        <w:topLinePunct w:val="0"/>
        <w:autoSpaceDE/>
        <w:autoSpaceDN/>
        <w:bidi w:val="0"/>
        <w:adjustRightInd/>
        <w:snapToGrid/>
        <w:spacing w:line="360" w:lineRule="exact"/>
        <w:ind w:firstLine="440" w:firstLineChars="200"/>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五、合同履行地点及进度：</w:t>
      </w:r>
    </w:p>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合同生效后，</w:t>
      </w:r>
      <w:r>
        <w:rPr>
          <w:rFonts w:hint="eastAsia" w:ascii="宋体" w:hAnsi="宋体" w:cs="宋体"/>
          <w:color w:val="auto"/>
          <w:sz w:val="22"/>
          <w:szCs w:val="22"/>
          <w:highlight w:val="none"/>
          <w:lang w:eastAsia="zh-CN"/>
        </w:rPr>
        <w:t>乙方</w:t>
      </w:r>
      <w:r>
        <w:rPr>
          <w:rFonts w:hint="eastAsia" w:ascii="宋体" w:hAnsi="宋体" w:eastAsia="宋体" w:cs="宋体"/>
          <w:color w:val="auto"/>
          <w:sz w:val="22"/>
          <w:szCs w:val="22"/>
          <w:highlight w:val="none"/>
        </w:rPr>
        <w:t>应于年月日前按</w:t>
      </w:r>
      <w:r>
        <w:rPr>
          <w:rFonts w:hint="eastAsia" w:ascii="宋体" w:hAnsi="宋体" w:cs="宋体"/>
          <w:color w:val="auto"/>
          <w:sz w:val="22"/>
          <w:szCs w:val="22"/>
          <w:highlight w:val="none"/>
          <w:lang w:eastAsia="zh-CN"/>
        </w:rPr>
        <w:t>甲方</w:t>
      </w:r>
      <w:r>
        <w:rPr>
          <w:rFonts w:hint="eastAsia" w:ascii="宋体" w:hAnsi="宋体" w:eastAsia="宋体" w:cs="宋体"/>
          <w:color w:val="auto"/>
          <w:sz w:val="22"/>
          <w:szCs w:val="22"/>
          <w:highlight w:val="none"/>
        </w:rPr>
        <w:t>要求在（</w:t>
      </w:r>
      <w:r>
        <w:rPr>
          <w:rFonts w:hint="eastAsia" w:ascii="宋体" w:hAnsi="宋体" w:cs="宋体"/>
          <w:color w:val="auto"/>
          <w:sz w:val="22"/>
          <w:szCs w:val="22"/>
          <w:highlight w:val="none"/>
          <w:lang w:eastAsia="zh-CN"/>
        </w:rPr>
        <w:t>甲方</w:t>
      </w:r>
      <w:r>
        <w:rPr>
          <w:rFonts w:hint="eastAsia" w:ascii="宋体" w:hAnsi="宋体" w:eastAsia="宋体" w:cs="宋体"/>
          <w:color w:val="auto"/>
          <w:sz w:val="22"/>
          <w:szCs w:val="22"/>
          <w:highlight w:val="none"/>
        </w:rPr>
        <w:t>指定的地点）完成本项目的交货、安装、调试（或施工）。货物运送的费用由</w:t>
      </w:r>
      <w:r>
        <w:rPr>
          <w:rFonts w:hint="eastAsia" w:ascii="宋体" w:hAnsi="宋体" w:cs="宋体"/>
          <w:color w:val="auto"/>
          <w:sz w:val="22"/>
          <w:szCs w:val="22"/>
          <w:highlight w:val="none"/>
          <w:lang w:eastAsia="zh-CN"/>
        </w:rPr>
        <w:t>乙方</w:t>
      </w:r>
      <w:r>
        <w:rPr>
          <w:rFonts w:hint="eastAsia" w:ascii="宋体" w:hAnsi="宋体" w:eastAsia="宋体" w:cs="宋体"/>
          <w:color w:val="auto"/>
          <w:sz w:val="22"/>
          <w:szCs w:val="22"/>
          <w:highlight w:val="none"/>
        </w:rPr>
        <w:t>负责。</w:t>
      </w:r>
      <w:r>
        <w:rPr>
          <w:rFonts w:hint="eastAsia" w:ascii="宋体" w:hAnsi="宋体" w:cs="宋体"/>
          <w:color w:val="auto"/>
          <w:sz w:val="22"/>
          <w:szCs w:val="22"/>
          <w:highlight w:val="none"/>
          <w:lang w:eastAsia="zh-CN"/>
        </w:rPr>
        <w:t>甲方</w:t>
      </w:r>
      <w:r>
        <w:rPr>
          <w:rFonts w:hint="eastAsia" w:ascii="宋体" w:hAnsi="宋体" w:eastAsia="宋体" w:cs="宋体"/>
          <w:color w:val="auto"/>
          <w:sz w:val="22"/>
          <w:szCs w:val="22"/>
          <w:highlight w:val="none"/>
        </w:rPr>
        <w:t>应在货物到达指定地点后，提供符合安装条件的场地、电源、环境等。</w:t>
      </w:r>
    </w:p>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六、资料：</w:t>
      </w:r>
      <w:r>
        <w:rPr>
          <w:rFonts w:hint="eastAsia" w:ascii="宋体" w:hAnsi="宋体" w:cs="宋体"/>
          <w:color w:val="auto"/>
          <w:sz w:val="22"/>
          <w:szCs w:val="22"/>
          <w:highlight w:val="none"/>
          <w:lang w:eastAsia="zh-CN"/>
        </w:rPr>
        <w:t>乙方</w:t>
      </w:r>
      <w:r>
        <w:rPr>
          <w:rFonts w:hint="eastAsia" w:ascii="宋体" w:hAnsi="宋体" w:eastAsia="宋体" w:cs="宋体"/>
          <w:color w:val="auto"/>
          <w:sz w:val="22"/>
          <w:szCs w:val="22"/>
          <w:highlight w:val="none"/>
        </w:rPr>
        <w:t>在交付货物时应向</w:t>
      </w:r>
      <w:r>
        <w:rPr>
          <w:rFonts w:hint="eastAsia" w:ascii="宋体" w:hAnsi="宋体" w:cs="宋体"/>
          <w:color w:val="auto"/>
          <w:sz w:val="22"/>
          <w:szCs w:val="22"/>
          <w:highlight w:val="none"/>
          <w:lang w:eastAsia="zh-CN"/>
        </w:rPr>
        <w:t>甲方</w:t>
      </w:r>
      <w:r>
        <w:rPr>
          <w:rFonts w:hint="eastAsia" w:ascii="宋体" w:hAnsi="宋体" w:eastAsia="宋体" w:cs="宋体"/>
          <w:color w:val="auto"/>
          <w:sz w:val="22"/>
          <w:szCs w:val="22"/>
          <w:highlight w:val="none"/>
        </w:rPr>
        <w:t>提供货物的使用说明、合格证书及其它相关资料，否则按不能交货对待。</w:t>
      </w:r>
    </w:p>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七、验收要求。</w:t>
      </w:r>
    </w:p>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w:t>
      </w:r>
      <w:r>
        <w:rPr>
          <w:rFonts w:hint="eastAsia" w:ascii="宋体" w:hAnsi="宋体" w:cs="宋体"/>
          <w:color w:val="auto"/>
          <w:sz w:val="22"/>
          <w:szCs w:val="22"/>
          <w:highlight w:val="none"/>
          <w:lang w:eastAsia="zh-CN"/>
        </w:rPr>
        <w:t>乙方</w:t>
      </w:r>
      <w:r>
        <w:rPr>
          <w:rFonts w:hint="eastAsia" w:ascii="宋体" w:hAnsi="宋体" w:eastAsia="宋体" w:cs="宋体"/>
          <w:color w:val="auto"/>
          <w:sz w:val="22"/>
          <w:szCs w:val="22"/>
          <w:highlight w:val="none"/>
        </w:rPr>
        <w:t>履约完毕及时向</w:t>
      </w:r>
      <w:r>
        <w:rPr>
          <w:rFonts w:hint="eastAsia" w:ascii="宋体" w:hAnsi="宋体" w:cs="宋体"/>
          <w:color w:val="auto"/>
          <w:sz w:val="22"/>
          <w:szCs w:val="22"/>
          <w:highlight w:val="none"/>
          <w:lang w:eastAsia="zh-CN"/>
        </w:rPr>
        <w:t>甲方和第三方</w:t>
      </w:r>
      <w:r>
        <w:rPr>
          <w:rFonts w:hint="eastAsia" w:ascii="宋体" w:hAnsi="宋体" w:eastAsia="宋体" w:cs="宋体"/>
          <w:color w:val="auto"/>
          <w:sz w:val="22"/>
          <w:szCs w:val="22"/>
          <w:highlight w:val="none"/>
        </w:rPr>
        <w:t>提出验收申请。</w:t>
      </w:r>
    </w:p>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w:t>
      </w:r>
      <w:r>
        <w:rPr>
          <w:rFonts w:hint="eastAsia" w:ascii="宋体" w:hAnsi="宋体" w:cs="宋体"/>
          <w:color w:val="auto"/>
          <w:sz w:val="22"/>
          <w:szCs w:val="22"/>
          <w:highlight w:val="none"/>
          <w:lang w:eastAsia="zh-CN"/>
        </w:rPr>
        <w:t>甲方和第三方</w:t>
      </w:r>
      <w:r>
        <w:rPr>
          <w:rFonts w:hint="eastAsia" w:ascii="宋体" w:hAnsi="宋体" w:eastAsia="宋体" w:cs="宋体"/>
          <w:color w:val="auto"/>
          <w:sz w:val="22"/>
          <w:szCs w:val="22"/>
          <w:highlight w:val="none"/>
        </w:rPr>
        <w:t>在收到</w:t>
      </w:r>
      <w:r>
        <w:rPr>
          <w:rFonts w:hint="eastAsia" w:ascii="宋体" w:hAnsi="宋体" w:cs="宋体"/>
          <w:color w:val="auto"/>
          <w:sz w:val="22"/>
          <w:szCs w:val="22"/>
          <w:highlight w:val="none"/>
          <w:lang w:eastAsia="zh-CN"/>
        </w:rPr>
        <w:t>乙方</w:t>
      </w:r>
      <w:r>
        <w:rPr>
          <w:rFonts w:hint="eastAsia" w:ascii="宋体" w:hAnsi="宋体" w:eastAsia="宋体" w:cs="宋体"/>
          <w:color w:val="auto"/>
          <w:sz w:val="22"/>
          <w:szCs w:val="22"/>
          <w:highlight w:val="none"/>
        </w:rPr>
        <w:t>验收申请后</w:t>
      </w:r>
      <w:r>
        <w:rPr>
          <w:rFonts w:hint="eastAsia" w:ascii="宋体" w:hAnsi="宋体" w:cs="宋体"/>
          <w:color w:val="auto"/>
          <w:sz w:val="22"/>
          <w:szCs w:val="22"/>
          <w:highlight w:val="none"/>
          <w:u w:val="single"/>
          <w:lang w:val="en-US" w:eastAsia="zh-CN"/>
        </w:rPr>
        <w:t xml:space="preserve">     </w:t>
      </w:r>
      <w:r>
        <w:rPr>
          <w:rFonts w:hint="eastAsia" w:ascii="宋体" w:hAnsi="宋体" w:eastAsia="宋体" w:cs="宋体"/>
          <w:color w:val="auto"/>
          <w:sz w:val="22"/>
          <w:szCs w:val="22"/>
          <w:highlight w:val="none"/>
        </w:rPr>
        <w:t>个工作日内组织</w:t>
      </w:r>
      <w:r>
        <w:rPr>
          <w:rFonts w:hint="eastAsia" w:ascii="宋体" w:hAnsi="宋体" w:cs="宋体"/>
          <w:color w:val="auto"/>
          <w:sz w:val="22"/>
          <w:szCs w:val="22"/>
          <w:highlight w:val="none"/>
          <w:lang w:eastAsia="zh-CN"/>
        </w:rPr>
        <w:t>初步</w:t>
      </w:r>
      <w:r>
        <w:rPr>
          <w:rFonts w:hint="eastAsia" w:ascii="宋体" w:hAnsi="宋体" w:eastAsia="宋体" w:cs="宋体"/>
          <w:color w:val="auto"/>
          <w:sz w:val="22"/>
          <w:szCs w:val="22"/>
          <w:highlight w:val="none"/>
        </w:rPr>
        <w:t>验收。按照招标文件规定、中标供应商投标文件承诺，及国家有关规定组织验收工作.</w:t>
      </w:r>
    </w:p>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3、验收合格后日内，</w:t>
      </w:r>
      <w:r>
        <w:rPr>
          <w:rFonts w:hint="eastAsia" w:ascii="宋体" w:hAnsi="宋体" w:cs="宋体"/>
          <w:color w:val="auto"/>
          <w:sz w:val="22"/>
          <w:szCs w:val="22"/>
          <w:highlight w:val="none"/>
          <w:lang w:eastAsia="zh-CN"/>
        </w:rPr>
        <w:t>甲方</w:t>
      </w:r>
      <w:r>
        <w:rPr>
          <w:rFonts w:hint="eastAsia" w:ascii="宋体" w:hAnsi="宋体" w:eastAsia="宋体" w:cs="宋体"/>
          <w:color w:val="auto"/>
          <w:sz w:val="22"/>
          <w:szCs w:val="22"/>
          <w:highlight w:val="none"/>
        </w:rPr>
        <w:t>出具《温县政府采购验收报告》。</w:t>
      </w:r>
    </w:p>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b/>
          <w:bCs/>
          <w:color w:val="auto"/>
          <w:sz w:val="22"/>
          <w:szCs w:val="22"/>
          <w:highlight w:val="none"/>
        </w:rPr>
      </w:pPr>
      <w:r>
        <w:rPr>
          <w:rFonts w:hint="eastAsia" w:ascii="宋体" w:hAnsi="宋体" w:eastAsia="宋体" w:cs="宋体"/>
          <w:color w:val="auto"/>
          <w:sz w:val="22"/>
          <w:szCs w:val="22"/>
          <w:highlight w:val="none"/>
        </w:rPr>
        <w:t>八、</w:t>
      </w:r>
      <w:r>
        <w:rPr>
          <w:rFonts w:hint="eastAsia" w:ascii="宋体" w:hAnsi="宋体" w:eastAsia="宋体" w:cs="宋体"/>
          <w:b/>
          <w:bCs/>
          <w:color w:val="auto"/>
          <w:sz w:val="22"/>
          <w:szCs w:val="22"/>
          <w:highlight w:val="none"/>
        </w:rPr>
        <w:t>付款程序、方式及期限：</w:t>
      </w:r>
    </w:p>
    <w:p>
      <w:pPr>
        <w:keepNext w:val="0"/>
        <w:keepLines w:val="0"/>
        <w:pageBreakBefore w:val="0"/>
        <w:widowControl w:val="0"/>
        <w:kinsoku/>
        <w:wordWrap/>
        <w:overflowPunct/>
        <w:topLinePunct w:val="0"/>
        <w:autoSpaceDE/>
        <w:autoSpaceDN/>
        <w:bidi w:val="0"/>
        <w:snapToGrid/>
        <w:spacing w:line="380" w:lineRule="exact"/>
        <w:ind w:firstLine="420"/>
        <w:outlineLvl w:val="9"/>
        <w:rPr>
          <w:rFonts w:hint="eastAsia" w:ascii="宋体" w:hAnsi="宋体" w:eastAsia="宋体" w:cs="宋体"/>
          <w:b w:val="0"/>
          <w:bCs w:val="0"/>
          <w:color w:val="auto"/>
          <w:sz w:val="22"/>
          <w:szCs w:val="22"/>
          <w:highlight w:val="none"/>
          <w:lang w:val="zh-CN"/>
        </w:rPr>
      </w:pPr>
      <w:r>
        <w:rPr>
          <w:rFonts w:hint="eastAsia" w:ascii="宋体" w:hAnsi="宋体" w:eastAsia="宋体" w:cs="宋体"/>
          <w:b w:val="0"/>
          <w:bCs w:val="0"/>
          <w:color w:val="auto"/>
          <w:sz w:val="22"/>
          <w:szCs w:val="22"/>
          <w:highlight w:val="none"/>
          <w:lang w:val="zh-CN"/>
        </w:rPr>
        <w:t>1.供应商应</w:t>
      </w:r>
      <w:r>
        <w:rPr>
          <w:rFonts w:hint="eastAsia" w:ascii="宋体" w:hAnsi="宋体" w:eastAsia="宋体" w:cs="宋体"/>
          <w:b w:val="0"/>
          <w:bCs w:val="0"/>
          <w:color w:val="auto"/>
          <w:sz w:val="22"/>
          <w:szCs w:val="22"/>
          <w:highlight w:val="none"/>
          <w:lang w:val="en-US" w:eastAsia="zh-CN"/>
        </w:rPr>
        <w:t>按</w:t>
      </w:r>
      <w:r>
        <w:rPr>
          <w:rFonts w:hint="eastAsia" w:ascii="宋体" w:hAnsi="宋体" w:eastAsia="宋体" w:cs="宋体"/>
          <w:b w:val="0"/>
          <w:bCs w:val="0"/>
          <w:color w:val="auto"/>
          <w:sz w:val="22"/>
          <w:szCs w:val="22"/>
          <w:highlight w:val="none"/>
          <w:lang w:val="zh-CN"/>
        </w:rPr>
        <w:t>采购人</w:t>
      </w:r>
      <w:r>
        <w:rPr>
          <w:rFonts w:hint="eastAsia" w:ascii="宋体" w:hAnsi="宋体" w:eastAsia="宋体" w:cs="宋体"/>
          <w:b w:val="0"/>
          <w:bCs w:val="0"/>
          <w:color w:val="auto"/>
          <w:sz w:val="22"/>
          <w:szCs w:val="22"/>
          <w:highlight w:val="none"/>
          <w:lang w:val="en-US" w:eastAsia="zh-CN"/>
        </w:rPr>
        <w:t>要求</w:t>
      </w:r>
      <w:r>
        <w:rPr>
          <w:rFonts w:hint="eastAsia" w:ascii="宋体" w:hAnsi="宋体" w:eastAsia="宋体" w:cs="宋体"/>
          <w:b w:val="0"/>
          <w:bCs w:val="0"/>
          <w:color w:val="auto"/>
          <w:sz w:val="22"/>
          <w:szCs w:val="22"/>
          <w:highlight w:val="none"/>
          <w:lang w:val="zh-CN"/>
        </w:rPr>
        <w:t>开具发票。</w:t>
      </w:r>
    </w:p>
    <w:p>
      <w:pPr>
        <w:keepNext w:val="0"/>
        <w:keepLines w:val="0"/>
        <w:pageBreakBefore w:val="0"/>
        <w:widowControl w:val="0"/>
        <w:kinsoku/>
        <w:wordWrap/>
        <w:overflowPunct/>
        <w:topLinePunct w:val="0"/>
        <w:autoSpaceDE/>
        <w:autoSpaceDN/>
        <w:bidi w:val="0"/>
        <w:snapToGrid/>
        <w:spacing w:line="380" w:lineRule="exact"/>
        <w:outlineLvl w:val="9"/>
        <w:rPr>
          <w:rFonts w:hint="eastAsia" w:ascii="宋体" w:hAnsi="宋体" w:eastAsia="宋体" w:cs="宋体"/>
          <w:b w:val="0"/>
          <w:bCs w:val="0"/>
          <w:color w:val="auto"/>
          <w:sz w:val="22"/>
          <w:szCs w:val="22"/>
          <w:highlight w:val="none"/>
          <w:lang w:val="en-US" w:eastAsia="zh-CN"/>
        </w:rPr>
      </w:pPr>
      <w:r>
        <w:rPr>
          <w:rFonts w:hint="eastAsia" w:ascii="宋体" w:hAnsi="宋体" w:eastAsia="宋体" w:cs="宋体"/>
          <w:b w:val="0"/>
          <w:bCs w:val="0"/>
          <w:color w:val="auto"/>
          <w:sz w:val="22"/>
          <w:szCs w:val="22"/>
          <w:highlight w:val="none"/>
          <w:lang w:val="en-US" w:eastAsia="zh-CN"/>
        </w:rPr>
        <w:t xml:space="preserve">   2、支付方式：由于本项目资金由焦作市司法局专项资金和温县财政资金两部分构成，供应商需与焦作市司法局、温县司法局签订三方合同，并按合同约定的方式与时间进行支付。</w:t>
      </w:r>
    </w:p>
    <w:p>
      <w:pPr>
        <w:pStyle w:val="29"/>
        <w:keepNext w:val="0"/>
        <w:keepLines w:val="0"/>
        <w:pageBreakBefore w:val="0"/>
        <w:widowControl w:val="0"/>
        <w:kinsoku/>
        <w:wordWrap/>
        <w:overflowPunct/>
        <w:topLinePunct w:val="0"/>
        <w:autoSpaceDE/>
        <w:autoSpaceDN/>
        <w:bidi w:val="0"/>
        <w:adjustRightInd w:val="0"/>
        <w:snapToGrid/>
        <w:spacing w:line="380" w:lineRule="exact"/>
        <w:ind w:firstLine="440" w:firstLineChars="200"/>
        <w:textAlignment w:val="baseline"/>
        <w:outlineLvl w:val="9"/>
        <w:rPr>
          <w:rFonts w:hint="eastAsia" w:ascii="宋体" w:hAnsi="宋体" w:eastAsia="宋体" w:cs="宋体"/>
          <w:b w:val="0"/>
          <w:bCs w:val="0"/>
          <w:color w:val="auto"/>
          <w:sz w:val="22"/>
          <w:szCs w:val="22"/>
          <w:highlight w:val="none"/>
        </w:rPr>
      </w:pPr>
      <w:r>
        <w:rPr>
          <w:rFonts w:hint="eastAsia" w:ascii="宋体" w:hAnsi="宋体" w:eastAsia="宋体" w:cs="宋体"/>
          <w:b w:val="0"/>
          <w:bCs w:val="0"/>
          <w:color w:val="auto"/>
          <w:sz w:val="22"/>
          <w:szCs w:val="22"/>
          <w:highlight w:val="none"/>
          <w:lang w:val="en-US" w:eastAsia="zh-CN"/>
        </w:rPr>
        <w:t>3.</w:t>
      </w:r>
      <w:r>
        <w:rPr>
          <w:rFonts w:hint="eastAsia" w:ascii="宋体" w:hAnsi="宋体" w:eastAsia="宋体" w:cs="宋体"/>
          <w:b w:val="0"/>
          <w:bCs w:val="0"/>
          <w:color w:val="auto"/>
          <w:sz w:val="22"/>
          <w:szCs w:val="22"/>
          <w:highlight w:val="none"/>
          <w:lang w:val="zh-CN"/>
        </w:rPr>
        <w:t>支付时间及条件：主要设备到场后，经验收合格由焦作市司法局支付10万元软件采购预付款，设备(含软件)全部安装、联网调试到位后，焦作市司法局支付软件采购剩余款20万元，</w:t>
      </w:r>
      <w:r>
        <w:rPr>
          <w:rFonts w:hint="eastAsia" w:ascii="宋体" w:hAnsi="宋体" w:eastAsia="宋体" w:cs="宋体"/>
          <w:b w:val="0"/>
          <w:bCs w:val="0"/>
          <w:color w:val="auto"/>
          <w:sz w:val="22"/>
          <w:szCs w:val="22"/>
          <w:highlight w:val="none"/>
          <w:lang w:val="zh-CN" w:eastAsia="zh-CN"/>
        </w:rPr>
        <w:t>并</w:t>
      </w:r>
      <w:r>
        <w:rPr>
          <w:rFonts w:hint="eastAsia" w:ascii="宋体" w:hAnsi="宋体" w:eastAsia="宋体" w:cs="宋体"/>
          <w:b w:val="0"/>
          <w:bCs w:val="0"/>
          <w:color w:val="auto"/>
          <w:sz w:val="22"/>
          <w:szCs w:val="22"/>
          <w:highlight w:val="none"/>
          <w:lang w:val="zh-CN"/>
        </w:rPr>
        <w:t>由温县司法局支付设备采购合同</w:t>
      </w:r>
      <w:r>
        <w:rPr>
          <w:rFonts w:hint="eastAsia" w:ascii="宋体" w:hAnsi="宋体" w:eastAsia="宋体" w:cs="宋体"/>
          <w:b w:val="0"/>
          <w:bCs w:val="0"/>
          <w:color w:val="auto"/>
          <w:sz w:val="22"/>
          <w:szCs w:val="22"/>
          <w:highlight w:val="none"/>
          <w:lang w:val="zh-CN" w:eastAsia="zh-CN"/>
        </w:rPr>
        <w:t>总</w:t>
      </w:r>
      <w:r>
        <w:rPr>
          <w:rFonts w:hint="eastAsia" w:ascii="宋体" w:hAnsi="宋体" w:eastAsia="宋体" w:cs="宋体"/>
          <w:b w:val="0"/>
          <w:bCs w:val="0"/>
          <w:color w:val="auto"/>
          <w:sz w:val="22"/>
          <w:szCs w:val="22"/>
          <w:highlight w:val="none"/>
          <w:lang w:val="zh-CN"/>
        </w:rPr>
        <w:t>金额的20%。经</w:t>
      </w:r>
      <w:r>
        <w:rPr>
          <w:rFonts w:hint="eastAsia" w:ascii="宋体" w:hAnsi="宋体" w:cs="宋体"/>
          <w:b w:val="0"/>
          <w:bCs w:val="0"/>
          <w:color w:val="auto"/>
          <w:sz w:val="22"/>
          <w:szCs w:val="22"/>
          <w:highlight w:val="none"/>
          <w:lang w:val="zh-CN"/>
        </w:rPr>
        <w:t>司法部</w:t>
      </w:r>
      <w:r>
        <w:rPr>
          <w:rFonts w:hint="eastAsia" w:ascii="宋体" w:hAnsi="宋体" w:eastAsia="宋体" w:cs="宋体"/>
          <w:b w:val="0"/>
          <w:bCs w:val="0"/>
          <w:color w:val="auto"/>
          <w:sz w:val="22"/>
          <w:szCs w:val="22"/>
          <w:highlight w:val="none"/>
          <w:lang w:val="zh-CN"/>
        </w:rPr>
        <w:t>验收合格后，温县司法局支付至设备采购合同</w:t>
      </w:r>
      <w:r>
        <w:rPr>
          <w:rFonts w:hint="eastAsia" w:ascii="宋体" w:hAnsi="宋体" w:eastAsia="宋体" w:cs="宋体"/>
          <w:b w:val="0"/>
          <w:bCs w:val="0"/>
          <w:color w:val="auto"/>
          <w:sz w:val="22"/>
          <w:szCs w:val="22"/>
          <w:highlight w:val="none"/>
          <w:lang w:val="zh-CN" w:eastAsia="zh-CN"/>
        </w:rPr>
        <w:t>总</w:t>
      </w:r>
      <w:r>
        <w:rPr>
          <w:rFonts w:hint="eastAsia" w:ascii="宋体" w:hAnsi="宋体" w:eastAsia="宋体" w:cs="宋体"/>
          <w:b w:val="0"/>
          <w:bCs w:val="0"/>
          <w:color w:val="auto"/>
          <w:sz w:val="22"/>
          <w:szCs w:val="22"/>
          <w:highlight w:val="none"/>
          <w:lang w:val="zh-CN"/>
        </w:rPr>
        <w:t>金额的97%，剩余 3%作为质保金，一年后无质量问题一次性由温县司法局付清</w:t>
      </w:r>
      <w:r>
        <w:rPr>
          <w:rFonts w:hint="eastAsia" w:ascii="宋体" w:hAnsi="宋体" w:eastAsia="宋体" w:cs="宋体"/>
          <w:b w:val="0"/>
          <w:bCs w:val="0"/>
          <w:color w:val="auto"/>
          <w:sz w:val="22"/>
          <w:szCs w:val="22"/>
          <w:highlight w:val="none"/>
          <w:lang w:val="zh-CN" w:eastAsia="zh-CN"/>
        </w:rPr>
        <w:t>（无息）</w:t>
      </w:r>
      <w:r>
        <w:rPr>
          <w:rFonts w:hint="eastAsia" w:ascii="宋体" w:hAnsi="宋体" w:eastAsia="宋体" w:cs="宋体"/>
          <w:b w:val="0"/>
          <w:bCs w:val="0"/>
          <w:color w:val="auto"/>
          <w:sz w:val="22"/>
          <w:szCs w:val="22"/>
          <w:highlight w:val="none"/>
          <w:lang w:val="zh-CN"/>
        </w:rPr>
        <w:t>。</w:t>
      </w:r>
    </w:p>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九、本合同单价及总价为不变价，不受市场风险等因素的影响。</w:t>
      </w:r>
    </w:p>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十、违约责任</w:t>
      </w:r>
    </w:p>
    <w:p>
      <w:pPr>
        <w:keepNext w:val="0"/>
        <w:keepLines w:val="0"/>
        <w:pageBreakBefore w:val="0"/>
        <w:widowControl w:val="0"/>
        <w:kinsoku/>
        <w:wordWrap/>
        <w:overflowPunct/>
        <w:topLinePunct w:val="0"/>
        <w:autoSpaceDE/>
        <w:autoSpaceDN/>
        <w:bidi w:val="0"/>
        <w:adjustRightInd/>
        <w:snapToGrid/>
        <w:spacing w:line="380" w:lineRule="exact"/>
        <w:ind w:firstLine="440" w:firstLineChars="200"/>
        <w:textAlignment w:val="auto"/>
        <w:outlineLvl w:val="9"/>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rPr>
        <w:t xml:space="preserve"> </w:t>
      </w:r>
      <w:r>
        <w:rPr>
          <w:rFonts w:hint="eastAsia" w:ascii="宋体" w:hAnsi="宋体" w:eastAsia="宋体" w:cs="宋体"/>
          <w:color w:val="auto"/>
          <w:sz w:val="22"/>
          <w:szCs w:val="22"/>
          <w:highlight w:val="none"/>
          <w:lang w:val="en-US" w:eastAsia="zh-CN"/>
        </w:rPr>
        <w:t>1.</w:t>
      </w:r>
      <w:r>
        <w:rPr>
          <w:rFonts w:hint="eastAsia" w:ascii="宋体" w:hAnsi="宋体" w:cs="宋体"/>
          <w:color w:val="auto"/>
          <w:sz w:val="22"/>
          <w:szCs w:val="22"/>
          <w:highlight w:val="none"/>
          <w:lang w:val="zh-CN"/>
        </w:rPr>
        <w:t>乙方</w:t>
      </w:r>
      <w:r>
        <w:rPr>
          <w:rFonts w:hint="eastAsia" w:ascii="宋体" w:hAnsi="宋体" w:eastAsia="宋体" w:cs="宋体"/>
          <w:color w:val="auto"/>
          <w:sz w:val="22"/>
          <w:szCs w:val="22"/>
          <w:highlight w:val="none"/>
          <w:lang w:val="zh-CN"/>
        </w:rPr>
        <w:t>所交付的货物品种、型号、规格、质量不符合国家规定标准及合同要求的，或者</w:t>
      </w:r>
      <w:r>
        <w:rPr>
          <w:rFonts w:hint="eastAsia" w:ascii="宋体" w:hAnsi="宋体" w:cs="宋体"/>
          <w:color w:val="auto"/>
          <w:sz w:val="22"/>
          <w:szCs w:val="22"/>
          <w:highlight w:val="none"/>
          <w:lang w:val="zh-CN"/>
        </w:rPr>
        <w:t>乙方</w:t>
      </w:r>
      <w:r>
        <w:rPr>
          <w:rFonts w:hint="eastAsia" w:ascii="宋体" w:hAnsi="宋体" w:eastAsia="宋体" w:cs="宋体"/>
          <w:color w:val="auto"/>
          <w:sz w:val="22"/>
          <w:szCs w:val="22"/>
          <w:highlight w:val="none"/>
          <w:lang w:val="zh-CN"/>
        </w:rPr>
        <w:t>不能交付货物或完成系统安装、调试的，</w:t>
      </w:r>
      <w:r>
        <w:rPr>
          <w:rFonts w:hint="eastAsia" w:ascii="宋体" w:hAnsi="宋体" w:cs="宋体"/>
          <w:color w:val="auto"/>
          <w:sz w:val="22"/>
          <w:szCs w:val="22"/>
          <w:highlight w:val="none"/>
          <w:lang w:val="zh-CN"/>
        </w:rPr>
        <w:t>乙方</w:t>
      </w:r>
      <w:r>
        <w:rPr>
          <w:rFonts w:hint="eastAsia" w:ascii="宋体" w:hAnsi="宋体" w:eastAsia="宋体" w:cs="宋体"/>
          <w:color w:val="auto"/>
          <w:sz w:val="22"/>
          <w:szCs w:val="22"/>
          <w:highlight w:val="none"/>
          <w:lang w:val="zh-CN"/>
        </w:rPr>
        <w:t>应向</w:t>
      </w:r>
      <w:r>
        <w:rPr>
          <w:rFonts w:hint="eastAsia" w:ascii="宋体" w:hAnsi="宋体" w:cs="宋体"/>
          <w:color w:val="auto"/>
          <w:sz w:val="22"/>
          <w:szCs w:val="22"/>
          <w:highlight w:val="none"/>
          <w:lang w:val="zh-CN"/>
        </w:rPr>
        <w:t>甲方</w:t>
      </w:r>
      <w:r>
        <w:rPr>
          <w:rFonts w:hint="eastAsia" w:ascii="宋体" w:hAnsi="宋体" w:eastAsia="宋体" w:cs="宋体"/>
          <w:color w:val="auto"/>
          <w:sz w:val="22"/>
          <w:szCs w:val="22"/>
          <w:highlight w:val="none"/>
          <w:lang w:val="zh-CN"/>
        </w:rPr>
        <w:t xml:space="preserve">支付合同金额总值 </w:t>
      </w:r>
      <w:r>
        <w:rPr>
          <w:rFonts w:hint="eastAsia" w:ascii="宋体" w:hAnsi="宋体" w:eastAsia="宋体" w:cs="宋体"/>
          <w:color w:val="auto"/>
          <w:sz w:val="22"/>
          <w:szCs w:val="22"/>
          <w:highlight w:val="none"/>
          <w:u w:val="single"/>
          <w:lang w:val="zh-CN"/>
        </w:rPr>
        <w:t xml:space="preserve"> 10 </w:t>
      </w:r>
      <w:r>
        <w:rPr>
          <w:rFonts w:hint="eastAsia" w:ascii="宋体" w:hAnsi="宋体" w:eastAsia="宋体" w:cs="宋体"/>
          <w:color w:val="auto"/>
          <w:sz w:val="22"/>
          <w:szCs w:val="22"/>
          <w:highlight w:val="none"/>
          <w:lang w:val="zh-CN"/>
        </w:rPr>
        <w:t xml:space="preserve"> %的违约金；</w:t>
      </w:r>
      <w:r>
        <w:rPr>
          <w:rFonts w:hint="eastAsia" w:ascii="宋体" w:hAnsi="宋体" w:cs="宋体"/>
          <w:color w:val="auto"/>
          <w:sz w:val="22"/>
          <w:szCs w:val="22"/>
          <w:highlight w:val="none"/>
          <w:lang w:val="zh-CN"/>
        </w:rPr>
        <w:t>甲方</w:t>
      </w:r>
      <w:r>
        <w:rPr>
          <w:rFonts w:hint="eastAsia" w:ascii="宋体" w:hAnsi="宋体" w:eastAsia="宋体" w:cs="宋体"/>
          <w:color w:val="auto"/>
          <w:sz w:val="22"/>
          <w:szCs w:val="22"/>
          <w:highlight w:val="none"/>
          <w:lang w:val="zh-CN"/>
        </w:rPr>
        <w:t>并有权解除合同，要求</w:t>
      </w:r>
      <w:r>
        <w:rPr>
          <w:rFonts w:hint="eastAsia" w:ascii="宋体" w:hAnsi="宋体" w:cs="宋体"/>
          <w:color w:val="auto"/>
          <w:sz w:val="22"/>
          <w:szCs w:val="22"/>
          <w:highlight w:val="none"/>
          <w:lang w:val="zh-CN"/>
        </w:rPr>
        <w:t>乙方</w:t>
      </w:r>
      <w:r>
        <w:rPr>
          <w:rFonts w:hint="eastAsia" w:ascii="宋体" w:hAnsi="宋体" w:eastAsia="宋体" w:cs="宋体"/>
          <w:color w:val="auto"/>
          <w:sz w:val="22"/>
          <w:szCs w:val="22"/>
          <w:highlight w:val="none"/>
          <w:lang w:val="zh-CN"/>
        </w:rPr>
        <w:t>赔偿损失。</w:t>
      </w:r>
      <w:r>
        <w:rPr>
          <w:rFonts w:hint="eastAsia" w:ascii="宋体" w:hAnsi="宋体" w:cs="宋体"/>
          <w:color w:val="auto"/>
          <w:sz w:val="22"/>
          <w:szCs w:val="22"/>
          <w:highlight w:val="none"/>
          <w:lang w:val="zh-CN"/>
        </w:rPr>
        <w:t>乙方</w:t>
      </w:r>
      <w:r>
        <w:rPr>
          <w:rFonts w:hint="eastAsia" w:ascii="宋体" w:hAnsi="宋体" w:eastAsia="宋体" w:cs="宋体"/>
          <w:color w:val="auto"/>
          <w:sz w:val="22"/>
          <w:szCs w:val="22"/>
          <w:highlight w:val="none"/>
          <w:lang w:val="zh-CN"/>
        </w:rPr>
        <w:t>如逾期交付的，每逾期一日</w:t>
      </w:r>
      <w:r>
        <w:rPr>
          <w:rFonts w:hint="eastAsia" w:ascii="宋体" w:hAnsi="宋体" w:cs="宋体"/>
          <w:color w:val="auto"/>
          <w:sz w:val="22"/>
          <w:szCs w:val="22"/>
          <w:highlight w:val="none"/>
          <w:lang w:val="zh-CN"/>
        </w:rPr>
        <w:t>乙方</w:t>
      </w:r>
      <w:r>
        <w:rPr>
          <w:rFonts w:hint="eastAsia" w:ascii="宋体" w:hAnsi="宋体" w:eastAsia="宋体" w:cs="宋体"/>
          <w:color w:val="auto"/>
          <w:sz w:val="22"/>
          <w:szCs w:val="22"/>
          <w:highlight w:val="none"/>
          <w:lang w:val="zh-CN"/>
        </w:rPr>
        <w:t>应向</w:t>
      </w:r>
      <w:r>
        <w:rPr>
          <w:rFonts w:hint="eastAsia" w:ascii="宋体" w:hAnsi="宋体" w:cs="宋体"/>
          <w:color w:val="auto"/>
          <w:sz w:val="22"/>
          <w:szCs w:val="22"/>
          <w:highlight w:val="none"/>
          <w:lang w:val="zh-CN"/>
        </w:rPr>
        <w:t>甲方</w:t>
      </w:r>
      <w:r>
        <w:rPr>
          <w:rFonts w:hint="eastAsia" w:ascii="宋体" w:hAnsi="宋体" w:eastAsia="宋体" w:cs="宋体"/>
          <w:color w:val="auto"/>
          <w:sz w:val="22"/>
          <w:szCs w:val="22"/>
          <w:highlight w:val="none"/>
          <w:lang w:val="zh-CN"/>
        </w:rPr>
        <w:t>支付合同金额的</w:t>
      </w:r>
      <w:r>
        <w:rPr>
          <w:rFonts w:hint="eastAsia" w:ascii="宋体" w:hAnsi="宋体" w:eastAsia="宋体" w:cs="宋体"/>
          <w:color w:val="auto"/>
          <w:sz w:val="22"/>
          <w:szCs w:val="22"/>
          <w:highlight w:val="none"/>
          <w:u w:val="single"/>
          <w:lang w:val="zh-CN"/>
        </w:rPr>
        <w:t xml:space="preserve">   0.</w:t>
      </w:r>
      <w:r>
        <w:rPr>
          <w:rFonts w:hint="eastAsia" w:ascii="宋体" w:hAnsi="宋体" w:eastAsia="宋体" w:cs="宋体"/>
          <w:color w:val="auto"/>
          <w:sz w:val="22"/>
          <w:szCs w:val="22"/>
          <w:highlight w:val="none"/>
          <w:u w:val="single"/>
          <w:lang w:val="en-US" w:eastAsia="zh-CN"/>
        </w:rPr>
        <w:t>2</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的违约金。逾期交付的违约金总额不超过合同总金额的</w:t>
      </w:r>
      <w:r>
        <w:rPr>
          <w:rFonts w:hint="eastAsia" w:ascii="宋体" w:hAnsi="宋体" w:eastAsia="宋体" w:cs="宋体"/>
          <w:color w:val="auto"/>
          <w:sz w:val="22"/>
          <w:szCs w:val="22"/>
          <w:highlight w:val="none"/>
          <w:u w:val="single"/>
          <w:lang w:val="zh-CN"/>
        </w:rPr>
        <w:t>20%。</w:t>
      </w:r>
      <w:r>
        <w:rPr>
          <w:rFonts w:hint="eastAsia" w:ascii="宋体" w:hAnsi="宋体" w:eastAsia="宋体" w:cs="宋体"/>
          <w:color w:val="auto"/>
          <w:sz w:val="22"/>
          <w:szCs w:val="22"/>
          <w:highlight w:val="none"/>
          <w:lang w:val="zh-CN"/>
        </w:rPr>
        <w:t xml:space="preserve">逾期超过 </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u w:val="single"/>
          <w:lang w:val="en-US" w:eastAsia="zh-CN"/>
        </w:rPr>
        <w:t>10</w:t>
      </w:r>
      <w:r>
        <w:rPr>
          <w:rFonts w:hint="eastAsia" w:ascii="宋体" w:hAnsi="宋体" w:eastAsia="宋体" w:cs="宋体"/>
          <w:color w:val="auto"/>
          <w:sz w:val="22"/>
          <w:szCs w:val="22"/>
          <w:highlight w:val="none"/>
          <w:u w:val="single"/>
          <w:lang w:val="zh-CN"/>
        </w:rPr>
        <w:t xml:space="preserve"> </w:t>
      </w:r>
      <w:r>
        <w:rPr>
          <w:rFonts w:hint="eastAsia" w:ascii="宋体" w:hAnsi="宋体" w:eastAsia="宋体" w:cs="宋体"/>
          <w:color w:val="auto"/>
          <w:sz w:val="22"/>
          <w:szCs w:val="22"/>
          <w:highlight w:val="none"/>
          <w:lang w:val="zh-CN"/>
        </w:rPr>
        <w:t>日的，</w:t>
      </w:r>
      <w:r>
        <w:rPr>
          <w:rFonts w:hint="eastAsia" w:ascii="宋体" w:hAnsi="宋体" w:cs="宋体"/>
          <w:color w:val="auto"/>
          <w:sz w:val="22"/>
          <w:szCs w:val="22"/>
          <w:highlight w:val="none"/>
          <w:lang w:val="zh-CN"/>
        </w:rPr>
        <w:t>甲方</w:t>
      </w:r>
      <w:r>
        <w:rPr>
          <w:rFonts w:hint="eastAsia" w:ascii="宋体" w:hAnsi="宋体" w:eastAsia="宋体" w:cs="宋体"/>
          <w:color w:val="auto"/>
          <w:sz w:val="22"/>
          <w:szCs w:val="22"/>
          <w:highlight w:val="none"/>
          <w:lang w:val="zh-CN"/>
        </w:rPr>
        <w:t>有权解除合同或者选择继续履行；</w:t>
      </w:r>
      <w:r>
        <w:rPr>
          <w:rFonts w:hint="eastAsia" w:ascii="宋体" w:hAnsi="宋体" w:cs="宋体"/>
          <w:color w:val="auto"/>
          <w:sz w:val="22"/>
          <w:szCs w:val="22"/>
          <w:highlight w:val="none"/>
          <w:lang w:val="zh-CN"/>
        </w:rPr>
        <w:t>甲方</w:t>
      </w:r>
      <w:r>
        <w:rPr>
          <w:rFonts w:hint="eastAsia" w:ascii="宋体" w:hAnsi="宋体" w:eastAsia="宋体" w:cs="宋体"/>
          <w:color w:val="auto"/>
          <w:sz w:val="22"/>
          <w:szCs w:val="22"/>
          <w:highlight w:val="none"/>
          <w:lang w:val="zh-CN"/>
        </w:rPr>
        <w:t>要求</w:t>
      </w:r>
      <w:r>
        <w:rPr>
          <w:rFonts w:hint="eastAsia" w:ascii="宋体" w:hAnsi="宋体" w:cs="宋体"/>
          <w:color w:val="auto"/>
          <w:sz w:val="22"/>
          <w:szCs w:val="22"/>
          <w:highlight w:val="none"/>
          <w:lang w:val="zh-CN"/>
        </w:rPr>
        <w:t>乙方</w:t>
      </w:r>
      <w:r>
        <w:rPr>
          <w:rFonts w:hint="eastAsia" w:ascii="宋体" w:hAnsi="宋体" w:eastAsia="宋体" w:cs="宋体"/>
          <w:color w:val="auto"/>
          <w:sz w:val="22"/>
          <w:szCs w:val="22"/>
          <w:highlight w:val="none"/>
          <w:lang w:val="zh-CN"/>
        </w:rPr>
        <w:t>继续履行合同的，不影响</w:t>
      </w:r>
      <w:r>
        <w:rPr>
          <w:rFonts w:hint="eastAsia" w:ascii="宋体" w:hAnsi="宋体" w:cs="宋体"/>
          <w:color w:val="auto"/>
          <w:sz w:val="22"/>
          <w:szCs w:val="22"/>
          <w:highlight w:val="none"/>
          <w:lang w:val="zh-CN"/>
        </w:rPr>
        <w:t>甲方</w:t>
      </w:r>
      <w:r>
        <w:rPr>
          <w:rFonts w:hint="eastAsia" w:ascii="宋体" w:hAnsi="宋体" w:eastAsia="宋体" w:cs="宋体"/>
          <w:color w:val="auto"/>
          <w:sz w:val="22"/>
          <w:szCs w:val="22"/>
          <w:highlight w:val="none"/>
          <w:lang w:val="zh-CN"/>
        </w:rPr>
        <w:t>向</w:t>
      </w:r>
      <w:r>
        <w:rPr>
          <w:rFonts w:hint="eastAsia" w:ascii="宋体" w:hAnsi="宋体" w:cs="宋体"/>
          <w:color w:val="auto"/>
          <w:sz w:val="22"/>
          <w:szCs w:val="22"/>
          <w:highlight w:val="none"/>
          <w:lang w:val="zh-CN"/>
        </w:rPr>
        <w:t>乙方</w:t>
      </w:r>
      <w:r>
        <w:rPr>
          <w:rFonts w:hint="eastAsia" w:ascii="宋体" w:hAnsi="宋体" w:eastAsia="宋体" w:cs="宋体"/>
          <w:color w:val="auto"/>
          <w:sz w:val="22"/>
          <w:szCs w:val="22"/>
          <w:highlight w:val="none"/>
          <w:lang w:val="zh-CN"/>
        </w:rPr>
        <w:t>主张违约责任。</w:t>
      </w:r>
    </w:p>
    <w:p>
      <w:pPr>
        <w:keepNext w:val="0"/>
        <w:keepLines w:val="0"/>
        <w:pageBreakBefore w:val="0"/>
        <w:widowControl w:val="0"/>
        <w:kinsoku/>
        <w:wordWrap/>
        <w:overflowPunct/>
        <w:topLinePunct w:val="0"/>
        <w:autoSpaceDE/>
        <w:autoSpaceDN/>
        <w:bidi w:val="0"/>
        <w:adjustRightInd/>
        <w:snapToGrid/>
        <w:spacing w:line="380" w:lineRule="exact"/>
        <w:ind w:firstLine="440" w:firstLineChars="200"/>
        <w:textAlignment w:val="auto"/>
        <w:outlineLvl w:val="9"/>
        <w:rPr>
          <w:rFonts w:hint="eastAsia" w:ascii="宋体" w:hAnsi="宋体" w:eastAsia="宋体" w:cs="宋体"/>
          <w:color w:val="auto"/>
          <w:sz w:val="22"/>
          <w:szCs w:val="22"/>
          <w:highlight w:val="none"/>
          <w:lang w:val="zh-CN"/>
        </w:rPr>
      </w:pPr>
      <w:r>
        <w:rPr>
          <w:rFonts w:hint="eastAsia" w:ascii="宋体" w:hAnsi="宋体" w:eastAsia="宋体" w:cs="宋体"/>
          <w:color w:val="auto"/>
          <w:sz w:val="22"/>
          <w:szCs w:val="22"/>
          <w:highlight w:val="none"/>
          <w:lang w:val="en-US" w:eastAsia="zh-CN"/>
        </w:rPr>
        <w:t>2.</w:t>
      </w:r>
      <w:r>
        <w:rPr>
          <w:rFonts w:hint="eastAsia" w:ascii="宋体" w:hAnsi="宋体" w:eastAsia="宋体" w:cs="宋体"/>
          <w:color w:val="auto"/>
          <w:sz w:val="22"/>
          <w:szCs w:val="22"/>
          <w:highlight w:val="none"/>
          <w:lang w:val="zh-CN"/>
        </w:rPr>
        <w:t>如</w:t>
      </w:r>
      <w:r>
        <w:rPr>
          <w:rFonts w:hint="eastAsia" w:ascii="宋体" w:hAnsi="宋体" w:cs="宋体"/>
          <w:color w:val="auto"/>
          <w:sz w:val="22"/>
          <w:szCs w:val="22"/>
          <w:highlight w:val="none"/>
          <w:lang w:val="zh-CN"/>
        </w:rPr>
        <w:t>甲方</w:t>
      </w:r>
      <w:r>
        <w:rPr>
          <w:rFonts w:hint="eastAsia" w:ascii="宋体" w:hAnsi="宋体" w:eastAsia="宋体" w:cs="宋体"/>
          <w:color w:val="auto"/>
          <w:sz w:val="22"/>
          <w:szCs w:val="22"/>
          <w:highlight w:val="none"/>
          <w:lang w:val="zh-CN"/>
        </w:rPr>
        <w:t>违约，按合同一般条款执行。</w:t>
      </w:r>
    </w:p>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十一、争议的解决：</w:t>
      </w:r>
    </w:p>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1、双方友好协商；</w:t>
      </w:r>
    </w:p>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2、提请主管部门进行调解；</w:t>
      </w:r>
    </w:p>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3、由</w:t>
      </w:r>
      <w:r>
        <w:rPr>
          <w:rFonts w:hint="eastAsia" w:ascii="宋体" w:hAnsi="宋体" w:cs="宋体"/>
          <w:color w:val="auto"/>
          <w:sz w:val="22"/>
          <w:szCs w:val="22"/>
          <w:highlight w:val="none"/>
          <w:lang w:eastAsia="zh-CN"/>
        </w:rPr>
        <w:t>甲方</w:t>
      </w:r>
      <w:r>
        <w:rPr>
          <w:rFonts w:hint="eastAsia" w:ascii="宋体" w:hAnsi="宋体" w:eastAsia="宋体" w:cs="宋体"/>
          <w:color w:val="auto"/>
          <w:sz w:val="22"/>
          <w:szCs w:val="22"/>
          <w:highlight w:val="none"/>
        </w:rPr>
        <w:t>所在地人民法院诉讼管辖。</w:t>
      </w:r>
    </w:p>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十二、合同生效、备案及其它</w:t>
      </w:r>
    </w:p>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1、本合同经双方代表签字并加盖公章后生效。</w:t>
      </w:r>
    </w:p>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2、本合同一式</w:t>
      </w:r>
      <w:r>
        <w:rPr>
          <w:rFonts w:hint="eastAsia" w:ascii="宋体" w:hAnsi="宋体" w:cs="宋体"/>
          <w:color w:val="auto"/>
          <w:sz w:val="22"/>
          <w:szCs w:val="22"/>
          <w:highlight w:val="none"/>
          <w:lang w:eastAsia="zh-CN"/>
        </w:rPr>
        <w:t>陆</w:t>
      </w:r>
      <w:r>
        <w:rPr>
          <w:rFonts w:hint="eastAsia" w:ascii="宋体" w:hAnsi="宋体" w:eastAsia="宋体" w:cs="宋体"/>
          <w:color w:val="auto"/>
          <w:sz w:val="22"/>
          <w:szCs w:val="22"/>
          <w:highlight w:val="none"/>
        </w:rPr>
        <w:t>份，</w:t>
      </w:r>
      <w:r>
        <w:rPr>
          <w:rFonts w:hint="eastAsia" w:ascii="宋体" w:hAnsi="宋体" w:cs="宋体"/>
          <w:color w:val="auto"/>
          <w:sz w:val="22"/>
          <w:szCs w:val="22"/>
          <w:highlight w:val="none"/>
          <w:lang w:eastAsia="zh-CN"/>
        </w:rPr>
        <w:t>甲乙</w:t>
      </w:r>
      <w:r>
        <w:rPr>
          <w:rFonts w:hint="eastAsia" w:ascii="宋体" w:hAnsi="宋体" w:eastAsia="宋体" w:cs="宋体"/>
          <w:color w:val="auto"/>
          <w:sz w:val="22"/>
          <w:szCs w:val="22"/>
          <w:highlight w:val="none"/>
        </w:rPr>
        <w:t>双方</w:t>
      </w:r>
      <w:r>
        <w:rPr>
          <w:rFonts w:hint="eastAsia" w:ascii="宋体" w:hAnsi="宋体" w:cs="宋体"/>
          <w:color w:val="auto"/>
          <w:sz w:val="22"/>
          <w:szCs w:val="22"/>
          <w:highlight w:val="none"/>
          <w:lang w:eastAsia="zh-CN"/>
        </w:rPr>
        <w:t>和第三方</w:t>
      </w:r>
      <w:r>
        <w:rPr>
          <w:rFonts w:hint="eastAsia" w:ascii="宋体" w:hAnsi="宋体" w:eastAsia="宋体" w:cs="宋体"/>
          <w:color w:val="auto"/>
          <w:sz w:val="22"/>
          <w:szCs w:val="22"/>
          <w:highlight w:val="none"/>
        </w:rPr>
        <w:t>各持一份，在合同签订之日起七个工作日内交付温县财政局备案一份、温县公共资源交易中心存档一份，办理资金支付手续时提交一份。</w:t>
      </w:r>
    </w:p>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3、本合同未尽事宜，供需双方可签订补充协议，但补充协议不得违背本招标文件及</w:t>
      </w:r>
      <w:r>
        <w:rPr>
          <w:rFonts w:hint="eastAsia" w:ascii="宋体" w:hAnsi="宋体" w:cs="宋体"/>
          <w:color w:val="auto"/>
          <w:sz w:val="22"/>
          <w:szCs w:val="22"/>
          <w:highlight w:val="none"/>
          <w:lang w:eastAsia="zh-CN"/>
        </w:rPr>
        <w:t>乙方</w:t>
      </w:r>
      <w:r>
        <w:rPr>
          <w:rFonts w:hint="eastAsia" w:ascii="宋体" w:hAnsi="宋体" w:eastAsia="宋体" w:cs="宋体"/>
          <w:color w:val="auto"/>
          <w:sz w:val="22"/>
          <w:szCs w:val="22"/>
          <w:highlight w:val="none"/>
        </w:rPr>
        <w:t>的投标文件或报价文件的实质性约定内容。</w:t>
      </w:r>
    </w:p>
    <w:p>
      <w:pPr>
        <w:keepNext w:val="0"/>
        <w:keepLines w:val="0"/>
        <w:pageBreakBefore w:val="0"/>
        <w:widowControl w:val="0"/>
        <w:kinsoku/>
        <w:wordWrap/>
        <w:overflowPunct/>
        <w:topLinePunct w:val="0"/>
        <w:autoSpaceDE/>
        <w:autoSpaceDN/>
        <w:bidi w:val="0"/>
        <w:snapToGrid/>
        <w:spacing w:line="380" w:lineRule="exact"/>
        <w:ind w:firstLine="440" w:firstLineChars="200"/>
        <w:outlineLvl w:val="9"/>
        <w:rPr>
          <w:rFonts w:hint="eastAsia" w:ascii="宋体" w:hAnsi="宋体" w:eastAsia="宋体" w:cs="宋体"/>
          <w:color w:val="auto"/>
          <w:sz w:val="22"/>
          <w:szCs w:val="22"/>
          <w:highlight w:val="none"/>
        </w:rPr>
      </w:pPr>
    </w:p>
    <w:p>
      <w:pPr>
        <w:keepNext w:val="0"/>
        <w:keepLines w:val="0"/>
        <w:pageBreakBefore w:val="0"/>
        <w:widowControl w:val="0"/>
        <w:kinsoku/>
        <w:wordWrap/>
        <w:overflowPunct/>
        <w:topLinePunct w:val="0"/>
        <w:autoSpaceDE/>
        <w:autoSpaceDN/>
        <w:bidi w:val="0"/>
        <w:adjustRightInd/>
        <w:snapToGrid/>
        <w:spacing w:line="380" w:lineRule="exac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w:t>
      </w:r>
      <w:r>
        <w:rPr>
          <w:rFonts w:hint="eastAsia" w:ascii="宋体" w:hAnsi="宋体" w:eastAsia="宋体" w:cs="宋体"/>
          <w:color w:val="auto"/>
          <w:sz w:val="22"/>
          <w:szCs w:val="22"/>
          <w:highlight w:val="none"/>
          <w:lang w:val="en-US" w:eastAsia="zh-CN"/>
        </w:rPr>
        <w:t xml:space="preserve">   </w:t>
      </w:r>
      <w:r>
        <w:rPr>
          <w:rFonts w:hint="eastAsia" w:ascii="宋体" w:hAnsi="宋体" w:cs="宋体"/>
          <w:color w:val="auto"/>
          <w:sz w:val="22"/>
          <w:szCs w:val="22"/>
          <w:highlight w:val="none"/>
          <w:lang w:eastAsia="zh-CN"/>
        </w:rPr>
        <w:t>甲方</w:t>
      </w:r>
      <w:r>
        <w:rPr>
          <w:rFonts w:hint="eastAsia" w:ascii="宋体" w:hAnsi="宋体" w:eastAsia="宋体" w:cs="宋体"/>
          <w:color w:val="auto"/>
          <w:sz w:val="22"/>
          <w:szCs w:val="22"/>
          <w:highlight w:val="none"/>
        </w:rPr>
        <w:t xml:space="preserve"> （公章）：                         </w:t>
      </w:r>
      <w:r>
        <w:rPr>
          <w:rFonts w:hint="eastAsia" w:ascii="宋体" w:hAnsi="宋体" w:cs="宋体"/>
          <w:color w:val="auto"/>
          <w:sz w:val="22"/>
          <w:szCs w:val="22"/>
          <w:highlight w:val="none"/>
          <w:lang w:eastAsia="zh-CN"/>
        </w:rPr>
        <w:t>乙方</w:t>
      </w:r>
      <w:r>
        <w:rPr>
          <w:rFonts w:hint="eastAsia" w:ascii="宋体" w:hAnsi="宋体" w:eastAsia="宋体" w:cs="宋体"/>
          <w:color w:val="auto"/>
          <w:sz w:val="22"/>
          <w:szCs w:val="22"/>
          <w:highlight w:val="none"/>
        </w:rPr>
        <w:t>（公章）：</w:t>
      </w:r>
    </w:p>
    <w:p>
      <w:pPr>
        <w:keepNext w:val="0"/>
        <w:keepLines w:val="0"/>
        <w:pageBreakBefore w:val="0"/>
        <w:widowControl w:val="0"/>
        <w:kinsoku/>
        <w:wordWrap/>
        <w:overflowPunct/>
        <w:topLinePunct w:val="0"/>
        <w:autoSpaceDE/>
        <w:autoSpaceDN/>
        <w:bidi w:val="0"/>
        <w:adjustRightInd/>
        <w:snapToGrid/>
        <w:spacing w:line="380" w:lineRule="exac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地址：                                 地址：</w:t>
      </w:r>
    </w:p>
    <w:p>
      <w:pPr>
        <w:keepNext w:val="0"/>
        <w:keepLines w:val="0"/>
        <w:pageBreakBefore w:val="0"/>
        <w:widowControl w:val="0"/>
        <w:kinsoku/>
        <w:wordWrap/>
        <w:overflowPunct/>
        <w:topLinePunct w:val="0"/>
        <w:autoSpaceDE/>
        <w:autoSpaceDN/>
        <w:bidi w:val="0"/>
        <w:adjustRightInd/>
        <w:snapToGrid/>
        <w:spacing w:line="380" w:lineRule="exac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法定代表人或委托                       法定代表人或委托</w:t>
      </w:r>
    </w:p>
    <w:p>
      <w:pPr>
        <w:keepNext w:val="0"/>
        <w:keepLines w:val="0"/>
        <w:pageBreakBefore w:val="0"/>
        <w:widowControl w:val="0"/>
        <w:kinsoku/>
        <w:wordWrap/>
        <w:overflowPunct/>
        <w:topLinePunct w:val="0"/>
        <w:autoSpaceDE/>
        <w:autoSpaceDN/>
        <w:bidi w:val="0"/>
        <w:adjustRightInd/>
        <w:snapToGrid/>
        <w:spacing w:line="380" w:lineRule="exac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代理人（签字）：                        代理人（签字）：</w:t>
      </w:r>
    </w:p>
    <w:p>
      <w:pPr>
        <w:keepNext w:val="0"/>
        <w:keepLines w:val="0"/>
        <w:pageBreakBefore w:val="0"/>
        <w:widowControl w:val="0"/>
        <w:kinsoku/>
        <w:wordWrap/>
        <w:overflowPunct/>
        <w:topLinePunct w:val="0"/>
        <w:autoSpaceDE/>
        <w:autoSpaceDN/>
        <w:bidi w:val="0"/>
        <w:adjustRightInd/>
        <w:snapToGrid/>
        <w:spacing w:line="380" w:lineRule="exac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电话：                                 电话：</w:t>
      </w:r>
    </w:p>
    <w:p>
      <w:pPr>
        <w:keepNext w:val="0"/>
        <w:keepLines w:val="0"/>
        <w:pageBreakBefore w:val="0"/>
        <w:widowControl w:val="0"/>
        <w:kinsoku/>
        <w:wordWrap/>
        <w:overflowPunct/>
        <w:topLinePunct w:val="0"/>
        <w:autoSpaceDE/>
        <w:autoSpaceDN/>
        <w:bidi w:val="0"/>
        <w:adjustRightInd/>
        <w:snapToGrid/>
        <w:spacing w:line="380" w:lineRule="exac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开户行：                               开户行：</w:t>
      </w:r>
    </w:p>
    <w:p>
      <w:pPr>
        <w:keepNext w:val="0"/>
        <w:keepLines w:val="0"/>
        <w:pageBreakBefore w:val="0"/>
        <w:widowControl w:val="0"/>
        <w:kinsoku/>
        <w:wordWrap/>
        <w:overflowPunct/>
        <w:topLinePunct w:val="0"/>
        <w:autoSpaceDE/>
        <w:autoSpaceDN/>
        <w:bidi w:val="0"/>
        <w:adjustRightInd/>
        <w:snapToGrid/>
        <w:spacing w:line="380" w:lineRule="exac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账号：                                 账号：</w:t>
      </w:r>
    </w:p>
    <w:p>
      <w:pPr>
        <w:keepNext w:val="0"/>
        <w:keepLines w:val="0"/>
        <w:pageBreakBefore w:val="0"/>
        <w:widowControl w:val="0"/>
        <w:kinsoku/>
        <w:wordWrap/>
        <w:overflowPunct/>
        <w:topLinePunct w:val="0"/>
        <w:autoSpaceDE/>
        <w:autoSpaceDN/>
        <w:bidi w:val="0"/>
        <w:adjustRightInd/>
        <w:snapToGrid/>
        <w:spacing w:line="380" w:lineRule="exac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签约时间：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 xml:space="preserve"> 年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月</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日       签约时间：</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 xml:space="preserve"> 年 </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月</w:t>
      </w:r>
      <w:r>
        <w:rPr>
          <w:rFonts w:hint="eastAsia" w:ascii="宋体" w:hAnsi="宋体" w:eastAsia="宋体" w:cs="宋体"/>
          <w:color w:val="auto"/>
          <w:sz w:val="22"/>
          <w:szCs w:val="22"/>
          <w:highlight w:val="none"/>
          <w:u w:val="single"/>
        </w:rPr>
        <w:t xml:space="preserve">    </w:t>
      </w:r>
      <w:r>
        <w:rPr>
          <w:rFonts w:hint="eastAsia" w:ascii="宋体" w:hAnsi="宋体" w:eastAsia="宋体" w:cs="宋体"/>
          <w:color w:val="auto"/>
          <w:sz w:val="22"/>
          <w:szCs w:val="22"/>
          <w:highlight w:val="none"/>
        </w:rPr>
        <w:t>日</w:t>
      </w:r>
    </w:p>
    <w:p>
      <w:pPr>
        <w:keepNext w:val="0"/>
        <w:keepLines w:val="0"/>
        <w:pageBreakBefore w:val="0"/>
        <w:widowControl w:val="0"/>
        <w:kinsoku/>
        <w:wordWrap/>
        <w:overflowPunct/>
        <w:topLinePunct w:val="0"/>
        <w:autoSpaceDE/>
        <w:autoSpaceDN/>
        <w:bidi w:val="0"/>
        <w:adjustRightInd/>
        <w:snapToGrid/>
        <w:spacing w:line="380" w:lineRule="exact"/>
        <w:textAlignment w:val="auto"/>
        <w:outlineLvl w:val="9"/>
        <w:rPr>
          <w:rFonts w:hint="eastAsia" w:ascii="宋体" w:hAnsi="宋体" w:eastAsia="宋体" w:cs="宋体"/>
          <w:color w:val="auto"/>
          <w:sz w:val="22"/>
          <w:szCs w:val="22"/>
          <w:highlight w:val="none"/>
          <w:lang w:val="en-US" w:eastAsia="zh-CN"/>
        </w:rPr>
      </w:pPr>
      <w:r>
        <w:rPr>
          <w:rFonts w:hint="eastAsia" w:ascii="宋体" w:hAnsi="宋体" w:eastAsia="宋体" w:cs="宋体"/>
          <w:color w:val="auto"/>
          <w:sz w:val="22"/>
          <w:szCs w:val="22"/>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380" w:lineRule="exact"/>
        <w:ind w:firstLine="440" w:firstLineChars="200"/>
        <w:textAlignment w:val="auto"/>
        <w:outlineLvl w:val="9"/>
        <w:rPr>
          <w:rFonts w:hint="eastAsia" w:ascii="宋体" w:hAnsi="宋体" w:eastAsia="宋体" w:cs="宋体"/>
          <w:color w:val="auto"/>
          <w:sz w:val="22"/>
          <w:szCs w:val="22"/>
          <w:highlight w:val="none"/>
        </w:rPr>
      </w:pPr>
      <w:r>
        <w:rPr>
          <w:rFonts w:hint="eastAsia" w:ascii="宋体" w:hAnsi="宋体" w:cs="宋体"/>
          <w:color w:val="auto"/>
          <w:sz w:val="22"/>
          <w:szCs w:val="22"/>
          <w:highlight w:val="none"/>
          <w:lang w:eastAsia="zh-CN"/>
        </w:rPr>
        <w:t>第三方</w:t>
      </w:r>
      <w:r>
        <w:rPr>
          <w:rFonts w:hint="eastAsia" w:ascii="宋体" w:hAnsi="宋体" w:eastAsia="宋体" w:cs="宋体"/>
          <w:color w:val="auto"/>
          <w:sz w:val="22"/>
          <w:szCs w:val="22"/>
          <w:highlight w:val="none"/>
        </w:rPr>
        <w:t xml:space="preserve">（公章）：                        </w:t>
      </w:r>
    </w:p>
    <w:p>
      <w:pPr>
        <w:keepNext w:val="0"/>
        <w:keepLines w:val="0"/>
        <w:pageBreakBefore w:val="0"/>
        <w:widowControl w:val="0"/>
        <w:kinsoku/>
        <w:wordWrap/>
        <w:overflowPunct/>
        <w:topLinePunct w:val="0"/>
        <w:autoSpaceDE/>
        <w:autoSpaceDN/>
        <w:bidi w:val="0"/>
        <w:adjustRightInd/>
        <w:snapToGrid/>
        <w:spacing w:line="380" w:lineRule="exac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地址：                                </w:t>
      </w:r>
    </w:p>
    <w:p>
      <w:pPr>
        <w:keepNext w:val="0"/>
        <w:keepLines w:val="0"/>
        <w:pageBreakBefore w:val="0"/>
        <w:widowControl w:val="0"/>
        <w:kinsoku/>
        <w:wordWrap/>
        <w:overflowPunct/>
        <w:topLinePunct w:val="0"/>
        <w:autoSpaceDE/>
        <w:autoSpaceDN/>
        <w:bidi w:val="0"/>
        <w:adjustRightInd/>
        <w:snapToGrid/>
        <w:spacing w:line="380" w:lineRule="exac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法定代表人或委托                       </w:t>
      </w:r>
    </w:p>
    <w:p>
      <w:pPr>
        <w:keepNext w:val="0"/>
        <w:keepLines w:val="0"/>
        <w:pageBreakBefore w:val="0"/>
        <w:widowControl w:val="0"/>
        <w:kinsoku/>
        <w:wordWrap/>
        <w:overflowPunct/>
        <w:topLinePunct w:val="0"/>
        <w:autoSpaceDE/>
        <w:autoSpaceDN/>
        <w:bidi w:val="0"/>
        <w:adjustRightInd/>
        <w:snapToGrid/>
        <w:spacing w:line="380" w:lineRule="exac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代理人（签字）：                       </w:t>
      </w:r>
    </w:p>
    <w:p>
      <w:pPr>
        <w:keepNext w:val="0"/>
        <w:keepLines w:val="0"/>
        <w:pageBreakBefore w:val="0"/>
        <w:widowControl w:val="0"/>
        <w:kinsoku/>
        <w:wordWrap/>
        <w:overflowPunct/>
        <w:topLinePunct w:val="0"/>
        <w:autoSpaceDE/>
        <w:autoSpaceDN/>
        <w:bidi w:val="0"/>
        <w:adjustRightInd/>
        <w:snapToGrid/>
        <w:spacing w:line="380" w:lineRule="exac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电话：                                </w:t>
      </w:r>
    </w:p>
    <w:p>
      <w:pPr>
        <w:keepNext w:val="0"/>
        <w:keepLines w:val="0"/>
        <w:pageBreakBefore w:val="0"/>
        <w:widowControl w:val="0"/>
        <w:kinsoku/>
        <w:wordWrap/>
        <w:overflowPunct/>
        <w:topLinePunct w:val="0"/>
        <w:autoSpaceDE/>
        <w:autoSpaceDN/>
        <w:bidi w:val="0"/>
        <w:adjustRightInd/>
        <w:snapToGrid/>
        <w:spacing w:line="380" w:lineRule="exac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开户行：                              </w:t>
      </w:r>
    </w:p>
    <w:p>
      <w:pPr>
        <w:keepNext w:val="0"/>
        <w:keepLines w:val="0"/>
        <w:pageBreakBefore w:val="0"/>
        <w:widowControl w:val="0"/>
        <w:kinsoku/>
        <w:wordWrap/>
        <w:overflowPunct/>
        <w:topLinePunct w:val="0"/>
        <w:autoSpaceDE/>
        <w:autoSpaceDN/>
        <w:bidi w:val="0"/>
        <w:adjustRightInd/>
        <w:snapToGrid/>
        <w:spacing w:line="380" w:lineRule="exact"/>
        <w:textAlignment w:val="auto"/>
        <w:outlineLvl w:val="9"/>
        <w:rPr>
          <w:rFonts w:hint="eastAsia" w:ascii="宋体" w:hAnsi="宋体" w:eastAsia="宋体" w:cs="宋体"/>
          <w:color w:val="auto"/>
          <w:sz w:val="22"/>
          <w:szCs w:val="22"/>
          <w:highlight w:val="none"/>
        </w:rPr>
      </w:pPr>
      <w:r>
        <w:rPr>
          <w:rFonts w:hint="eastAsia" w:ascii="宋体" w:hAnsi="宋体" w:eastAsia="宋体" w:cs="宋体"/>
          <w:color w:val="auto"/>
          <w:sz w:val="22"/>
          <w:szCs w:val="22"/>
          <w:highlight w:val="none"/>
        </w:rPr>
        <w:t xml:space="preserve">    账号：                                 </w:t>
      </w:r>
    </w:p>
    <w:p>
      <w:pPr>
        <w:pStyle w:val="22"/>
        <w:keepNext w:val="0"/>
        <w:keepLines w:val="0"/>
        <w:pageBreakBefore w:val="0"/>
        <w:widowControl w:val="0"/>
        <w:kinsoku/>
        <w:wordWrap/>
        <w:overflowPunct/>
        <w:topLinePunct w:val="0"/>
        <w:autoSpaceDE/>
        <w:autoSpaceDN/>
        <w:bidi w:val="0"/>
        <w:snapToGrid/>
        <w:spacing w:line="380" w:lineRule="exact"/>
        <w:ind w:firstLine="441"/>
        <w:jc w:val="left"/>
        <w:outlineLvl w:val="9"/>
        <w:rPr>
          <w:rFonts w:hint="eastAsia" w:ascii="宋体" w:hAnsi="宋体" w:eastAsia="宋体" w:cs="宋体"/>
          <w:color w:val="auto"/>
          <w:sz w:val="22"/>
          <w:szCs w:val="22"/>
          <w:highlight w:val="none"/>
        </w:rPr>
      </w:pPr>
      <w:r>
        <w:rPr>
          <w:rFonts w:hint="eastAsia" w:ascii="宋体" w:hAnsi="宋体" w:eastAsia="宋体" w:cs="宋体"/>
          <w:b w:val="0"/>
          <w:bCs w:val="0"/>
          <w:color w:val="auto"/>
          <w:kern w:val="2"/>
          <w:sz w:val="22"/>
          <w:szCs w:val="22"/>
          <w:highlight w:val="none"/>
          <w:lang w:val="en-US" w:eastAsia="zh-CN" w:bidi="ar-SA"/>
        </w:rPr>
        <w:t>签约时间：</w:t>
      </w:r>
      <w:r>
        <w:rPr>
          <w:rFonts w:hint="eastAsia" w:ascii="宋体" w:hAnsi="宋体" w:eastAsia="宋体" w:cs="宋体"/>
          <w:b w:val="0"/>
          <w:bCs w:val="0"/>
          <w:color w:val="auto"/>
          <w:sz w:val="22"/>
          <w:szCs w:val="22"/>
          <w:highlight w:val="none"/>
          <w:u w:val="single"/>
        </w:rPr>
        <w:t xml:space="preserve">      </w:t>
      </w:r>
      <w:r>
        <w:rPr>
          <w:rFonts w:hint="eastAsia" w:ascii="宋体" w:hAnsi="宋体" w:eastAsia="宋体" w:cs="宋体"/>
          <w:b w:val="0"/>
          <w:bCs w:val="0"/>
          <w:color w:val="auto"/>
          <w:sz w:val="22"/>
          <w:szCs w:val="22"/>
          <w:highlight w:val="none"/>
        </w:rPr>
        <w:t xml:space="preserve"> 年 </w:t>
      </w:r>
      <w:r>
        <w:rPr>
          <w:rFonts w:hint="eastAsia" w:ascii="宋体" w:hAnsi="宋体" w:eastAsia="宋体" w:cs="宋体"/>
          <w:b w:val="0"/>
          <w:bCs w:val="0"/>
          <w:color w:val="auto"/>
          <w:sz w:val="22"/>
          <w:szCs w:val="22"/>
          <w:highlight w:val="none"/>
          <w:u w:val="single"/>
        </w:rPr>
        <w:t xml:space="preserve">    </w:t>
      </w:r>
      <w:r>
        <w:rPr>
          <w:rFonts w:hint="eastAsia" w:ascii="宋体" w:hAnsi="宋体" w:eastAsia="宋体" w:cs="宋体"/>
          <w:b w:val="0"/>
          <w:bCs w:val="0"/>
          <w:color w:val="auto"/>
          <w:sz w:val="22"/>
          <w:szCs w:val="22"/>
          <w:highlight w:val="none"/>
        </w:rPr>
        <w:t>月</w:t>
      </w:r>
      <w:r>
        <w:rPr>
          <w:rFonts w:hint="eastAsia" w:ascii="宋体" w:hAnsi="宋体" w:eastAsia="宋体" w:cs="宋体"/>
          <w:b w:val="0"/>
          <w:bCs w:val="0"/>
          <w:color w:val="auto"/>
          <w:sz w:val="22"/>
          <w:szCs w:val="22"/>
          <w:highlight w:val="none"/>
          <w:u w:val="single"/>
        </w:rPr>
        <w:t xml:space="preserve">    </w:t>
      </w:r>
      <w:r>
        <w:rPr>
          <w:rFonts w:hint="eastAsia" w:ascii="宋体" w:hAnsi="宋体" w:eastAsia="宋体" w:cs="宋体"/>
          <w:b w:val="0"/>
          <w:bCs w:val="0"/>
          <w:color w:val="auto"/>
          <w:kern w:val="2"/>
          <w:sz w:val="22"/>
          <w:szCs w:val="22"/>
          <w:highlight w:val="none"/>
          <w:lang w:val="en-US" w:eastAsia="zh-CN" w:bidi="ar-SA"/>
        </w:rPr>
        <w:t>日</w:t>
      </w:r>
      <w:r>
        <w:rPr>
          <w:rFonts w:hint="eastAsia" w:ascii="宋体" w:hAnsi="宋体" w:eastAsia="宋体" w:cs="宋体"/>
          <w:b w:val="0"/>
          <w:bCs w:val="0"/>
          <w:color w:val="auto"/>
          <w:sz w:val="22"/>
          <w:szCs w:val="22"/>
          <w:highlight w:val="none"/>
        </w:rPr>
        <w:t xml:space="preserve"> </w:t>
      </w:r>
    </w:p>
    <w:p>
      <w:pPr>
        <w:ind w:firstLine="441"/>
        <w:rPr>
          <w:color w:val="auto"/>
          <w:highlight w:val="none"/>
        </w:rPr>
      </w:pPr>
    </w:p>
    <w:p>
      <w:pPr>
        <w:pStyle w:val="2"/>
        <w:rPr>
          <w:color w:val="auto"/>
          <w:highlight w:val="none"/>
        </w:rPr>
      </w:pPr>
    </w:p>
    <w:p>
      <w:pPr>
        <w:rPr>
          <w:color w:val="auto"/>
          <w:highlight w:val="none"/>
        </w:rPr>
      </w:pPr>
    </w:p>
    <w:p>
      <w:pPr>
        <w:pStyle w:val="22"/>
        <w:rPr>
          <w:rFonts w:ascii="宋体" w:cs="宋体"/>
          <w:color w:val="auto"/>
          <w:highlight w:val="none"/>
        </w:rPr>
      </w:pPr>
      <w:bookmarkStart w:id="108" w:name="_Toc9313"/>
      <w:r>
        <w:rPr>
          <w:rFonts w:hint="eastAsia" w:ascii="宋体" w:hAnsi="宋体" w:cs="宋体"/>
          <w:color w:val="auto"/>
          <w:highlight w:val="none"/>
        </w:rPr>
        <w:t>第六章</w:t>
      </w:r>
      <w:r>
        <w:rPr>
          <w:rFonts w:ascii="宋体" w:hAnsi="宋体" w:cs="宋体"/>
          <w:color w:val="auto"/>
          <w:highlight w:val="none"/>
        </w:rPr>
        <w:t xml:space="preserve">  </w:t>
      </w:r>
      <w:r>
        <w:rPr>
          <w:rFonts w:hint="eastAsia" w:ascii="宋体" w:hAnsi="宋体" w:cs="宋体"/>
          <w:color w:val="auto"/>
          <w:highlight w:val="none"/>
        </w:rPr>
        <w:t>响应文件格式</w:t>
      </w:r>
      <w:bookmarkEnd w:id="107"/>
      <w:bookmarkEnd w:id="108"/>
    </w:p>
    <w:p>
      <w:pPr>
        <w:spacing w:line="360" w:lineRule="exact"/>
        <w:rPr>
          <w:rFonts w:ascii="宋体" w:cs="宋体"/>
          <w:color w:val="auto"/>
          <w:szCs w:val="21"/>
          <w:highlight w:val="none"/>
        </w:rPr>
      </w:pPr>
    </w:p>
    <w:p>
      <w:pPr>
        <w:spacing w:line="360" w:lineRule="exact"/>
        <w:jc w:val="center"/>
        <w:rPr>
          <w:rFonts w:ascii="宋体" w:cs="宋体"/>
          <w:color w:val="auto"/>
          <w:szCs w:val="21"/>
          <w:highlight w:val="none"/>
        </w:rPr>
      </w:pPr>
      <w:r>
        <w:rPr>
          <w:rFonts w:ascii="宋体" w:hAnsi="宋体" w:cs="宋体"/>
          <w:color w:val="auto"/>
          <w:szCs w:val="21"/>
          <w:highlight w:val="none"/>
        </w:rPr>
        <w:t xml:space="preserve">                                                                     </w:t>
      </w:r>
    </w:p>
    <w:p>
      <w:pPr>
        <w:spacing w:line="360" w:lineRule="exact"/>
        <w:ind w:right="420"/>
        <w:outlineLvl w:val="0"/>
        <w:rPr>
          <w:rFonts w:ascii="宋体" w:cs="宋体"/>
          <w:color w:val="auto"/>
          <w:szCs w:val="21"/>
          <w:highlight w:val="none"/>
        </w:rPr>
      </w:pPr>
    </w:p>
    <w:p>
      <w:pPr>
        <w:spacing w:line="360" w:lineRule="exact"/>
        <w:ind w:right="315"/>
        <w:outlineLvl w:val="0"/>
        <w:rPr>
          <w:rFonts w:ascii="宋体" w:cs="宋体"/>
          <w:color w:val="auto"/>
          <w:szCs w:val="21"/>
          <w:highlight w:val="none"/>
        </w:rPr>
      </w:pPr>
    </w:p>
    <w:p>
      <w:pPr>
        <w:spacing w:line="360" w:lineRule="exact"/>
        <w:rPr>
          <w:rFonts w:ascii="宋体" w:cs="宋体"/>
          <w:b/>
          <w:color w:val="auto"/>
          <w:sz w:val="44"/>
          <w:szCs w:val="44"/>
          <w:highlight w:val="none"/>
        </w:rPr>
      </w:pPr>
    </w:p>
    <w:p>
      <w:pPr>
        <w:spacing w:line="360" w:lineRule="exact"/>
        <w:jc w:val="center"/>
        <w:rPr>
          <w:rFonts w:ascii="宋体" w:cs="宋体"/>
          <w:b/>
          <w:color w:val="auto"/>
          <w:sz w:val="36"/>
          <w:szCs w:val="36"/>
          <w:highlight w:val="none"/>
          <w:u w:val="single"/>
        </w:rPr>
      </w:pPr>
      <w:r>
        <w:rPr>
          <w:rFonts w:ascii="宋体" w:hAnsi="宋体" w:cs="宋体"/>
          <w:b/>
          <w:color w:val="auto"/>
          <w:sz w:val="36"/>
          <w:szCs w:val="36"/>
          <w:highlight w:val="none"/>
          <w:u w:val="single"/>
        </w:rPr>
        <w:t xml:space="preserve">                          </w:t>
      </w:r>
      <w:r>
        <w:rPr>
          <w:rFonts w:hint="eastAsia" w:ascii="宋体" w:hAnsi="宋体" w:cs="宋体"/>
          <w:b/>
          <w:color w:val="auto"/>
          <w:sz w:val="36"/>
          <w:szCs w:val="36"/>
          <w:highlight w:val="none"/>
        </w:rPr>
        <w:t>项目</w:t>
      </w:r>
    </w:p>
    <w:p>
      <w:pPr>
        <w:spacing w:line="480" w:lineRule="exact"/>
        <w:jc w:val="center"/>
        <w:rPr>
          <w:rFonts w:ascii="宋体" w:cs="宋体"/>
          <w:color w:val="auto"/>
          <w:spacing w:val="-20"/>
          <w:sz w:val="44"/>
          <w:szCs w:val="44"/>
          <w:highlight w:val="none"/>
        </w:rPr>
      </w:pPr>
    </w:p>
    <w:p>
      <w:pPr>
        <w:spacing w:line="480" w:lineRule="exact"/>
        <w:jc w:val="center"/>
        <w:rPr>
          <w:rFonts w:ascii="宋体" w:cs="宋体"/>
          <w:b/>
          <w:color w:val="auto"/>
          <w:sz w:val="44"/>
          <w:szCs w:val="44"/>
          <w:highlight w:val="none"/>
        </w:rPr>
      </w:pPr>
      <w:r>
        <w:rPr>
          <w:rFonts w:hint="eastAsia" w:ascii="宋体" w:hAnsi="宋体" w:cs="宋体"/>
          <w:b/>
          <w:color w:val="auto"/>
          <w:sz w:val="44"/>
          <w:szCs w:val="44"/>
          <w:highlight w:val="none"/>
        </w:rPr>
        <w:t>（参考格式）</w:t>
      </w:r>
    </w:p>
    <w:p>
      <w:pPr>
        <w:spacing w:line="480" w:lineRule="exact"/>
        <w:rPr>
          <w:rFonts w:ascii="宋体" w:cs="宋体"/>
          <w:b/>
          <w:color w:val="auto"/>
          <w:sz w:val="44"/>
          <w:szCs w:val="44"/>
          <w:highlight w:val="none"/>
        </w:rPr>
      </w:pPr>
    </w:p>
    <w:p>
      <w:pPr>
        <w:spacing w:line="480" w:lineRule="exact"/>
        <w:jc w:val="center"/>
        <w:rPr>
          <w:rFonts w:ascii="宋体" w:cs="宋体"/>
          <w:b/>
          <w:color w:val="auto"/>
          <w:sz w:val="44"/>
          <w:szCs w:val="44"/>
          <w:highlight w:val="none"/>
        </w:rPr>
      </w:pPr>
      <w:r>
        <w:rPr>
          <w:rFonts w:hint="eastAsia" w:ascii="宋体" w:hAnsi="宋体" w:cs="宋体"/>
          <w:b/>
          <w:color w:val="auto"/>
          <w:sz w:val="44"/>
          <w:szCs w:val="44"/>
          <w:highlight w:val="none"/>
        </w:rPr>
        <w:t>响</w:t>
      </w:r>
      <w:r>
        <w:rPr>
          <w:rFonts w:ascii="宋体" w:hAnsi="宋体" w:cs="宋体"/>
          <w:b/>
          <w:color w:val="auto"/>
          <w:sz w:val="44"/>
          <w:szCs w:val="44"/>
          <w:highlight w:val="none"/>
        </w:rPr>
        <w:t xml:space="preserve"> </w:t>
      </w:r>
      <w:r>
        <w:rPr>
          <w:rFonts w:hint="eastAsia" w:ascii="宋体" w:hAnsi="宋体" w:cs="宋体"/>
          <w:b/>
          <w:color w:val="auto"/>
          <w:sz w:val="44"/>
          <w:szCs w:val="44"/>
          <w:highlight w:val="none"/>
        </w:rPr>
        <w:t>应</w:t>
      </w:r>
      <w:r>
        <w:rPr>
          <w:rFonts w:ascii="宋体" w:hAnsi="宋体" w:cs="宋体"/>
          <w:b/>
          <w:color w:val="auto"/>
          <w:sz w:val="44"/>
          <w:szCs w:val="44"/>
          <w:highlight w:val="none"/>
        </w:rPr>
        <w:t xml:space="preserve"> </w:t>
      </w:r>
      <w:r>
        <w:rPr>
          <w:rFonts w:hint="eastAsia" w:ascii="宋体" w:hAnsi="宋体" w:cs="宋体"/>
          <w:b/>
          <w:color w:val="auto"/>
          <w:sz w:val="44"/>
          <w:szCs w:val="44"/>
          <w:highlight w:val="none"/>
        </w:rPr>
        <w:t>文</w:t>
      </w:r>
      <w:r>
        <w:rPr>
          <w:rFonts w:ascii="宋体" w:hAnsi="宋体" w:cs="宋体"/>
          <w:b/>
          <w:color w:val="auto"/>
          <w:sz w:val="44"/>
          <w:szCs w:val="44"/>
          <w:highlight w:val="none"/>
        </w:rPr>
        <w:t xml:space="preserve"> </w:t>
      </w:r>
      <w:r>
        <w:rPr>
          <w:rFonts w:hint="eastAsia" w:ascii="宋体" w:hAnsi="宋体" w:cs="宋体"/>
          <w:b/>
          <w:color w:val="auto"/>
          <w:sz w:val="44"/>
          <w:szCs w:val="44"/>
          <w:highlight w:val="none"/>
        </w:rPr>
        <w:t>件</w:t>
      </w:r>
    </w:p>
    <w:p>
      <w:pPr>
        <w:spacing w:line="480" w:lineRule="exact"/>
        <w:jc w:val="center"/>
        <w:rPr>
          <w:rFonts w:ascii="宋体" w:cs="宋体"/>
          <w:b/>
          <w:color w:val="auto"/>
          <w:sz w:val="44"/>
          <w:szCs w:val="44"/>
          <w:highlight w:val="none"/>
        </w:rPr>
      </w:pPr>
    </w:p>
    <w:p>
      <w:pPr>
        <w:spacing w:line="480" w:lineRule="exact"/>
        <w:jc w:val="center"/>
        <w:rPr>
          <w:rFonts w:ascii="宋体" w:cs="宋体"/>
          <w:color w:val="auto"/>
          <w:szCs w:val="21"/>
          <w:highlight w:val="none"/>
        </w:rPr>
      </w:pPr>
      <w:r>
        <w:rPr>
          <w:rFonts w:hint="eastAsia" w:ascii="宋体" w:hAnsi="宋体" w:cs="宋体"/>
          <w:color w:val="auto"/>
          <w:szCs w:val="21"/>
          <w:highlight w:val="none"/>
        </w:rPr>
        <w:t>项目编号：温交易</w:t>
      </w:r>
      <w:r>
        <w:rPr>
          <w:rFonts w:ascii="宋体" w:hAnsi="宋体" w:cs="宋体"/>
          <w:color w:val="auto"/>
          <w:szCs w:val="21"/>
          <w:highlight w:val="none"/>
        </w:rPr>
        <w:t>[20</w:t>
      </w: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ascii="宋体" w:hAnsi="宋体" w:cs="宋体"/>
          <w:color w:val="auto"/>
          <w:szCs w:val="21"/>
          <w:highlight w:val="none"/>
        </w:rPr>
        <w:t xml:space="preserve">]   </w:t>
      </w:r>
      <w:r>
        <w:rPr>
          <w:rFonts w:hint="eastAsia" w:ascii="宋体" w:hAnsi="宋体" w:cs="宋体"/>
          <w:color w:val="auto"/>
          <w:szCs w:val="21"/>
          <w:highlight w:val="none"/>
        </w:rPr>
        <w:t>号</w:t>
      </w:r>
    </w:p>
    <w:p>
      <w:pPr>
        <w:spacing w:line="480" w:lineRule="exact"/>
        <w:jc w:val="center"/>
        <w:rPr>
          <w:rFonts w:ascii="宋体" w:cs="宋体"/>
          <w:color w:val="auto"/>
          <w:szCs w:val="21"/>
          <w:highlight w:val="none"/>
        </w:rPr>
      </w:pPr>
      <w:r>
        <w:rPr>
          <w:rFonts w:hint="eastAsia" w:ascii="宋体" w:hAnsi="宋体" w:cs="宋体"/>
          <w:color w:val="auto"/>
          <w:szCs w:val="21"/>
          <w:highlight w:val="none"/>
        </w:rPr>
        <w:t>采购编号：温政采</w:t>
      </w:r>
      <w:r>
        <w:rPr>
          <w:rFonts w:ascii="宋体" w:hAnsi="宋体" w:cs="宋体"/>
          <w:color w:val="auto"/>
          <w:szCs w:val="21"/>
          <w:highlight w:val="none"/>
        </w:rPr>
        <w:t>[20</w:t>
      </w:r>
      <w:r>
        <w:rPr>
          <w:rFonts w:hint="eastAsia" w:ascii="宋体" w:hAnsi="宋体" w:cs="宋体"/>
          <w:color w:val="auto"/>
          <w:szCs w:val="21"/>
          <w:highlight w:val="none"/>
        </w:rPr>
        <w:t>2</w:t>
      </w:r>
      <w:r>
        <w:rPr>
          <w:rFonts w:hint="eastAsia" w:ascii="宋体" w:hAnsi="宋体" w:cs="宋体"/>
          <w:color w:val="auto"/>
          <w:szCs w:val="21"/>
          <w:highlight w:val="none"/>
          <w:lang w:val="en-US" w:eastAsia="zh-CN"/>
        </w:rPr>
        <w:t>2</w:t>
      </w:r>
      <w:r>
        <w:rPr>
          <w:rFonts w:ascii="宋体" w:hAnsi="宋体" w:cs="宋体"/>
          <w:color w:val="auto"/>
          <w:szCs w:val="21"/>
          <w:highlight w:val="none"/>
        </w:rPr>
        <w:t xml:space="preserve">]   </w:t>
      </w:r>
      <w:r>
        <w:rPr>
          <w:rFonts w:hint="eastAsia" w:ascii="宋体" w:hAnsi="宋体" w:cs="宋体"/>
          <w:color w:val="auto"/>
          <w:szCs w:val="21"/>
          <w:highlight w:val="none"/>
        </w:rPr>
        <w:t>号</w:t>
      </w:r>
    </w:p>
    <w:p>
      <w:pPr>
        <w:spacing w:line="480" w:lineRule="exact"/>
        <w:jc w:val="center"/>
        <w:rPr>
          <w:rFonts w:ascii="宋体" w:cs="宋体"/>
          <w:color w:val="auto"/>
          <w:szCs w:val="21"/>
          <w:highlight w:val="none"/>
        </w:rPr>
      </w:pPr>
      <w:r>
        <w:rPr>
          <w:rFonts w:ascii="宋体" w:hAnsi="宋体" w:cs="宋体"/>
          <w:color w:val="auto"/>
          <w:szCs w:val="21"/>
          <w:highlight w:val="none"/>
        </w:rPr>
        <w:t xml:space="preserve">          </w:t>
      </w:r>
    </w:p>
    <w:p>
      <w:pPr>
        <w:spacing w:line="480" w:lineRule="exact"/>
        <w:rPr>
          <w:rFonts w:ascii="宋体" w:cs="宋体"/>
          <w:color w:val="auto"/>
          <w:szCs w:val="21"/>
          <w:highlight w:val="none"/>
        </w:rPr>
      </w:pPr>
    </w:p>
    <w:p>
      <w:pPr>
        <w:spacing w:line="480" w:lineRule="exact"/>
        <w:rPr>
          <w:rFonts w:ascii="宋体" w:cs="宋体"/>
          <w:color w:val="auto"/>
          <w:szCs w:val="21"/>
          <w:highlight w:val="none"/>
        </w:rPr>
      </w:pPr>
    </w:p>
    <w:p>
      <w:pPr>
        <w:spacing w:line="360" w:lineRule="exact"/>
        <w:rPr>
          <w:rFonts w:ascii="宋体" w:cs="宋体"/>
          <w:color w:val="auto"/>
          <w:szCs w:val="21"/>
          <w:highlight w:val="none"/>
        </w:rPr>
      </w:pPr>
    </w:p>
    <w:p>
      <w:pPr>
        <w:spacing w:line="360" w:lineRule="exact"/>
        <w:rPr>
          <w:rFonts w:ascii="宋体" w:cs="宋体"/>
          <w:color w:val="auto"/>
          <w:szCs w:val="21"/>
          <w:highlight w:val="none"/>
        </w:rPr>
      </w:pPr>
    </w:p>
    <w:p>
      <w:pPr>
        <w:spacing w:line="360" w:lineRule="exact"/>
        <w:rPr>
          <w:rFonts w:ascii="宋体" w:cs="宋体"/>
          <w:color w:val="auto"/>
          <w:szCs w:val="21"/>
          <w:highlight w:val="none"/>
        </w:rPr>
      </w:pPr>
    </w:p>
    <w:p>
      <w:pPr>
        <w:spacing w:line="360" w:lineRule="exact"/>
        <w:rPr>
          <w:rFonts w:ascii="宋体" w:cs="宋体"/>
          <w:color w:val="auto"/>
          <w:szCs w:val="21"/>
          <w:highlight w:val="none"/>
        </w:rPr>
      </w:pPr>
    </w:p>
    <w:p>
      <w:pPr>
        <w:spacing w:line="360" w:lineRule="exact"/>
        <w:rPr>
          <w:rFonts w:ascii="宋体" w:cs="宋体"/>
          <w:color w:val="auto"/>
          <w:szCs w:val="21"/>
          <w:highlight w:val="none"/>
        </w:rPr>
      </w:pPr>
    </w:p>
    <w:p>
      <w:pPr>
        <w:spacing w:line="360" w:lineRule="exact"/>
        <w:rPr>
          <w:rFonts w:ascii="宋体" w:cs="宋体"/>
          <w:color w:val="auto"/>
          <w:szCs w:val="21"/>
          <w:highlight w:val="none"/>
        </w:rPr>
      </w:pPr>
    </w:p>
    <w:p>
      <w:pPr>
        <w:spacing w:line="360" w:lineRule="exact"/>
        <w:outlineLvl w:val="0"/>
        <w:rPr>
          <w:rFonts w:ascii="宋体" w:cs="宋体"/>
          <w:color w:val="auto"/>
          <w:szCs w:val="21"/>
          <w:highlight w:val="none"/>
        </w:rPr>
      </w:pPr>
    </w:p>
    <w:p>
      <w:pPr>
        <w:spacing w:line="360" w:lineRule="exact"/>
        <w:outlineLvl w:val="0"/>
        <w:rPr>
          <w:rFonts w:ascii="宋体" w:cs="宋体"/>
          <w:color w:val="auto"/>
          <w:szCs w:val="21"/>
          <w:highlight w:val="none"/>
        </w:rPr>
      </w:pPr>
    </w:p>
    <w:p>
      <w:pPr>
        <w:spacing w:line="480" w:lineRule="exact"/>
        <w:rPr>
          <w:rFonts w:ascii="宋体" w:cs="宋体"/>
          <w:b/>
          <w:color w:val="auto"/>
          <w:sz w:val="28"/>
          <w:szCs w:val="28"/>
          <w:highlight w:val="none"/>
        </w:rPr>
      </w:pPr>
      <w:r>
        <w:rPr>
          <w:rFonts w:ascii="宋体" w:hAnsi="宋体" w:cs="宋体"/>
          <w:b/>
          <w:color w:val="auto"/>
          <w:sz w:val="28"/>
          <w:szCs w:val="28"/>
          <w:highlight w:val="none"/>
        </w:rPr>
        <w:t xml:space="preserve">              </w:t>
      </w:r>
      <w:r>
        <w:rPr>
          <w:rFonts w:hint="eastAsia" w:ascii="宋体" w:hAnsi="宋体" w:cs="宋体"/>
          <w:b/>
          <w:color w:val="auto"/>
          <w:sz w:val="28"/>
          <w:szCs w:val="28"/>
          <w:highlight w:val="none"/>
        </w:rPr>
        <w:t>供应商：</w:t>
      </w:r>
      <w:r>
        <w:rPr>
          <w:rFonts w:ascii="宋体" w:hAnsi="宋体" w:cs="宋体"/>
          <w:b/>
          <w:color w:val="auto"/>
          <w:sz w:val="28"/>
          <w:szCs w:val="28"/>
          <w:highlight w:val="none"/>
          <w:u w:val="single"/>
        </w:rPr>
        <w:t xml:space="preserve"> </w:t>
      </w:r>
      <w:r>
        <w:rPr>
          <w:rFonts w:hint="eastAsia" w:ascii="宋体" w:hAnsi="宋体" w:cs="宋体"/>
          <w:b/>
          <w:color w:val="auto"/>
          <w:sz w:val="28"/>
          <w:szCs w:val="28"/>
          <w:highlight w:val="none"/>
          <w:u w:val="single"/>
        </w:rPr>
        <w:t>单位全称（加盖单位公章）</w:t>
      </w:r>
    </w:p>
    <w:p>
      <w:pPr>
        <w:spacing w:line="480" w:lineRule="exact"/>
        <w:ind w:firstLine="1397" w:firstLineChars="497"/>
        <w:rPr>
          <w:rFonts w:ascii="宋体" w:cs="宋体"/>
          <w:b/>
          <w:color w:val="auto"/>
          <w:sz w:val="28"/>
          <w:szCs w:val="28"/>
          <w:highlight w:val="none"/>
          <w:u w:val="single"/>
        </w:rPr>
      </w:pPr>
      <w:r>
        <w:rPr>
          <w:rFonts w:ascii="宋体" w:hAnsi="宋体" w:cs="宋体"/>
          <w:b/>
          <w:color w:val="auto"/>
          <w:sz w:val="28"/>
          <w:szCs w:val="28"/>
          <w:highlight w:val="none"/>
        </w:rPr>
        <w:t xml:space="preserve">    </w:t>
      </w:r>
      <w:r>
        <w:rPr>
          <w:rFonts w:hint="eastAsia" w:ascii="宋体" w:hAnsi="宋体" w:cs="宋体"/>
          <w:b/>
          <w:color w:val="auto"/>
          <w:sz w:val="28"/>
          <w:szCs w:val="28"/>
          <w:highlight w:val="none"/>
        </w:rPr>
        <w:t>法定代表人或授权代理人：</w:t>
      </w:r>
      <w:r>
        <w:rPr>
          <w:rFonts w:hint="eastAsia" w:ascii="宋体" w:hAnsi="宋体" w:cs="宋体"/>
          <w:b/>
          <w:color w:val="auto"/>
          <w:sz w:val="28"/>
          <w:szCs w:val="28"/>
          <w:highlight w:val="none"/>
          <w:u w:val="single"/>
        </w:rPr>
        <w:t>（签字或加盖印鉴）</w:t>
      </w:r>
    </w:p>
    <w:p>
      <w:pPr>
        <w:spacing w:line="480" w:lineRule="exact"/>
        <w:jc w:val="center"/>
        <w:rPr>
          <w:rFonts w:ascii="宋体" w:cs="宋体"/>
          <w:b/>
          <w:color w:val="auto"/>
          <w:sz w:val="32"/>
          <w:szCs w:val="32"/>
          <w:highlight w:val="none"/>
        </w:rPr>
      </w:pPr>
      <w:r>
        <w:rPr>
          <w:rFonts w:hint="eastAsia" w:ascii="宋体" w:hAnsi="宋体" w:cs="宋体"/>
          <w:b/>
          <w:color w:val="auto"/>
          <w:sz w:val="28"/>
          <w:szCs w:val="28"/>
          <w:highlight w:val="none"/>
        </w:rPr>
        <w:t>年</w:t>
      </w:r>
      <w:r>
        <w:rPr>
          <w:rFonts w:ascii="宋体" w:hAnsi="宋体" w:cs="宋体"/>
          <w:b/>
          <w:color w:val="auto"/>
          <w:sz w:val="28"/>
          <w:szCs w:val="28"/>
          <w:highlight w:val="none"/>
        </w:rPr>
        <w:t xml:space="preserve">   </w:t>
      </w:r>
      <w:r>
        <w:rPr>
          <w:rFonts w:hint="eastAsia" w:ascii="宋体" w:hAnsi="宋体" w:cs="宋体"/>
          <w:b/>
          <w:color w:val="auto"/>
          <w:sz w:val="28"/>
          <w:szCs w:val="28"/>
          <w:highlight w:val="none"/>
        </w:rPr>
        <w:t>月</w:t>
      </w:r>
      <w:r>
        <w:rPr>
          <w:rFonts w:ascii="宋体" w:hAnsi="宋体" w:cs="宋体"/>
          <w:b/>
          <w:color w:val="auto"/>
          <w:sz w:val="28"/>
          <w:szCs w:val="28"/>
          <w:highlight w:val="none"/>
        </w:rPr>
        <w:t xml:space="preserve">   </w:t>
      </w:r>
      <w:r>
        <w:rPr>
          <w:rFonts w:hint="eastAsia" w:ascii="宋体" w:hAnsi="宋体" w:cs="宋体"/>
          <w:b/>
          <w:color w:val="auto"/>
          <w:sz w:val="28"/>
          <w:szCs w:val="28"/>
          <w:highlight w:val="none"/>
        </w:rPr>
        <w:t>日</w:t>
      </w:r>
    </w:p>
    <w:p>
      <w:pPr>
        <w:spacing w:line="360" w:lineRule="exact"/>
        <w:jc w:val="center"/>
        <w:rPr>
          <w:rFonts w:ascii="宋体" w:cs="宋体"/>
          <w:b/>
          <w:color w:val="auto"/>
          <w:sz w:val="32"/>
          <w:szCs w:val="32"/>
          <w:highlight w:val="none"/>
        </w:rPr>
      </w:pPr>
      <w:r>
        <w:rPr>
          <w:rFonts w:ascii="宋体" w:cs="宋体"/>
          <w:b/>
          <w:color w:val="auto"/>
          <w:sz w:val="32"/>
          <w:szCs w:val="32"/>
          <w:highlight w:val="none"/>
        </w:rPr>
        <w:br w:type="page"/>
      </w:r>
    </w:p>
    <w:p>
      <w:pPr>
        <w:spacing w:line="360" w:lineRule="exact"/>
        <w:jc w:val="center"/>
        <w:rPr>
          <w:rFonts w:ascii="宋体" w:cs="宋体"/>
          <w:b/>
          <w:color w:val="auto"/>
          <w:sz w:val="32"/>
          <w:szCs w:val="32"/>
          <w:highlight w:val="none"/>
        </w:rPr>
      </w:pPr>
      <w:r>
        <w:rPr>
          <w:rFonts w:hint="eastAsia" w:ascii="宋体" w:hAnsi="宋体" w:cs="宋体"/>
          <w:b/>
          <w:color w:val="auto"/>
          <w:sz w:val="32"/>
          <w:szCs w:val="32"/>
          <w:highlight w:val="none"/>
        </w:rPr>
        <w:t>目</w:t>
      </w:r>
      <w:r>
        <w:rPr>
          <w:rFonts w:ascii="宋体" w:hAnsi="宋体" w:cs="宋体"/>
          <w:b/>
          <w:color w:val="auto"/>
          <w:sz w:val="32"/>
          <w:szCs w:val="32"/>
          <w:highlight w:val="none"/>
        </w:rPr>
        <w:t xml:space="preserve">   </w:t>
      </w:r>
      <w:r>
        <w:rPr>
          <w:rFonts w:hint="eastAsia" w:ascii="宋体" w:hAnsi="宋体" w:cs="宋体"/>
          <w:b/>
          <w:color w:val="auto"/>
          <w:sz w:val="32"/>
          <w:szCs w:val="32"/>
          <w:highlight w:val="none"/>
        </w:rPr>
        <w:t>录</w:t>
      </w:r>
    </w:p>
    <w:p>
      <w:pPr>
        <w:spacing w:line="360" w:lineRule="exact"/>
        <w:jc w:val="center"/>
        <w:rPr>
          <w:rFonts w:ascii="宋体" w:cs="宋体"/>
          <w:color w:val="auto"/>
          <w:sz w:val="28"/>
          <w:szCs w:val="28"/>
          <w:highlight w:val="none"/>
        </w:rPr>
      </w:pPr>
    </w:p>
    <w:p>
      <w:pPr>
        <w:spacing w:line="360" w:lineRule="exact"/>
        <w:jc w:val="center"/>
        <w:rPr>
          <w:rFonts w:ascii="宋体" w:cs="宋体"/>
          <w:color w:val="auto"/>
          <w:sz w:val="28"/>
          <w:szCs w:val="28"/>
          <w:highlight w:val="none"/>
        </w:rPr>
      </w:pPr>
    </w:p>
    <w:p>
      <w:pPr>
        <w:spacing w:line="360" w:lineRule="exact"/>
        <w:jc w:val="center"/>
        <w:rPr>
          <w:rFonts w:ascii="宋体" w:cs="宋体"/>
          <w:color w:val="auto"/>
          <w:sz w:val="28"/>
          <w:szCs w:val="28"/>
          <w:highlight w:val="none"/>
        </w:rPr>
      </w:pPr>
      <w:r>
        <w:rPr>
          <w:rFonts w:hint="eastAsia" w:ascii="宋体" w:hAnsi="宋体" w:cs="宋体"/>
          <w:color w:val="auto"/>
          <w:sz w:val="28"/>
          <w:szCs w:val="28"/>
          <w:highlight w:val="none"/>
        </w:rPr>
        <w:t>（建议按照竞争性磋商文件《参考格式》顺序编写）</w:t>
      </w:r>
    </w:p>
    <w:p>
      <w:pPr>
        <w:spacing w:line="360" w:lineRule="exact"/>
        <w:jc w:val="center"/>
        <w:rPr>
          <w:rFonts w:ascii="宋体" w:cs="宋体"/>
          <w:b/>
          <w:color w:val="auto"/>
          <w:sz w:val="28"/>
          <w:szCs w:val="28"/>
          <w:highlight w:val="none"/>
        </w:rPr>
      </w:pPr>
    </w:p>
    <w:p>
      <w:pPr>
        <w:spacing w:line="600" w:lineRule="exact"/>
        <w:rPr>
          <w:rFonts w:ascii="宋体" w:cs="宋体"/>
          <w:color w:val="auto"/>
          <w:szCs w:val="21"/>
          <w:highlight w:val="none"/>
        </w:rPr>
      </w:pPr>
      <w:r>
        <w:rPr>
          <w:rFonts w:ascii="宋体" w:hAnsi="宋体" w:cs="宋体"/>
          <w:color w:val="auto"/>
          <w:szCs w:val="21"/>
          <w:highlight w:val="none"/>
        </w:rPr>
        <w:t xml:space="preserve">          </w:t>
      </w:r>
      <w:r>
        <w:rPr>
          <w:rFonts w:hint="eastAsia" w:ascii="宋体" w:hAnsi="宋体" w:cs="宋体"/>
          <w:color w:val="auto"/>
          <w:szCs w:val="21"/>
          <w:highlight w:val="none"/>
        </w:rPr>
        <w:t>一、磋商函及磋商函附录</w:t>
      </w:r>
      <w:r>
        <w:rPr>
          <w:rFonts w:ascii="宋体" w:cs="宋体"/>
          <w:color w:val="auto"/>
          <w:szCs w:val="21"/>
          <w:highlight w:val="none"/>
        </w:rPr>
        <w:tab/>
      </w:r>
    </w:p>
    <w:p>
      <w:pPr>
        <w:spacing w:line="600" w:lineRule="exact"/>
        <w:ind w:firstLine="1058" w:firstLineChars="504"/>
        <w:rPr>
          <w:rFonts w:ascii="宋体" w:cs="宋体"/>
          <w:color w:val="auto"/>
          <w:szCs w:val="21"/>
          <w:highlight w:val="none"/>
        </w:rPr>
      </w:pPr>
      <w:r>
        <w:rPr>
          <w:rFonts w:hint="eastAsia" w:ascii="宋体" w:hAnsi="宋体" w:cs="宋体"/>
          <w:color w:val="auto"/>
          <w:szCs w:val="21"/>
          <w:highlight w:val="none"/>
        </w:rPr>
        <w:t>（一）磋商函</w:t>
      </w:r>
      <w:r>
        <w:rPr>
          <w:rFonts w:ascii="宋体" w:cs="宋体"/>
          <w:color w:val="auto"/>
          <w:szCs w:val="21"/>
          <w:highlight w:val="none"/>
        </w:rPr>
        <w:tab/>
      </w:r>
    </w:p>
    <w:p>
      <w:pPr>
        <w:spacing w:line="600" w:lineRule="exact"/>
        <w:ind w:firstLine="1058" w:firstLineChars="504"/>
        <w:rPr>
          <w:rFonts w:ascii="宋体" w:hAnsi="宋体" w:cs="宋体"/>
          <w:color w:val="auto"/>
          <w:szCs w:val="21"/>
          <w:highlight w:val="none"/>
        </w:rPr>
      </w:pPr>
      <w:r>
        <w:rPr>
          <w:rFonts w:hint="eastAsia" w:ascii="宋体" w:hAnsi="宋体" w:cs="宋体"/>
          <w:color w:val="auto"/>
          <w:szCs w:val="21"/>
          <w:highlight w:val="none"/>
        </w:rPr>
        <w:t>（二）磋商函附录</w:t>
      </w:r>
    </w:p>
    <w:p>
      <w:pPr>
        <w:spacing w:line="600" w:lineRule="exact"/>
        <w:ind w:firstLine="1058" w:firstLineChars="504"/>
        <w:rPr>
          <w:rFonts w:ascii="宋体" w:hAnsi="宋体" w:cs="宋体"/>
          <w:color w:val="auto"/>
          <w:szCs w:val="21"/>
          <w:highlight w:val="none"/>
        </w:rPr>
      </w:pPr>
      <w:r>
        <w:rPr>
          <w:rFonts w:hint="eastAsia" w:ascii="宋体" w:hAnsi="宋体" w:cs="宋体"/>
          <w:color w:val="auto"/>
          <w:szCs w:val="21"/>
          <w:highlight w:val="none"/>
        </w:rPr>
        <w:t>二、</w:t>
      </w:r>
      <w:r>
        <w:rPr>
          <w:rFonts w:hint="eastAsia" w:ascii="宋体" w:hAnsi="宋体" w:cs="宋体"/>
          <w:color w:val="auto"/>
          <w:szCs w:val="21"/>
          <w:highlight w:val="none"/>
          <w:lang w:val="en-US" w:eastAsia="zh-CN"/>
        </w:rPr>
        <w:t>货物分项报价一览表</w:t>
      </w:r>
      <w:r>
        <w:rPr>
          <w:rFonts w:hint="eastAsia" w:ascii="宋体" w:hAnsi="宋体" w:cs="宋体"/>
          <w:color w:val="auto"/>
          <w:szCs w:val="21"/>
          <w:highlight w:val="none"/>
        </w:rPr>
        <w:tab/>
      </w:r>
    </w:p>
    <w:p>
      <w:pPr>
        <w:spacing w:line="600" w:lineRule="exact"/>
        <w:ind w:firstLine="1058" w:firstLineChars="504"/>
        <w:rPr>
          <w:rFonts w:ascii="宋体" w:hAnsi="宋体" w:cs="宋体"/>
          <w:color w:val="auto"/>
          <w:szCs w:val="21"/>
          <w:highlight w:val="none"/>
        </w:rPr>
      </w:pPr>
      <w:r>
        <w:rPr>
          <w:rFonts w:hint="eastAsia" w:ascii="宋体" w:hAnsi="宋体" w:cs="宋体"/>
          <w:color w:val="auto"/>
          <w:szCs w:val="21"/>
          <w:highlight w:val="none"/>
        </w:rPr>
        <w:t>三、技术规格偏差表</w:t>
      </w:r>
    </w:p>
    <w:p>
      <w:pPr>
        <w:spacing w:line="600" w:lineRule="exact"/>
        <w:ind w:firstLine="1058" w:firstLineChars="504"/>
        <w:rPr>
          <w:rFonts w:ascii="宋体" w:cs="宋体"/>
          <w:color w:val="auto"/>
          <w:szCs w:val="21"/>
          <w:highlight w:val="none"/>
        </w:rPr>
      </w:pPr>
      <w:r>
        <w:rPr>
          <w:rFonts w:hint="eastAsia" w:ascii="宋体" w:hAnsi="宋体" w:cs="宋体"/>
          <w:color w:val="auto"/>
          <w:szCs w:val="21"/>
          <w:highlight w:val="none"/>
        </w:rPr>
        <w:t>四、法定代表人（负责人）身份证明</w:t>
      </w:r>
    </w:p>
    <w:p>
      <w:pPr>
        <w:spacing w:line="600" w:lineRule="exact"/>
        <w:ind w:firstLine="1058" w:firstLineChars="504"/>
        <w:rPr>
          <w:rFonts w:hint="eastAsia" w:ascii="宋体" w:hAnsi="宋体" w:cs="宋体"/>
          <w:color w:val="auto"/>
          <w:szCs w:val="21"/>
          <w:highlight w:val="none"/>
        </w:rPr>
      </w:pPr>
      <w:r>
        <w:rPr>
          <w:rFonts w:hint="eastAsia" w:ascii="宋体" w:hAnsi="宋体" w:cs="宋体"/>
          <w:color w:val="auto"/>
          <w:szCs w:val="21"/>
          <w:highlight w:val="none"/>
        </w:rPr>
        <w:t>五、授权委托书</w:t>
      </w:r>
    </w:p>
    <w:p>
      <w:pPr>
        <w:spacing w:line="600" w:lineRule="exact"/>
        <w:ind w:firstLine="1058" w:firstLineChars="504"/>
        <w:rPr>
          <w:rFonts w:ascii="宋体" w:cs="宋体"/>
          <w:color w:val="auto"/>
          <w:szCs w:val="21"/>
          <w:highlight w:val="none"/>
        </w:rPr>
      </w:pPr>
      <w:r>
        <w:rPr>
          <w:rFonts w:hint="eastAsia" w:ascii="宋体" w:hAnsi="宋体" w:cs="宋体"/>
          <w:color w:val="auto"/>
          <w:szCs w:val="21"/>
          <w:highlight w:val="none"/>
        </w:rPr>
        <w:t>六、供应商基本情况表</w:t>
      </w:r>
      <w:r>
        <w:rPr>
          <w:rFonts w:ascii="宋体" w:cs="宋体"/>
          <w:color w:val="auto"/>
          <w:szCs w:val="21"/>
          <w:highlight w:val="none"/>
        </w:rPr>
        <w:tab/>
      </w:r>
    </w:p>
    <w:p>
      <w:pPr>
        <w:spacing w:line="600" w:lineRule="exact"/>
        <w:ind w:firstLine="1058" w:firstLineChars="504"/>
        <w:rPr>
          <w:rFonts w:hint="eastAsia" w:ascii="宋体" w:hAnsi="宋体" w:cs="宋体"/>
          <w:color w:val="auto"/>
          <w:szCs w:val="30"/>
          <w:highlight w:val="none"/>
        </w:rPr>
      </w:pPr>
      <w:r>
        <w:rPr>
          <w:rFonts w:hint="eastAsia" w:ascii="宋体" w:cs="宋体"/>
          <w:color w:val="auto"/>
          <w:szCs w:val="21"/>
          <w:highlight w:val="none"/>
        </w:rPr>
        <w:t>七、</w:t>
      </w:r>
      <w:r>
        <w:rPr>
          <w:rFonts w:hint="eastAsia" w:ascii="宋体" w:hAnsi="宋体" w:cs="宋体"/>
          <w:color w:val="auto"/>
          <w:szCs w:val="30"/>
          <w:highlight w:val="none"/>
        </w:rPr>
        <w:t>企业业绩</w:t>
      </w:r>
    </w:p>
    <w:p>
      <w:pPr>
        <w:spacing w:line="600" w:lineRule="exact"/>
        <w:ind w:firstLine="1058" w:firstLineChars="504"/>
        <w:rPr>
          <w:rFonts w:hint="eastAsia" w:ascii="宋体" w:hAnsi="宋体" w:cs="宋体"/>
          <w:color w:val="auto"/>
          <w:szCs w:val="21"/>
          <w:highlight w:val="none"/>
        </w:rPr>
      </w:pPr>
      <w:r>
        <w:rPr>
          <w:rFonts w:hint="eastAsia" w:ascii="宋体" w:hAnsi="宋体" w:cs="宋体"/>
          <w:color w:val="auto"/>
          <w:szCs w:val="21"/>
          <w:highlight w:val="none"/>
        </w:rPr>
        <w:t>八、</w:t>
      </w:r>
      <w:r>
        <w:rPr>
          <w:rFonts w:hint="eastAsia" w:ascii="宋体" w:hAnsi="宋体" w:cs="宋体"/>
          <w:color w:val="auto"/>
          <w:highlight w:val="none"/>
        </w:rPr>
        <w:t>服务承诺及优惠条件</w:t>
      </w:r>
    </w:p>
    <w:p>
      <w:pPr>
        <w:spacing w:line="600" w:lineRule="exact"/>
        <w:ind w:firstLine="1058" w:firstLineChars="504"/>
        <w:rPr>
          <w:rFonts w:hint="eastAsia" w:ascii="宋体" w:hAnsi="宋体" w:cs="宋体"/>
          <w:color w:val="auto"/>
          <w:szCs w:val="21"/>
          <w:highlight w:val="none"/>
        </w:rPr>
      </w:pPr>
      <w:r>
        <w:rPr>
          <w:rFonts w:hint="eastAsia" w:ascii="宋体" w:hAnsi="宋体" w:cs="宋体"/>
          <w:color w:val="auto"/>
          <w:szCs w:val="21"/>
          <w:highlight w:val="none"/>
        </w:rPr>
        <w:t>九、</w:t>
      </w:r>
      <w:r>
        <w:rPr>
          <w:rFonts w:hint="eastAsia" w:ascii="宋体" w:hAnsi="宋体" w:cs="宋体"/>
          <w:color w:val="auto"/>
          <w:szCs w:val="21"/>
          <w:highlight w:val="none"/>
          <w:lang w:val="en-US" w:eastAsia="zh-CN"/>
        </w:rPr>
        <w:t>设备</w:t>
      </w:r>
      <w:r>
        <w:rPr>
          <w:rFonts w:hint="eastAsia" w:ascii="宋体" w:hAnsi="宋体" w:cs="宋体"/>
          <w:color w:val="auto"/>
          <w:szCs w:val="21"/>
          <w:highlight w:val="none"/>
        </w:rPr>
        <w:t>联网承诺函</w:t>
      </w:r>
    </w:p>
    <w:p>
      <w:pPr>
        <w:spacing w:line="600" w:lineRule="exact"/>
        <w:ind w:firstLine="1058" w:firstLineChars="504"/>
        <w:rPr>
          <w:rFonts w:hint="eastAsia" w:ascii="宋体" w:hAnsi="宋体" w:cs="宋体"/>
          <w:color w:val="auto"/>
          <w:szCs w:val="21"/>
          <w:highlight w:val="none"/>
        </w:rPr>
      </w:pPr>
      <w:r>
        <w:rPr>
          <w:rFonts w:hint="eastAsia" w:ascii="宋体" w:hAnsi="宋体" w:cs="宋体"/>
          <w:color w:val="auto"/>
          <w:szCs w:val="21"/>
          <w:highlight w:val="none"/>
        </w:rPr>
        <w:t>十、</w:t>
      </w:r>
      <w:r>
        <w:rPr>
          <w:rFonts w:hint="eastAsia"/>
          <w:bCs/>
          <w:color w:val="auto"/>
          <w:szCs w:val="32"/>
          <w:highlight w:val="none"/>
        </w:rPr>
        <w:t>资格审查文件</w:t>
      </w:r>
    </w:p>
    <w:p>
      <w:pPr>
        <w:spacing w:line="600" w:lineRule="exact"/>
        <w:ind w:firstLine="1058" w:firstLineChars="504"/>
        <w:rPr>
          <w:rFonts w:hint="eastAsia"/>
          <w:bCs/>
          <w:color w:val="auto"/>
          <w:szCs w:val="32"/>
          <w:highlight w:val="none"/>
        </w:rPr>
      </w:pPr>
      <w:r>
        <w:rPr>
          <w:rFonts w:hint="eastAsia"/>
          <w:bCs/>
          <w:color w:val="auto"/>
          <w:szCs w:val="32"/>
          <w:highlight w:val="none"/>
        </w:rPr>
        <w:t>十</w:t>
      </w:r>
      <w:r>
        <w:rPr>
          <w:rFonts w:hint="eastAsia"/>
          <w:bCs/>
          <w:color w:val="auto"/>
          <w:szCs w:val="32"/>
          <w:highlight w:val="none"/>
          <w:lang w:eastAsia="zh-CN"/>
        </w:rPr>
        <w:t>一</w:t>
      </w:r>
      <w:r>
        <w:rPr>
          <w:rFonts w:hint="eastAsia"/>
          <w:bCs/>
          <w:color w:val="auto"/>
          <w:szCs w:val="32"/>
          <w:highlight w:val="none"/>
        </w:rPr>
        <w:t>、无行贿犯罪记录承诺书</w:t>
      </w:r>
    </w:p>
    <w:p>
      <w:pPr>
        <w:spacing w:line="600" w:lineRule="exact"/>
        <w:ind w:firstLine="1058" w:firstLineChars="504"/>
        <w:rPr>
          <w:rFonts w:hint="eastAsia" w:ascii="宋体" w:hAnsi="宋体" w:cs="宋体"/>
          <w:color w:val="auto"/>
          <w:szCs w:val="21"/>
          <w:highlight w:val="none"/>
        </w:rPr>
      </w:pPr>
      <w:r>
        <w:rPr>
          <w:rFonts w:hint="eastAsia" w:ascii="宋体" w:hAnsi="宋体" w:cs="宋体"/>
          <w:color w:val="auto"/>
          <w:szCs w:val="21"/>
          <w:highlight w:val="none"/>
        </w:rPr>
        <w:t>十</w:t>
      </w:r>
      <w:r>
        <w:rPr>
          <w:rFonts w:hint="eastAsia" w:ascii="宋体" w:hAnsi="宋体" w:cs="宋体"/>
          <w:color w:val="auto"/>
          <w:szCs w:val="21"/>
          <w:highlight w:val="none"/>
          <w:lang w:eastAsia="zh-CN"/>
        </w:rPr>
        <w:t>二</w:t>
      </w:r>
      <w:r>
        <w:rPr>
          <w:rFonts w:hint="eastAsia" w:ascii="宋体" w:hAnsi="宋体" w:cs="宋体"/>
          <w:color w:val="auto"/>
          <w:szCs w:val="21"/>
          <w:highlight w:val="none"/>
        </w:rPr>
        <w:t>、投标承诺函</w:t>
      </w:r>
    </w:p>
    <w:p>
      <w:pPr>
        <w:spacing w:line="600" w:lineRule="exact"/>
        <w:ind w:firstLine="1058" w:firstLineChars="504"/>
        <w:rPr>
          <w:rFonts w:ascii="宋体" w:hAnsi="宋体" w:cs="宋体"/>
          <w:color w:val="auto"/>
          <w:szCs w:val="21"/>
          <w:highlight w:val="none"/>
        </w:rPr>
      </w:pPr>
      <w:r>
        <w:rPr>
          <w:rFonts w:hint="eastAsia" w:ascii="宋体" w:hAnsi="宋体" w:cs="宋体"/>
          <w:color w:val="auto"/>
          <w:szCs w:val="21"/>
          <w:highlight w:val="none"/>
        </w:rPr>
        <w:t>十</w:t>
      </w:r>
      <w:r>
        <w:rPr>
          <w:rFonts w:hint="eastAsia" w:ascii="宋体" w:hAnsi="宋体" w:cs="宋体"/>
          <w:color w:val="auto"/>
          <w:szCs w:val="21"/>
          <w:highlight w:val="none"/>
          <w:lang w:val="en-US" w:eastAsia="zh-CN"/>
        </w:rPr>
        <w:t>三</w:t>
      </w:r>
      <w:r>
        <w:rPr>
          <w:rFonts w:hint="eastAsia" w:ascii="宋体" w:hAnsi="宋体" w:cs="宋体"/>
          <w:color w:val="auto"/>
          <w:szCs w:val="21"/>
          <w:highlight w:val="none"/>
        </w:rPr>
        <w:t>、供应商认为需要复印的其它材料</w:t>
      </w:r>
    </w:p>
    <w:p>
      <w:pPr>
        <w:spacing w:line="360" w:lineRule="exact"/>
        <w:jc w:val="center"/>
        <w:outlineLvl w:val="9"/>
        <w:rPr>
          <w:rFonts w:ascii="宋体" w:cs="宋体"/>
          <w:b/>
          <w:color w:val="auto"/>
          <w:szCs w:val="21"/>
          <w:highlight w:val="none"/>
        </w:rPr>
      </w:pPr>
    </w:p>
    <w:p>
      <w:pPr>
        <w:outlineLvl w:val="9"/>
        <w:rPr>
          <w:rFonts w:ascii="宋体" w:cs="宋体"/>
          <w:b/>
          <w:color w:val="auto"/>
          <w:szCs w:val="21"/>
          <w:highlight w:val="none"/>
        </w:rPr>
      </w:pPr>
    </w:p>
    <w:p>
      <w:pPr>
        <w:outlineLvl w:val="9"/>
        <w:rPr>
          <w:rFonts w:ascii="宋体" w:cs="宋体"/>
          <w:b/>
          <w:color w:val="auto"/>
          <w:szCs w:val="21"/>
          <w:highlight w:val="none"/>
        </w:rPr>
      </w:pPr>
    </w:p>
    <w:p>
      <w:pPr>
        <w:outlineLvl w:val="9"/>
        <w:rPr>
          <w:color w:val="auto"/>
          <w:highlight w:val="none"/>
        </w:rPr>
      </w:pPr>
    </w:p>
    <w:p>
      <w:pPr>
        <w:outlineLvl w:val="9"/>
        <w:rPr>
          <w:rFonts w:ascii="宋体" w:cs="宋体"/>
          <w:b/>
          <w:color w:val="auto"/>
          <w:szCs w:val="21"/>
          <w:highlight w:val="none"/>
        </w:rPr>
      </w:pPr>
    </w:p>
    <w:p>
      <w:pPr>
        <w:outlineLvl w:val="9"/>
        <w:rPr>
          <w:color w:val="auto"/>
          <w:highlight w:val="none"/>
        </w:rPr>
      </w:pPr>
    </w:p>
    <w:p>
      <w:pPr>
        <w:spacing w:line="360" w:lineRule="exact"/>
        <w:outlineLvl w:val="9"/>
        <w:rPr>
          <w:rFonts w:ascii="宋体" w:cs="宋体"/>
          <w:b/>
          <w:color w:val="auto"/>
          <w:szCs w:val="21"/>
          <w:highlight w:val="none"/>
        </w:rPr>
      </w:pPr>
    </w:p>
    <w:p>
      <w:pPr>
        <w:pStyle w:val="17"/>
        <w:rPr>
          <w:rFonts w:ascii="宋体" w:cs="宋体"/>
          <w:color w:val="auto"/>
          <w:highlight w:val="none"/>
        </w:rPr>
      </w:pPr>
      <w:bookmarkStart w:id="109" w:name="_Toc8246"/>
      <w:r>
        <w:rPr>
          <w:rFonts w:hint="eastAsia" w:ascii="宋体" w:hAnsi="宋体" w:cs="宋体"/>
          <w:color w:val="auto"/>
          <w:highlight w:val="none"/>
        </w:rPr>
        <w:t>一、磋商函及磋商函附录</w:t>
      </w:r>
      <w:bookmarkEnd w:id="109"/>
    </w:p>
    <w:p>
      <w:pPr>
        <w:pStyle w:val="17"/>
        <w:rPr>
          <w:rFonts w:ascii="宋体" w:cs="宋体"/>
          <w:color w:val="auto"/>
          <w:highlight w:val="none"/>
        </w:rPr>
      </w:pPr>
      <w:bookmarkStart w:id="110" w:name="_Toc30905"/>
      <w:r>
        <w:rPr>
          <w:rFonts w:hint="eastAsia" w:ascii="宋体" w:hAnsi="宋体" w:cs="宋体"/>
          <w:color w:val="auto"/>
          <w:highlight w:val="none"/>
        </w:rPr>
        <w:t>（一）磋商函</w:t>
      </w:r>
      <w:bookmarkEnd w:id="110"/>
    </w:p>
    <w:p>
      <w:pPr>
        <w:spacing w:line="360" w:lineRule="exact"/>
        <w:outlineLvl w:val="1"/>
        <w:rPr>
          <w:rFonts w:ascii="宋体" w:cs="宋体"/>
          <w:color w:val="auto"/>
          <w:szCs w:val="21"/>
          <w:highlight w:val="none"/>
        </w:rPr>
      </w:pPr>
    </w:p>
    <w:p>
      <w:pPr>
        <w:spacing w:line="520" w:lineRule="exact"/>
        <w:rPr>
          <w:rFonts w:ascii="宋体" w:cs="宋体"/>
          <w:color w:val="auto"/>
          <w:sz w:val="24"/>
          <w:szCs w:val="24"/>
          <w:highlight w:val="none"/>
          <w:u w:val="single"/>
        </w:rPr>
      </w:pPr>
      <w:r>
        <w:rPr>
          <w:rFonts w:hint="eastAsia" w:ascii="宋体" w:hAnsi="宋体" w:cs="宋体"/>
          <w:b/>
          <w:color w:val="auto"/>
          <w:sz w:val="24"/>
          <w:szCs w:val="24"/>
          <w:highlight w:val="none"/>
        </w:rPr>
        <w:t>致：</w:t>
      </w:r>
      <w:r>
        <w:rPr>
          <w:rFonts w:ascii="宋体" w:hAnsi="宋体" w:cs="宋体"/>
          <w:b/>
          <w:color w:val="auto"/>
          <w:sz w:val="24"/>
          <w:szCs w:val="24"/>
          <w:highlight w:val="none"/>
          <w:u w:val="single"/>
        </w:rPr>
        <w:t xml:space="preserve">  </w:t>
      </w:r>
      <w:r>
        <w:rPr>
          <w:rFonts w:ascii="宋体" w:hAnsi="宋体" w:cs="宋体"/>
          <w:color w:val="auto"/>
          <w:sz w:val="24"/>
          <w:szCs w:val="24"/>
          <w:highlight w:val="none"/>
          <w:u w:val="single"/>
        </w:rPr>
        <w:t xml:space="preserve">          </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（采购人名称）</w:t>
      </w:r>
    </w:p>
    <w:p>
      <w:pPr>
        <w:spacing w:line="520" w:lineRule="exact"/>
        <w:rPr>
          <w:rFonts w:ascii="宋体" w:cs="宋体"/>
          <w:color w:val="auto"/>
          <w:sz w:val="24"/>
          <w:szCs w:val="24"/>
          <w:highlight w:val="none"/>
        </w:rPr>
      </w:pPr>
      <w:r>
        <w:rPr>
          <w:rFonts w:ascii="宋体" w:hAnsi="宋体" w:cs="宋体"/>
          <w:color w:val="auto"/>
          <w:sz w:val="24"/>
          <w:szCs w:val="24"/>
          <w:highlight w:val="none"/>
        </w:rPr>
        <w:t xml:space="preserve">    </w:t>
      </w:r>
      <w:r>
        <w:rPr>
          <w:rFonts w:hint="eastAsia" w:ascii="宋体" w:hAnsi="宋体" w:cs="宋体"/>
          <w:color w:val="auto"/>
          <w:sz w:val="24"/>
          <w:szCs w:val="24"/>
          <w:highlight w:val="none"/>
        </w:rPr>
        <w:t>根据贵方</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rPr>
        <w:t>（项目名称）磋商文件之投标邀请，签字代表：</w:t>
      </w:r>
      <w:r>
        <w:rPr>
          <w:rFonts w:hint="eastAsia" w:ascii="宋体" w:hAnsi="宋体" w:cs="宋体"/>
          <w:color w:val="auto"/>
          <w:sz w:val="24"/>
          <w:szCs w:val="24"/>
          <w:highlight w:val="none"/>
          <w:u w:val="single"/>
        </w:rPr>
        <w:t>（法定代表人或委托人）</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rPr>
        <w:t>正式授权并代表供应商</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rPr>
        <w:t>（单位名称、单位地址）</w:t>
      </w: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rPr>
        <w:t>提交</w:t>
      </w:r>
      <w:r>
        <w:rPr>
          <w:rFonts w:hint="eastAsia" w:ascii="宋体" w:hAnsi="宋体" w:cs="宋体"/>
          <w:color w:val="auto"/>
          <w:sz w:val="24"/>
          <w:szCs w:val="24"/>
          <w:highlight w:val="none"/>
          <w:lang w:eastAsia="zh-CN"/>
        </w:rPr>
        <w:t>响应文件</w:t>
      </w:r>
      <w:r>
        <w:rPr>
          <w:rFonts w:hint="eastAsia" w:ascii="宋体" w:hAnsi="宋体" w:cs="宋体"/>
          <w:color w:val="auto"/>
          <w:sz w:val="24"/>
          <w:szCs w:val="24"/>
          <w:highlight w:val="none"/>
        </w:rPr>
        <w:t>，并对之负法律责任。</w:t>
      </w:r>
      <w:r>
        <w:rPr>
          <w:rFonts w:ascii="宋体" w:hAnsi="宋体" w:cs="宋体"/>
          <w:color w:val="auto"/>
          <w:sz w:val="24"/>
          <w:szCs w:val="24"/>
          <w:highlight w:val="none"/>
        </w:rPr>
        <w:t xml:space="preserve"> </w:t>
      </w:r>
    </w:p>
    <w:p>
      <w:pPr>
        <w:spacing w:line="520" w:lineRule="exact"/>
        <w:ind w:firstLine="480" w:firstLineChars="200"/>
        <w:rPr>
          <w:rFonts w:ascii="宋体" w:cs="宋体"/>
          <w:color w:val="auto"/>
          <w:szCs w:val="21"/>
          <w:highlight w:val="none"/>
        </w:rPr>
      </w:pPr>
      <w:r>
        <w:rPr>
          <w:rFonts w:hint="eastAsia" w:ascii="宋体" w:hAnsi="宋体" w:cs="宋体"/>
          <w:color w:val="auto"/>
          <w:sz w:val="24"/>
          <w:szCs w:val="24"/>
          <w:highlight w:val="none"/>
        </w:rPr>
        <w:t>据此函，签字代表宣布同意如下：</w:t>
      </w:r>
    </w:p>
    <w:p>
      <w:pPr>
        <w:spacing w:line="560" w:lineRule="exact"/>
        <w:rPr>
          <w:rFonts w:ascii="宋体" w:cs="宋体"/>
          <w:color w:val="auto"/>
          <w:sz w:val="24"/>
          <w:highlight w:val="none"/>
        </w:rPr>
      </w:pPr>
      <w:r>
        <w:rPr>
          <w:rFonts w:ascii="宋体" w:hAnsi="宋体" w:cs="宋体"/>
          <w:color w:val="auto"/>
          <w:szCs w:val="21"/>
          <w:highlight w:val="none"/>
        </w:rPr>
        <w:t xml:space="preserve">    </w:t>
      </w:r>
      <w:bookmarkStart w:id="111" w:name="_Toc20179"/>
      <w:r>
        <w:rPr>
          <w:rFonts w:ascii="宋体" w:hAnsi="宋体" w:cs="宋体"/>
          <w:color w:val="auto"/>
          <w:sz w:val="24"/>
          <w:highlight w:val="none"/>
        </w:rPr>
        <w:t xml:space="preserve"> 1</w:t>
      </w:r>
      <w:r>
        <w:rPr>
          <w:rFonts w:hint="eastAsia" w:ascii="宋体" w:hAnsi="宋体" w:cs="宋体"/>
          <w:color w:val="auto"/>
          <w:sz w:val="24"/>
          <w:highlight w:val="none"/>
        </w:rPr>
        <w:t>、我方已仔细研究了</w:t>
      </w:r>
      <w:r>
        <w:rPr>
          <w:rFonts w:ascii="宋体" w:hAnsi="宋体" w:cs="宋体"/>
          <w:color w:val="auto"/>
          <w:sz w:val="24"/>
          <w:highlight w:val="none"/>
          <w:u w:val="single"/>
        </w:rPr>
        <w:t xml:space="preserve">                     </w:t>
      </w:r>
      <w:r>
        <w:rPr>
          <w:rFonts w:hint="eastAsia" w:ascii="宋体" w:hAnsi="宋体" w:cs="宋体"/>
          <w:color w:val="auto"/>
          <w:sz w:val="24"/>
          <w:highlight w:val="none"/>
          <w:u w:val="single"/>
        </w:rPr>
        <w:t>（项目名称）</w:t>
      </w:r>
      <w:r>
        <w:rPr>
          <w:rFonts w:hint="eastAsia" w:ascii="宋体" w:hAnsi="宋体" w:cs="宋体"/>
          <w:color w:val="auto"/>
          <w:sz w:val="24"/>
          <w:highlight w:val="none"/>
        </w:rPr>
        <w:t>磋商文件的全部内容，愿意以人民币</w:t>
      </w:r>
      <w:r>
        <w:rPr>
          <w:rFonts w:ascii="宋体" w:hAnsi="宋体" w:cs="宋体"/>
          <w:color w:val="auto"/>
          <w:sz w:val="24"/>
          <w:highlight w:val="none"/>
          <w:u w:val="single"/>
        </w:rPr>
        <w:t xml:space="preserve">             </w:t>
      </w:r>
      <w:r>
        <w:rPr>
          <w:rFonts w:hint="eastAsia" w:ascii="宋体" w:hAnsi="宋体" w:cs="宋体"/>
          <w:color w:val="auto"/>
          <w:sz w:val="24"/>
          <w:highlight w:val="none"/>
          <w:u w:val="single"/>
        </w:rPr>
        <w:t>元</w:t>
      </w:r>
      <w:r>
        <w:rPr>
          <w:rFonts w:hint="eastAsia" w:ascii="宋体" w:hAnsi="宋体" w:cs="宋体"/>
          <w:color w:val="auto"/>
          <w:sz w:val="24"/>
          <w:highlight w:val="none"/>
        </w:rPr>
        <w:t>的投标报价，承担本项目的工作。</w:t>
      </w:r>
    </w:p>
    <w:p>
      <w:pPr>
        <w:spacing w:line="560" w:lineRule="exact"/>
        <w:ind w:firstLine="600" w:firstLineChars="250"/>
        <w:rPr>
          <w:rFonts w:ascii="宋体" w:cs="宋体"/>
          <w:color w:val="auto"/>
          <w:sz w:val="24"/>
          <w:highlight w:val="none"/>
        </w:rPr>
      </w:pPr>
      <w:r>
        <w:rPr>
          <w:rFonts w:ascii="宋体" w:hAnsi="宋体" w:cs="宋体"/>
          <w:color w:val="auto"/>
          <w:sz w:val="24"/>
          <w:highlight w:val="none"/>
        </w:rPr>
        <w:t>2</w:t>
      </w:r>
      <w:r>
        <w:rPr>
          <w:rFonts w:hint="eastAsia" w:ascii="宋体" w:hAnsi="宋体" w:cs="宋体"/>
          <w:color w:val="auto"/>
          <w:sz w:val="24"/>
          <w:highlight w:val="none"/>
        </w:rPr>
        <w:t>、如果我们的响应文件被接受，我们将按磋商文件的规定签订并严格履行合同中的责任和义务。</w:t>
      </w:r>
    </w:p>
    <w:p>
      <w:pPr>
        <w:spacing w:line="560" w:lineRule="exact"/>
        <w:ind w:firstLine="600" w:firstLineChars="250"/>
        <w:rPr>
          <w:rFonts w:ascii="宋体" w:cs="宋体"/>
          <w:color w:val="auto"/>
          <w:sz w:val="24"/>
          <w:highlight w:val="none"/>
        </w:rPr>
      </w:pPr>
      <w:r>
        <w:rPr>
          <w:rFonts w:ascii="宋体" w:hAnsi="宋体" w:cs="宋体"/>
          <w:color w:val="auto"/>
          <w:sz w:val="24"/>
          <w:highlight w:val="none"/>
        </w:rPr>
        <w:t>3</w:t>
      </w:r>
      <w:r>
        <w:rPr>
          <w:rFonts w:hint="eastAsia" w:ascii="宋体" w:hAnsi="宋体" w:cs="宋体"/>
          <w:color w:val="auto"/>
          <w:sz w:val="24"/>
          <w:highlight w:val="none"/>
        </w:rPr>
        <w:t>、投标供应商已详细审查全部磋商文件，包括修改文件以及全部参考资料和有关附件。我们完全理解并同意放弃对这方面有不明及误解的权力。</w:t>
      </w:r>
    </w:p>
    <w:p>
      <w:pPr>
        <w:spacing w:line="560" w:lineRule="exact"/>
        <w:ind w:firstLine="600" w:firstLineChars="250"/>
        <w:rPr>
          <w:rFonts w:ascii="宋体" w:cs="宋体"/>
          <w:color w:val="auto"/>
          <w:sz w:val="24"/>
          <w:highlight w:val="none"/>
        </w:rPr>
      </w:pPr>
      <w:r>
        <w:rPr>
          <w:rFonts w:ascii="宋体" w:hAnsi="宋体" w:cs="宋体"/>
          <w:color w:val="auto"/>
          <w:sz w:val="24"/>
          <w:highlight w:val="none"/>
        </w:rPr>
        <w:t>4</w:t>
      </w:r>
      <w:r>
        <w:rPr>
          <w:rFonts w:hint="eastAsia" w:ascii="宋体" w:hAnsi="宋体" w:cs="宋体"/>
          <w:color w:val="auto"/>
          <w:sz w:val="24"/>
          <w:highlight w:val="none"/>
        </w:rPr>
        <w:t>、我方承诺在磋商有效期内（</w:t>
      </w:r>
      <w:r>
        <w:rPr>
          <w:rFonts w:ascii="宋体" w:hAnsi="宋体" w:cs="宋体"/>
          <w:color w:val="auto"/>
          <w:sz w:val="24"/>
          <w:highlight w:val="none"/>
        </w:rPr>
        <w:t>60</w:t>
      </w:r>
      <w:r>
        <w:rPr>
          <w:rFonts w:hint="eastAsia" w:ascii="宋体" w:hAnsi="宋体" w:cs="宋体"/>
          <w:color w:val="auto"/>
          <w:sz w:val="24"/>
          <w:highlight w:val="none"/>
        </w:rPr>
        <w:t>日历天）内不修改、撤销响应文件。</w:t>
      </w:r>
    </w:p>
    <w:p>
      <w:pPr>
        <w:spacing w:line="560" w:lineRule="exact"/>
        <w:ind w:firstLine="600" w:firstLineChars="250"/>
        <w:rPr>
          <w:rFonts w:hint="eastAsia" w:ascii="宋体" w:hAnsi="宋体" w:cs="宋体"/>
          <w:color w:val="auto"/>
          <w:sz w:val="24"/>
          <w:highlight w:val="none"/>
          <w:lang w:eastAsia="zh-CN"/>
        </w:rPr>
      </w:pPr>
      <w:r>
        <w:rPr>
          <w:rFonts w:ascii="宋体" w:hAnsi="宋体" w:cs="宋体"/>
          <w:color w:val="auto"/>
          <w:sz w:val="24"/>
          <w:highlight w:val="none"/>
        </w:rPr>
        <w:t>5</w:t>
      </w:r>
      <w:r>
        <w:rPr>
          <w:rFonts w:hint="eastAsia" w:ascii="宋体" w:hAnsi="宋体" w:cs="宋体"/>
          <w:color w:val="auto"/>
          <w:sz w:val="24"/>
          <w:highlight w:val="none"/>
        </w:rPr>
        <w:t>、如果在规定的开标时间后，投标供应商在投标有效期内撤回投标，</w:t>
      </w:r>
      <w:r>
        <w:rPr>
          <w:rFonts w:hint="eastAsia" w:ascii="宋体" w:hAnsi="宋体" w:cs="宋体"/>
          <w:color w:val="auto"/>
          <w:sz w:val="24"/>
          <w:highlight w:val="none"/>
          <w:lang w:eastAsia="zh-CN"/>
        </w:rPr>
        <w:t>我们将自愿接受相关处罚。</w:t>
      </w:r>
    </w:p>
    <w:p>
      <w:pPr>
        <w:spacing w:line="560" w:lineRule="exact"/>
        <w:ind w:firstLine="600" w:firstLineChars="250"/>
        <w:rPr>
          <w:rFonts w:ascii="宋体" w:cs="宋体"/>
          <w:color w:val="auto"/>
          <w:sz w:val="24"/>
          <w:highlight w:val="none"/>
        </w:rPr>
      </w:pPr>
      <w:r>
        <w:rPr>
          <w:rFonts w:ascii="宋体" w:hAnsi="宋体" w:cs="宋体"/>
          <w:color w:val="auto"/>
          <w:sz w:val="24"/>
          <w:highlight w:val="none"/>
        </w:rPr>
        <w:t>6</w:t>
      </w:r>
      <w:r>
        <w:rPr>
          <w:rFonts w:hint="eastAsia" w:ascii="宋体" w:hAnsi="宋体" w:cs="宋体"/>
          <w:color w:val="auto"/>
          <w:sz w:val="24"/>
          <w:highlight w:val="none"/>
        </w:rPr>
        <w:t>、投标供应商同意提供按照贵方可能要求的与其投标有关的一切数据或资料，完全理解贵方不一定接受最低价的投标或没收任何投标。</w:t>
      </w:r>
    </w:p>
    <w:p>
      <w:pPr>
        <w:spacing w:line="560" w:lineRule="exact"/>
        <w:rPr>
          <w:rFonts w:ascii="宋体" w:cs="宋体"/>
          <w:color w:val="auto"/>
          <w:sz w:val="24"/>
          <w:highlight w:val="none"/>
          <w:u w:val="single"/>
        </w:rPr>
      </w:pPr>
      <w:r>
        <w:rPr>
          <w:rFonts w:ascii="宋体" w:hAnsi="宋体" w:cs="宋体"/>
          <w:color w:val="auto"/>
          <w:sz w:val="24"/>
          <w:highlight w:val="none"/>
        </w:rPr>
        <w:t xml:space="preserve">                       </w:t>
      </w:r>
      <w:r>
        <w:rPr>
          <w:rFonts w:hint="eastAsia" w:ascii="宋体" w:hAnsi="宋体" w:cs="宋体"/>
          <w:color w:val="auto"/>
          <w:sz w:val="24"/>
          <w:highlight w:val="none"/>
        </w:rPr>
        <w:t>供应商名称（公章）：</w:t>
      </w:r>
      <w:r>
        <w:rPr>
          <w:rFonts w:ascii="宋体" w:hAnsi="宋体" w:cs="宋体"/>
          <w:color w:val="auto"/>
          <w:sz w:val="24"/>
          <w:highlight w:val="none"/>
        </w:rPr>
        <w:t xml:space="preserve"> </w:t>
      </w:r>
      <w:r>
        <w:rPr>
          <w:rFonts w:ascii="宋体" w:hAnsi="宋体" w:cs="宋体"/>
          <w:color w:val="auto"/>
          <w:sz w:val="24"/>
          <w:highlight w:val="none"/>
          <w:u w:val="single"/>
        </w:rPr>
        <w:t xml:space="preserve">                   </w:t>
      </w:r>
    </w:p>
    <w:p>
      <w:pPr>
        <w:spacing w:line="560" w:lineRule="exact"/>
        <w:rPr>
          <w:rFonts w:ascii="宋体" w:cs="宋体"/>
          <w:color w:val="auto"/>
          <w:sz w:val="24"/>
          <w:highlight w:val="none"/>
        </w:rPr>
      </w:pPr>
      <w:r>
        <w:rPr>
          <w:rFonts w:ascii="宋体" w:hAnsi="宋体" w:cs="宋体"/>
          <w:color w:val="auto"/>
          <w:sz w:val="24"/>
          <w:highlight w:val="none"/>
        </w:rPr>
        <w:t xml:space="preserve">                       </w:t>
      </w:r>
      <w:r>
        <w:rPr>
          <w:rFonts w:hint="eastAsia" w:ascii="宋体" w:hAnsi="宋体" w:cs="宋体"/>
          <w:color w:val="auto"/>
          <w:sz w:val="24"/>
          <w:highlight w:val="none"/>
        </w:rPr>
        <w:t>法定代表人或授权委托人</w:t>
      </w:r>
      <w:r>
        <w:rPr>
          <w:rFonts w:hint="eastAsia" w:ascii="宋体" w:hAnsi="宋体" w:eastAsia="宋体" w:cs="宋体"/>
          <w:color w:val="auto"/>
          <w:kern w:val="2"/>
          <w:sz w:val="21"/>
          <w:szCs w:val="21"/>
          <w:highlight w:val="none"/>
          <w:lang w:val="en-US" w:eastAsia="zh-CN" w:bidi="ar-SA"/>
        </w:rPr>
        <w:t>（签字或盖章）</w:t>
      </w:r>
      <w:r>
        <w:rPr>
          <w:rFonts w:ascii="宋体" w:hAnsi="宋体" w:cs="宋体"/>
          <w:color w:val="auto"/>
          <w:sz w:val="24"/>
          <w:highlight w:val="none"/>
        </w:rPr>
        <w:t>:</w:t>
      </w:r>
      <w:r>
        <w:rPr>
          <w:rFonts w:ascii="宋体" w:hAnsi="宋体" w:cs="宋体"/>
          <w:b/>
          <w:color w:val="auto"/>
          <w:sz w:val="24"/>
          <w:highlight w:val="none"/>
          <w:u w:val="single"/>
        </w:rPr>
        <w:t xml:space="preserve">             </w:t>
      </w:r>
    </w:p>
    <w:p>
      <w:pPr>
        <w:spacing w:line="520" w:lineRule="exact"/>
        <w:ind w:firstLine="4680" w:firstLineChars="1950"/>
        <w:rPr>
          <w:rFonts w:ascii="宋体" w:cs="宋体"/>
          <w:color w:val="auto"/>
          <w:szCs w:val="21"/>
          <w:highlight w:val="none"/>
        </w:rPr>
      </w:pPr>
      <w:r>
        <w:rPr>
          <w:rFonts w:hint="eastAsia" w:ascii="宋体" w:hAnsi="宋体" w:cs="宋体"/>
          <w:color w:val="auto"/>
          <w:sz w:val="24"/>
          <w:highlight w:val="none"/>
        </w:rPr>
        <w:t>日</w:t>
      </w:r>
      <w:r>
        <w:rPr>
          <w:rFonts w:ascii="宋体" w:hAnsi="宋体" w:cs="宋体"/>
          <w:color w:val="auto"/>
          <w:sz w:val="24"/>
          <w:highlight w:val="none"/>
        </w:rPr>
        <w:t xml:space="preserve">   </w:t>
      </w:r>
      <w:r>
        <w:rPr>
          <w:rFonts w:hint="eastAsia" w:ascii="宋体" w:hAnsi="宋体" w:cs="宋体"/>
          <w:color w:val="auto"/>
          <w:sz w:val="24"/>
          <w:highlight w:val="none"/>
        </w:rPr>
        <w:t>期：</w:t>
      </w:r>
      <w:r>
        <w:rPr>
          <w:rFonts w:ascii="宋体" w:hAnsi="宋体" w:cs="宋体"/>
          <w:color w:val="auto"/>
          <w:sz w:val="24"/>
          <w:highlight w:val="none"/>
        </w:rPr>
        <w:t xml:space="preserve">     </w:t>
      </w:r>
      <w:r>
        <w:rPr>
          <w:rFonts w:hint="eastAsia" w:ascii="宋体" w:hAnsi="宋体" w:cs="宋体"/>
          <w:color w:val="auto"/>
          <w:sz w:val="24"/>
          <w:highlight w:val="none"/>
        </w:rPr>
        <w:t>年</w:t>
      </w:r>
      <w:r>
        <w:rPr>
          <w:rFonts w:ascii="宋体" w:hAnsi="宋体" w:cs="宋体"/>
          <w:color w:val="auto"/>
          <w:sz w:val="24"/>
          <w:highlight w:val="none"/>
        </w:rPr>
        <w:t xml:space="preserve">   </w:t>
      </w:r>
      <w:r>
        <w:rPr>
          <w:rFonts w:hint="eastAsia" w:ascii="宋体" w:hAnsi="宋体" w:cs="宋体"/>
          <w:color w:val="auto"/>
          <w:sz w:val="24"/>
          <w:highlight w:val="none"/>
        </w:rPr>
        <w:t>月</w:t>
      </w:r>
      <w:r>
        <w:rPr>
          <w:rFonts w:ascii="宋体" w:hAnsi="宋体" w:cs="宋体"/>
          <w:color w:val="auto"/>
          <w:sz w:val="24"/>
          <w:highlight w:val="none"/>
        </w:rPr>
        <w:t xml:space="preserve">  </w:t>
      </w:r>
      <w:r>
        <w:rPr>
          <w:rFonts w:hint="eastAsia" w:ascii="宋体" w:hAnsi="宋体" w:cs="宋体"/>
          <w:color w:val="auto"/>
          <w:sz w:val="24"/>
          <w:highlight w:val="none"/>
        </w:rPr>
        <w:t>日</w:t>
      </w:r>
    </w:p>
    <w:p>
      <w:pPr>
        <w:spacing w:line="520" w:lineRule="exact"/>
        <w:rPr>
          <w:rFonts w:ascii="宋体" w:cs="宋体"/>
          <w:color w:val="auto"/>
          <w:szCs w:val="21"/>
          <w:highlight w:val="none"/>
        </w:rPr>
      </w:pPr>
    </w:p>
    <w:p>
      <w:pPr>
        <w:pStyle w:val="30"/>
        <w:rPr>
          <w:color w:val="auto"/>
          <w:highlight w:val="none"/>
        </w:rPr>
      </w:pPr>
    </w:p>
    <w:bookmarkEnd w:id="111"/>
    <w:p>
      <w:pPr>
        <w:pStyle w:val="17"/>
        <w:numPr>
          <w:ilvl w:val="0"/>
          <w:numId w:val="16"/>
        </w:numPr>
        <w:rPr>
          <w:rFonts w:hint="eastAsia" w:ascii="宋体" w:hAnsi="宋体" w:cs="宋体"/>
          <w:color w:val="auto"/>
          <w:highlight w:val="none"/>
        </w:rPr>
      </w:pPr>
      <w:bookmarkStart w:id="112" w:name="_Toc27613"/>
      <w:r>
        <w:rPr>
          <w:rFonts w:hint="eastAsia" w:ascii="宋体" w:hAnsi="宋体" w:cs="宋体"/>
          <w:color w:val="auto"/>
          <w:highlight w:val="none"/>
        </w:rPr>
        <w:t>磋商函附录</w:t>
      </w:r>
      <w:bookmarkEnd w:id="112"/>
    </w:p>
    <w:p>
      <w:pPr>
        <w:widowControl w:val="0"/>
        <w:numPr>
          <w:ilvl w:val="0"/>
          <w:numId w:val="0"/>
        </w:numPr>
        <w:jc w:val="both"/>
        <w:rPr>
          <w:color w:val="auto"/>
          <w:highlight w:val="none"/>
        </w:rPr>
      </w:pPr>
    </w:p>
    <w:tbl>
      <w:tblPr>
        <w:tblStyle w:val="25"/>
        <w:tblW w:w="9781" w:type="dxa"/>
        <w:jc w:val="center"/>
        <w:tblLayout w:type="fixed"/>
        <w:tblCellMar>
          <w:top w:w="0" w:type="dxa"/>
          <w:left w:w="0" w:type="dxa"/>
          <w:bottom w:w="0" w:type="dxa"/>
          <w:right w:w="0" w:type="dxa"/>
        </w:tblCellMar>
      </w:tblPr>
      <w:tblGrid>
        <w:gridCol w:w="2028"/>
        <w:gridCol w:w="3764"/>
        <w:gridCol w:w="1462"/>
        <w:gridCol w:w="2527"/>
      </w:tblGrid>
      <w:tr>
        <w:tblPrEx>
          <w:tblCellMar>
            <w:top w:w="0" w:type="dxa"/>
            <w:left w:w="0" w:type="dxa"/>
            <w:bottom w:w="0" w:type="dxa"/>
            <w:right w:w="0" w:type="dxa"/>
          </w:tblCellMar>
        </w:tblPrEx>
        <w:trPr>
          <w:cantSplit/>
          <w:trHeight w:val="983"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highlight w:val="none"/>
              </w:rPr>
            </w:pPr>
            <w:r>
              <w:rPr>
                <w:rFonts w:hint="eastAsia" w:ascii="宋体" w:hAnsi="宋体" w:cs="宋体"/>
                <w:color w:val="auto"/>
                <w:szCs w:val="21"/>
                <w:highlight w:val="none"/>
              </w:rPr>
              <w:t>项目名称</w:t>
            </w:r>
          </w:p>
        </w:tc>
        <w:tc>
          <w:tcPr>
            <w:tcW w:w="3764"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highlight w:val="none"/>
              </w:rPr>
            </w:pPr>
          </w:p>
        </w:tc>
        <w:tc>
          <w:tcPr>
            <w:tcW w:w="146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color w:val="auto"/>
                <w:szCs w:val="21"/>
                <w:highlight w:val="none"/>
              </w:rPr>
            </w:pPr>
            <w:r>
              <w:rPr>
                <w:rFonts w:hint="eastAsia" w:ascii="宋体" w:hAnsi="宋体" w:cs="宋体"/>
                <w:color w:val="auto"/>
                <w:szCs w:val="21"/>
                <w:highlight w:val="none"/>
              </w:rPr>
              <w:t>项目编号</w:t>
            </w:r>
          </w:p>
        </w:tc>
        <w:tc>
          <w:tcPr>
            <w:tcW w:w="2527"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color w:val="auto"/>
                <w:szCs w:val="21"/>
                <w:highlight w:val="none"/>
              </w:rPr>
            </w:pPr>
          </w:p>
        </w:tc>
      </w:tr>
      <w:tr>
        <w:tblPrEx>
          <w:tblCellMar>
            <w:top w:w="0" w:type="dxa"/>
            <w:left w:w="0" w:type="dxa"/>
            <w:bottom w:w="0" w:type="dxa"/>
            <w:right w:w="0" w:type="dxa"/>
          </w:tblCellMar>
        </w:tblPrEx>
        <w:trPr>
          <w:cantSplit/>
          <w:trHeight w:val="2847" w:hRule="atLeast"/>
          <w:jc w:val="center"/>
        </w:trPr>
        <w:tc>
          <w:tcPr>
            <w:tcW w:w="2028"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highlight w:val="none"/>
              </w:rPr>
            </w:pPr>
            <w:r>
              <w:rPr>
                <w:rFonts w:hint="eastAsia" w:ascii="宋体" w:hAnsi="宋体" w:cs="宋体"/>
                <w:color w:val="auto"/>
                <w:szCs w:val="21"/>
                <w:highlight w:val="none"/>
              </w:rPr>
              <w:t>磋商报价</w:t>
            </w:r>
            <w:r>
              <w:rPr>
                <w:rFonts w:ascii="宋体" w:hAnsi="宋体" w:cs="宋体"/>
                <w:color w:val="auto"/>
                <w:szCs w:val="21"/>
                <w:highlight w:val="none"/>
              </w:rPr>
              <w:t xml:space="preserve"> </w:t>
            </w:r>
            <w:r>
              <w:rPr>
                <w:rFonts w:hint="eastAsia" w:ascii="宋体" w:hAnsi="宋体" w:cs="宋体"/>
                <w:color w:val="auto"/>
                <w:szCs w:val="21"/>
                <w:highlight w:val="none"/>
              </w:rPr>
              <w:t>（元）</w:t>
            </w:r>
          </w:p>
        </w:tc>
        <w:tc>
          <w:tcPr>
            <w:tcW w:w="7753"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210" w:firstLineChars="100"/>
              <w:rPr>
                <w:rFonts w:ascii="宋体" w:hAnsi="宋体" w:cs="宋体"/>
                <w:color w:val="auto"/>
                <w:szCs w:val="21"/>
                <w:highlight w:val="none"/>
                <w:u w:val="single"/>
              </w:rPr>
            </w:pPr>
            <w:r>
              <w:rPr>
                <w:rFonts w:hint="eastAsia" w:ascii="宋体" w:hAnsi="宋体" w:cs="宋体"/>
                <w:color w:val="auto"/>
                <w:szCs w:val="21"/>
                <w:highlight w:val="none"/>
              </w:rPr>
              <w:t>总报价：人民币大写：</w:t>
            </w:r>
            <w:r>
              <w:rPr>
                <w:rFonts w:ascii="宋体" w:hAnsi="宋体" w:cs="宋体"/>
                <w:color w:val="auto"/>
                <w:szCs w:val="21"/>
                <w:highlight w:val="none"/>
                <w:u w:val="single"/>
              </w:rPr>
              <w:t xml:space="preserve">                 </w:t>
            </w:r>
            <w:r>
              <w:rPr>
                <w:rFonts w:hint="eastAsia" w:ascii="宋体" w:hAnsi="宋体" w:cs="宋体"/>
                <w:color w:val="auto"/>
                <w:szCs w:val="21"/>
                <w:highlight w:val="none"/>
              </w:rPr>
              <w:t>；小写：</w:t>
            </w:r>
            <w:r>
              <w:rPr>
                <w:rFonts w:ascii="宋体" w:hAnsi="宋体" w:cs="宋体"/>
                <w:color w:val="auto"/>
                <w:szCs w:val="21"/>
                <w:highlight w:val="none"/>
                <w:u w:val="single"/>
              </w:rPr>
              <w:t xml:space="preserve">                 </w:t>
            </w:r>
          </w:p>
        </w:tc>
      </w:tr>
      <w:tr>
        <w:tblPrEx>
          <w:tblCellMar>
            <w:top w:w="0" w:type="dxa"/>
            <w:left w:w="0" w:type="dxa"/>
            <w:bottom w:w="0" w:type="dxa"/>
            <w:right w:w="0" w:type="dxa"/>
          </w:tblCellMar>
        </w:tblPrEx>
        <w:trPr>
          <w:cantSplit/>
          <w:trHeight w:val="1282"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highlight w:val="none"/>
              </w:rPr>
            </w:pPr>
            <w:r>
              <w:rPr>
                <w:rFonts w:hint="eastAsia" w:ascii="宋体" w:hAnsi="宋体" w:cs="宋体"/>
                <w:color w:val="auto"/>
                <w:szCs w:val="21"/>
                <w:highlight w:val="none"/>
              </w:rPr>
              <w:t>合同履行期限</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highlight w:val="none"/>
              </w:rPr>
            </w:pPr>
          </w:p>
        </w:tc>
      </w:tr>
      <w:tr>
        <w:tblPrEx>
          <w:tblCellMar>
            <w:top w:w="0" w:type="dxa"/>
            <w:left w:w="0" w:type="dxa"/>
            <w:bottom w:w="0" w:type="dxa"/>
            <w:right w:w="0" w:type="dxa"/>
          </w:tblCellMar>
        </w:tblPrEx>
        <w:trPr>
          <w:cantSplit/>
          <w:trHeight w:val="1282"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质量要求</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highlight w:val="none"/>
              </w:rPr>
            </w:pPr>
          </w:p>
        </w:tc>
      </w:tr>
      <w:tr>
        <w:tblPrEx>
          <w:tblCellMar>
            <w:top w:w="0" w:type="dxa"/>
            <w:left w:w="0" w:type="dxa"/>
            <w:bottom w:w="0" w:type="dxa"/>
            <w:right w:w="0" w:type="dxa"/>
          </w:tblCellMar>
        </w:tblPrEx>
        <w:trPr>
          <w:cantSplit/>
          <w:trHeight w:val="1079"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highlight w:val="none"/>
              </w:rPr>
            </w:pPr>
            <w:r>
              <w:rPr>
                <w:rFonts w:hint="eastAsia" w:ascii="宋体" w:hAnsi="宋体" w:eastAsia="宋体" w:cs="宋体"/>
                <w:color w:val="auto"/>
                <w:szCs w:val="21"/>
                <w:highlight w:val="none"/>
              </w:rPr>
              <w:t>磋商有效期</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cs="宋体"/>
                <w:color w:val="auto"/>
                <w:szCs w:val="21"/>
                <w:highlight w:val="none"/>
              </w:rPr>
            </w:pPr>
          </w:p>
        </w:tc>
      </w:tr>
      <w:tr>
        <w:tblPrEx>
          <w:tblCellMar>
            <w:top w:w="0" w:type="dxa"/>
            <w:left w:w="0" w:type="dxa"/>
            <w:bottom w:w="0" w:type="dxa"/>
            <w:right w:w="0" w:type="dxa"/>
          </w:tblCellMar>
        </w:tblPrEx>
        <w:trPr>
          <w:cantSplit/>
          <w:trHeight w:val="1079"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eastAsia="宋体" w:cs="宋体"/>
                <w:color w:val="auto"/>
                <w:szCs w:val="21"/>
                <w:highlight w:val="none"/>
                <w:lang w:eastAsia="zh-CN"/>
              </w:rPr>
            </w:pPr>
            <w:r>
              <w:rPr>
                <w:rFonts w:hint="eastAsia" w:ascii="宋体" w:hAnsi="宋体" w:eastAsia="宋体" w:cs="宋体"/>
                <w:color w:val="auto"/>
                <w:szCs w:val="21"/>
                <w:highlight w:val="none"/>
                <w:lang w:eastAsia="zh-CN"/>
              </w:rPr>
              <w:t>备注</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cs="宋体"/>
                <w:color w:val="auto"/>
                <w:szCs w:val="21"/>
                <w:highlight w:val="none"/>
              </w:rPr>
            </w:pPr>
          </w:p>
        </w:tc>
      </w:tr>
    </w:tbl>
    <w:p>
      <w:pPr>
        <w:pStyle w:val="9"/>
        <w:spacing w:line="360" w:lineRule="exact"/>
        <w:ind w:left="0" w:leftChars="0" w:firstLine="220" w:firstLineChars="100"/>
        <w:rPr>
          <w:rFonts w:hint="eastAsia" w:ascii="仿宋" w:hAnsi="仿宋" w:eastAsia="仿宋" w:cs="仿宋"/>
          <w:color w:val="auto"/>
          <w:sz w:val="24"/>
          <w:highlight w:val="none"/>
        </w:rPr>
      </w:pPr>
      <w:r>
        <w:rPr>
          <w:rFonts w:hint="eastAsia" w:ascii="宋体" w:hAnsi="宋体" w:eastAsia="宋体"/>
          <w:color w:val="auto"/>
          <w:sz w:val="22"/>
          <w:szCs w:val="22"/>
          <w:highlight w:val="none"/>
        </w:rPr>
        <w:t>注：</w:t>
      </w:r>
      <w:r>
        <w:rPr>
          <w:rFonts w:ascii="宋体" w:hAnsi="宋体" w:eastAsia="宋体"/>
          <w:color w:val="auto"/>
          <w:sz w:val="22"/>
          <w:szCs w:val="22"/>
          <w:highlight w:val="none"/>
        </w:rPr>
        <w:t xml:space="preserve">1. </w:t>
      </w:r>
      <w:r>
        <w:rPr>
          <w:rFonts w:hint="eastAsia" w:ascii="宋体" w:hAnsi="宋体" w:eastAsia="宋体"/>
          <w:color w:val="auto"/>
          <w:sz w:val="22"/>
          <w:szCs w:val="22"/>
          <w:highlight w:val="none"/>
          <w:lang w:val="en-US" w:eastAsia="zh-CN"/>
        </w:rPr>
        <w:t>磋商</w:t>
      </w:r>
      <w:r>
        <w:rPr>
          <w:rFonts w:hint="eastAsia" w:ascii="宋体" w:hAnsi="宋体" w:eastAsia="宋体"/>
          <w:color w:val="auto"/>
          <w:sz w:val="22"/>
          <w:szCs w:val="22"/>
          <w:highlight w:val="none"/>
        </w:rPr>
        <w:t>总报价应包含成本、运输、税金、培训、安装调试等一切与之相关费用。</w:t>
      </w:r>
    </w:p>
    <w:p>
      <w:pPr>
        <w:pStyle w:val="9"/>
        <w:spacing w:line="520" w:lineRule="exact"/>
        <w:ind w:left="0" w:leftChars="0"/>
        <w:rPr>
          <w:rFonts w:ascii="宋体" w:hAnsi="宋体" w:cs="宋体"/>
          <w:color w:val="auto"/>
          <w:szCs w:val="21"/>
          <w:highlight w:val="none"/>
        </w:rPr>
      </w:pPr>
      <w:r>
        <w:rPr>
          <w:rFonts w:ascii="宋体" w:hAnsi="宋体" w:cs="宋体"/>
          <w:color w:val="auto"/>
          <w:szCs w:val="21"/>
          <w:highlight w:val="none"/>
        </w:rPr>
        <w:t xml:space="preserve"> </w:t>
      </w:r>
    </w:p>
    <w:p>
      <w:pPr>
        <w:pStyle w:val="9"/>
        <w:spacing w:line="520" w:lineRule="exact"/>
        <w:ind w:left="0" w:leftChars="0"/>
        <w:rPr>
          <w:rFonts w:ascii="宋体" w:cs="宋体"/>
          <w:color w:val="auto"/>
          <w:szCs w:val="21"/>
          <w:highlight w:val="none"/>
        </w:rPr>
      </w:pPr>
      <w:r>
        <w:rPr>
          <w:rFonts w:ascii="宋体" w:hAnsi="宋体" w:cs="宋体"/>
          <w:color w:val="auto"/>
          <w:szCs w:val="21"/>
          <w:highlight w:val="none"/>
        </w:rPr>
        <w:t xml:space="preserve">   </w:t>
      </w:r>
      <w:r>
        <w:rPr>
          <w:rFonts w:hint="eastAsia" w:ascii="宋体" w:hAnsi="宋体" w:cs="宋体"/>
          <w:color w:val="auto"/>
          <w:szCs w:val="21"/>
          <w:highlight w:val="none"/>
        </w:rPr>
        <w:t>供应商名称（公章）：</w:t>
      </w:r>
    </w:p>
    <w:p>
      <w:pPr>
        <w:pStyle w:val="9"/>
        <w:spacing w:line="520" w:lineRule="exact"/>
        <w:ind w:left="0" w:leftChars="0" w:firstLine="210" w:firstLineChars="100"/>
        <w:rPr>
          <w:rFonts w:ascii="宋体" w:hAnsi="宋体" w:cs="宋体"/>
          <w:color w:val="auto"/>
          <w:szCs w:val="21"/>
          <w:highlight w:val="none"/>
        </w:rPr>
      </w:pPr>
      <w:r>
        <w:rPr>
          <w:rFonts w:ascii="宋体" w:hAnsi="宋体" w:cs="宋体"/>
          <w:color w:val="auto"/>
          <w:szCs w:val="21"/>
          <w:highlight w:val="none"/>
        </w:rPr>
        <w:t xml:space="preserve">  </w:t>
      </w:r>
      <w:r>
        <w:rPr>
          <w:rFonts w:hint="eastAsia" w:ascii="宋体" w:hAnsi="宋体" w:cs="宋体"/>
          <w:color w:val="auto"/>
          <w:szCs w:val="21"/>
          <w:highlight w:val="none"/>
        </w:rPr>
        <w:t>法定代表人或授权委托人（签字或盖章）</w:t>
      </w:r>
      <w:r>
        <w:rPr>
          <w:rFonts w:ascii="宋体" w:hAnsi="宋体" w:cs="宋体"/>
          <w:color w:val="auto"/>
          <w:szCs w:val="21"/>
          <w:highlight w:val="none"/>
        </w:rPr>
        <w:t>:</w:t>
      </w:r>
    </w:p>
    <w:p>
      <w:pPr>
        <w:pStyle w:val="9"/>
        <w:spacing w:line="520" w:lineRule="exact"/>
        <w:ind w:left="0" w:leftChars="0" w:firstLine="210" w:firstLineChars="100"/>
        <w:rPr>
          <w:rFonts w:ascii="宋体" w:hAnsi="宋体" w:cs="宋体"/>
          <w:color w:val="auto"/>
          <w:szCs w:val="21"/>
          <w:highlight w:val="none"/>
        </w:rPr>
      </w:pPr>
    </w:p>
    <w:p>
      <w:pPr>
        <w:pStyle w:val="9"/>
        <w:spacing w:line="520" w:lineRule="exact"/>
        <w:ind w:left="0" w:leftChars="0" w:firstLine="210" w:firstLineChars="100"/>
        <w:rPr>
          <w:rFonts w:ascii="宋体" w:hAnsi="宋体" w:cs="宋体"/>
          <w:color w:val="auto"/>
          <w:szCs w:val="21"/>
          <w:highlight w:val="none"/>
        </w:rPr>
      </w:pPr>
    </w:p>
    <w:p>
      <w:pPr>
        <w:spacing w:line="360" w:lineRule="exact"/>
        <w:rPr>
          <w:rFonts w:hint="eastAsia" w:ascii="宋体" w:hAnsi="宋体" w:eastAsia="宋体" w:cs="宋体"/>
          <w:color w:val="auto"/>
          <w:highlight w:val="none"/>
          <w:lang w:val="en-US" w:eastAsia="zh-CN"/>
        </w:rPr>
      </w:pPr>
      <w:r>
        <w:rPr>
          <w:rFonts w:ascii="宋体" w:hAnsi="宋体" w:cs="宋体"/>
          <w:color w:val="auto"/>
          <w:szCs w:val="21"/>
          <w:highlight w:val="none"/>
        </w:rPr>
        <w:t xml:space="preserve">                                                          </w:t>
      </w:r>
      <w:r>
        <w:rPr>
          <w:rFonts w:hint="eastAsia" w:ascii="宋体" w:hAnsi="宋体" w:cs="宋体"/>
          <w:color w:val="auto"/>
          <w:szCs w:val="21"/>
          <w:highlight w:val="none"/>
        </w:rPr>
        <w:t>年</w:t>
      </w:r>
      <w:r>
        <w:rPr>
          <w:rFonts w:ascii="宋体" w:hAnsi="宋体" w:cs="宋体"/>
          <w:color w:val="auto"/>
          <w:szCs w:val="21"/>
          <w:highlight w:val="none"/>
        </w:rPr>
        <w:t xml:space="preserve">    </w:t>
      </w:r>
      <w:r>
        <w:rPr>
          <w:rFonts w:hint="eastAsia" w:ascii="宋体" w:hAnsi="宋体" w:cs="宋体"/>
          <w:color w:val="auto"/>
          <w:szCs w:val="21"/>
          <w:highlight w:val="none"/>
        </w:rPr>
        <w:t>月</w:t>
      </w:r>
      <w:r>
        <w:rPr>
          <w:rFonts w:ascii="宋体" w:hAnsi="宋体" w:cs="宋体"/>
          <w:color w:val="auto"/>
          <w:szCs w:val="21"/>
          <w:highlight w:val="none"/>
        </w:rPr>
        <w:t xml:space="preserve">   </w:t>
      </w:r>
      <w:r>
        <w:rPr>
          <w:rFonts w:hint="eastAsia" w:ascii="宋体" w:hAnsi="宋体" w:cs="宋体"/>
          <w:color w:val="auto"/>
          <w:szCs w:val="21"/>
          <w:highlight w:val="none"/>
        </w:rPr>
        <w:t>日</w:t>
      </w:r>
      <w:bookmarkStart w:id="113" w:name="_Toc2504"/>
    </w:p>
    <w:p>
      <w:pPr>
        <w:widowControl/>
        <w:snapToGrid w:val="0"/>
        <w:spacing w:line="420" w:lineRule="exact"/>
        <w:jc w:val="center"/>
        <w:rPr>
          <w:rFonts w:hint="eastAsia" w:ascii="宋体" w:hAnsi="宋体" w:cs="宋体"/>
          <w:b/>
          <w:bCs/>
          <w:color w:val="auto"/>
          <w:kern w:val="0"/>
          <w:sz w:val="30"/>
          <w:szCs w:val="30"/>
          <w:highlight w:val="none"/>
        </w:rPr>
      </w:pPr>
    </w:p>
    <w:p>
      <w:pPr>
        <w:widowControl/>
        <w:snapToGrid w:val="0"/>
        <w:spacing w:line="420" w:lineRule="exact"/>
        <w:jc w:val="center"/>
        <w:outlineLvl w:val="1"/>
        <w:rPr>
          <w:rFonts w:hint="eastAsia" w:ascii="宋体" w:hAnsi="宋体" w:cs="宋体"/>
          <w:b/>
          <w:color w:val="auto"/>
          <w:kern w:val="0"/>
          <w:sz w:val="30"/>
          <w:szCs w:val="30"/>
          <w:highlight w:val="none"/>
        </w:rPr>
      </w:pPr>
      <w:r>
        <w:rPr>
          <w:rFonts w:hint="eastAsia" w:ascii="宋体" w:hAnsi="宋体" w:cs="宋体"/>
          <w:b/>
          <w:bCs/>
          <w:color w:val="auto"/>
          <w:kern w:val="0"/>
          <w:sz w:val="30"/>
          <w:szCs w:val="30"/>
          <w:highlight w:val="none"/>
          <w:lang w:val="en-US" w:eastAsia="zh-CN"/>
        </w:rPr>
        <w:t>二</w:t>
      </w:r>
      <w:r>
        <w:rPr>
          <w:rFonts w:hint="eastAsia" w:ascii="宋体" w:hAnsi="宋体" w:cs="宋体"/>
          <w:b/>
          <w:color w:val="auto"/>
          <w:kern w:val="0"/>
          <w:sz w:val="30"/>
          <w:szCs w:val="30"/>
          <w:highlight w:val="none"/>
        </w:rPr>
        <w:t>、货物</w:t>
      </w:r>
      <w:r>
        <w:rPr>
          <w:rFonts w:hint="eastAsia" w:ascii="宋体" w:hAnsi="宋体" w:cs="宋体"/>
          <w:b/>
          <w:bCs/>
          <w:color w:val="auto"/>
          <w:kern w:val="28"/>
          <w:sz w:val="30"/>
          <w:szCs w:val="30"/>
          <w:highlight w:val="none"/>
        </w:rPr>
        <w:t>分项报价一览表</w:t>
      </w:r>
    </w:p>
    <w:p>
      <w:pPr>
        <w:spacing w:line="420" w:lineRule="exact"/>
        <w:ind w:firstLine="602" w:firstLineChars="200"/>
        <w:rPr>
          <w:rFonts w:ascii="宋体" w:hAnsi="宋体" w:cs="宋体"/>
          <w:b/>
          <w:color w:val="auto"/>
          <w:sz w:val="30"/>
          <w:szCs w:val="30"/>
          <w:highlight w:val="none"/>
        </w:rPr>
      </w:pPr>
    </w:p>
    <w:p>
      <w:pPr>
        <w:spacing w:line="420" w:lineRule="exact"/>
        <w:ind w:firstLine="210" w:firstLineChars="100"/>
        <w:rPr>
          <w:rFonts w:ascii="宋体" w:hAnsi="宋体" w:cs="宋体"/>
          <w:bCs/>
          <w:color w:val="auto"/>
          <w:szCs w:val="21"/>
          <w:highlight w:val="none"/>
        </w:rPr>
      </w:pPr>
      <w:r>
        <w:rPr>
          <w:rFonts w:hint="eastAsia" w:ascii="宋体" w:hAnsi="宋体" w:cs="宋体"/>
          <w:bCs/>
          <w:color w:val="auto"/>
          <w:szCs w:val="21"/>
          <w:highlight w:val="none"/>
        </w:rPr>
        <w:t>项目名称：</w:t>
      </w:r>
    </w:p>
    <w:p>
      <w:pPr>
        <w:pStyle w:val="8"/>
        <w:spacing w:line="420" w:lineRule="exact"/>
        <w:ind w:firstLine="210" w:firstLineChars="100"/>
        <w:rPr>
          <w:rFonts w:ascii="宋体" w:eastAsia="宋体" w:cs="宋体"/>
          <w:color w:val="auto"/>
          <w:sz w:val="21"/>
          <w:szCs w:val="21"/>
          <w:highlight w:val="none"/>
          <w:u w:val="single"/>
        </w:rPr>
      </w:pPr>
      <w:r>
        <w:rPr>
          <w:rFonts w:hint="eastAsia" w:ascii="宋体" w:eastAsia="宋体" w:cs="宋体"/>
          <w:bCs/>
          <w:color w:val="auto"/>
          <w:sz w:val="21"/>
          <w:szCs w:val="21"/>
          <w:highlight w:val="none"/>
        </w:rPr>
        <w:t>项目编号：</w:t>
      </w:r>
    </w:p>
    <w:tbl>
      <w:tblPr>
        <w:tblStyle w:val="25"/>
        <w:tblpPr w:leftFromText="180" w:rightFromText="180" w:vertAnchor="text" w:horzAnchor="page" w:tblpX="1474" w:tblpY="317"/>
        <w:tblOverlap w:val="never"/>
        <w:tblW w:w="0" w:type="auto"/>
        <w:tblInd w:w="0" w:type="dxa"/>
        <w:tblLayout w:type="fixed"/>
        <w:tblCellMar>
          <w:top w:w="0" w:type="dxa"/>
          <w:left w:w="0" w:type="dxa"/>
          <w:bottom w:w="0" w:type="dxa"/>
          <w:right w:w="0" w:type="dxa"/>
        </w:tblCellMar>
      </w:tblPr>
      <w:tblGrid>
        <w:gridCol w:w="710"/>
        <w:gridCol w:w="1345"/>
        <w:gridCol w:w="1995"/>
        <w:gridCol w:w="814"/>
        <w:gridCol w:w="671"/>
        <w:gridCol w:w="1200"/>
        <w:gridCol w:w="1275"/>
        <w:gridCol w:w="1000"/>
      </w:tblGrid>
      <w:tr>
        <w:tblPrEx>
          <w:tblCellMar>
            <w:top w:w="0" w:type="dxa"/>
            <w:left w:w="0" w:type="dxa"/>
            <w:bottom w:w="0" w:type="dxa"/>
            <w:right w:w="0" w:type="dxa"/>
          </w:tblCellMar>
        </w:tblPrEx>
        <w:trPr>
          <w:trHeight w:val="705" w:hRule="atLeast"/>
        </w:trPr>
        <w:tc>
          <w:tcPr>
            <w:tcW w:w="71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r>
              <w:rPr>
                <w:rFonts w:hint="eastAsia" w:ascii="宋体" w:hAnsi="宋体" w:cs="宋体"/>
                <w:color w:val="auto"/>
                <w:szCs w:val="21"/>
                <w:highlight w:val="none"/>
              </w:rPr>
              <w:t>序号</w:t>
            </w:r>
          </w:p>
        </w:tc>
        <w:tc>
          <w:tcPr>
            <w:tcW w:w="134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r>
              <w:rPr>
                <w:rFonts w:hint="eastAsia" w:ascii="宋体" w:hAnsi="宋体" w:cs="宋体"/>
                <w:color w:val="auto"/>
                <w:szCs w:val="21"/>
                <w:highlight w:val="none"/>
              </w:rPr>
              <w:t>货物名称</w:t>
            </w:r>
          </w:p>
        </w:tc>
        <w:tc>
          <w:tcPr>
            <w:tcW w:w="199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bookmarkStart w:id="114" w:name="_Toc388091829"/>
            <w:r>
              <w:rPr>
                <w:rFonts w:hint="eastAsia" w:ascii="宋体" w:hAnsi="宋体" w:cs="宋体"/>
                <w:color w:val="auto"/>
                <w:szCs w:val="21"/>
                <w:highlight w:val="none"/>
              </w:rPr>
              <w:t>品牌及规格型号参数</w:t>
            </w:r>
            <w:bookmarkEnd w:id="114"/>
          </w:p>
        </w:tc>
        <w:tc>
          <w:tcPr>
            <w:tcW w:w="81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r>
              <w:rPr>
                <w:rFonts w:hint="eastAsia" w:ascii="宋体" w:hAnsi="宋体" w:cs="宋体"/>
                <w:color w:val="auto"/>
                <w:szCs w:val="21"/>
                <w:highlight w:val="none"/>
              </w:rPr>
              <w:t>单位</w:t>
            </w:r>
          </w:p>
        </w:tc>
        <w:tc>
          <w:tcPr>
            <w:tcW w:w="67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r>
              <w:rPr>
                <w:rFonts w:hint="eastAsia" w:ascii="宋体" w:hAnsi="宋体" w:cs="宋体"/>
                <w:color w:val="auto"/>
                <w:szCs w:val="21"/>
                <w:highlight w:val="none"/>
              </w:rPr>
              <w:t>数量</w:t>
            </w:r>
          </w:p>
        </w:tc>
        <w:tc>
          <w:tcPr>
            <w:tcW w:w="12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r>
              <w:rPr>
                <w:rFonts w:hint="eastAsia" w:ascii="宋体" w:hAnsi="宋体" w:cs="宋体"/>
                <w:color w:val="auto"/>
                <w:szCs w:val="21"/>
                <w:highlight w:val="none"/>
              </w:rPr>
              <w:t>单价 （元）</w:t>
            </w:r>
          </w:p>
        </w:tc>
        <w:tc>
          <w:tcPr>
            <w:tcW w:w="127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r>
              <w:rPr>
                <w:rFonts w:hint="eastAsia" w:ascii="宋体" w:hAnsi="宋体" w:cs="宋体"/>
                <w:color w:val="auto"/>
                <w:szCs w:val="21"/>
                <w:highlight w:val="none"/>
              </w:rPr>
              <w:t>合计（元）</w:t>
            </w:r>
          </w:p>
        </w:tc>
        <w:tc>
          <w:tcPr>
            <w:tcW w:w="10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r>
              <w:rPr>
                <w:rFonts w:hint="eastAsia" w:ascii="宋体" w:hAnsi="宋体" w:cs="宋体"/>
                <w:color w:val="auto"/>
                <w:szCs w:val="21"/>
                <w:highlight w:val="none"/>
              </w:rPr>
              <w:t>备注</w:t>
            </w:r>
          </w:p>
        </w:tc>
      </w:tr>
      <w:tr>
        <w:tblPrEx>
          <w:tblCellMar>
            <w:top w:w="0" w:type="dxa"/>
            <w:left w:w="0" w:type="dxa"/>
            <w:bottom w:w="0" w:type="dxa"/>
            <w:right w:w="0" w:type="dxa"/>
          </w:tblCellMar>
        </w:tblPrEx>
        <w:trPr>
          <w:trHeight w:val="645" w:hRule="atLeast"/>
        </w:trPr>
        <w:tc>
          <w:tcPr>
            <w:tcW w:w="71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34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99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81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67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20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27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00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r>
      <w:tr>
        <w:tblPrEx>
          <w:tblCellMar>
            <w:top w:w="0" w:type="dxa"/>
            <w:left w:w="0" w:type="dxa"/>
            <w:bottom w:w="0" w:type="dxa"/>
            <w:right w:w="0" w:type="dxa"/>
          </w:tblCellMar>
        </w:tblPrEx>
        <w:trPr>
          <w:trHeight w:val="645" w:hRule="atLeast"/>
        </w:trPr>
        <w:tc>
          <w:tcPr>
            <w:tcW w:w="71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34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99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81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67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2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27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0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r>
      <w:tr>
        <w:tblPrEx>
          <w:tblCellMar>
            <w:top w:w="0" w:type="dxa"/>
            <w:left w:w="0" w:type="dxa"/>
            <w:bottom w:w="0" w:type="dxa"/>
            <w:right w:w="0" w:type="dxa"/>
          </w:tblCellMar>
        </w:tblPrEx>
        <w:trPr>
          <w:trHeight w:val="645" w:hRule="atLeast"/>
        </w:trPr>
        <w:tc>
          <w:tcPr>
            <w:tcW w:w="71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34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99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81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67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20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27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00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r>
      <w:tr>
        <w:tblPrEx>
          <w:tblCellMar>
            <w:top w:w="0" w:type="dxa"/>
            <w:left w:w="0" w:type="dxa"/>
            <w:bottom w:w="0" w:type="dxa"/>
            <w:right w:w="0" w:type="dxa"/>
          </w:tblCellMar>
        </w:tblPrEx>
        <w:trPr>
          <w:trHeight w:val="645" w:hRule="atLeast"/>
        </w:trPr>
        <w:tc>
          <w:tcPr>
            <w:tcW w:w="71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34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99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81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67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2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27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0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r>
      <w:tr>
        <w:tblPrEx>
          <w:tblCellMar>
            <w:top w:w="0" w:type="dxa"/>
            <w:left w:w="0" w:type="dxa"/>
            <w:bottom w:w="0" w:type="dxa"/>
            <w:right w:w="0" w:type="dxa"/>
          </w:tblCellMar>
        </w:tblPrEx>
        <w:trPr>
          <w:trHeight w:val="645" w:hRule="atLeast"/>
        </w:trPr>
        <w:tc>
          <w:tcPr>
            <w:tcW w:w="71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34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99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814"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671"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20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275"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000" w:type="dxa"/>
            <w:tcBorders>
              <w:top w:val="nil"/>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r>
      <w:tr>
        <w:tblPrEx>
          <w:tblCellMar>
            <w:top w:w="0" w:type="dxa"/>
            <w:left w:w="0" w:type="dxa"/>
            <w:bottom w:w="0" w:type="dxa"/>
            <w:right w:w="0" w:type="dxa"/>
          </w:tblCellMar>
        </w:tblPrEx>
        <w:trPr>
          <w:trHeight w:val="645" w:hRule="atLeast"/>
        </w:trPr>
        <w:tc>
          <w:tcPr>
            <w:tcW w:w="71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34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99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81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67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2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27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0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r>
      <w:tr>
        <w:tblPrEx>
          <w:tblCellMar>
            <w:top w:w="0" w:type="dxa"/>
            <w:left w:w="0" w:type="dxa"/>
            <w:bottom w:w="0" w:type="dxa"/>
            <w:right w:w="0" w:type="dxa"/>
          </w:tblCellMar>
        </w:tblPrEx>
        <w:trPr>
          <w:trHeight w:val="645" w:hRule="atLeast"/>
        </w:trPr>
        <w:tc>
          <w:tcPr>
            <w:tcW w:w="71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34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99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81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67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2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27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0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r>
      <w:tr>
        <w:tblPrEx>
          <w:tblCellMar>
            <w:top w:w="0" w:type="dxa"/>
            <w:left w:w="0" w:type="dxa"/>
            <w:bottom w:w="0" w:type="dxa"/>
            <w:right w:w="0" w:type="dxa"/>
          </w:tblCellMar>
        </w:tblPrEx>
        <w:trPr>
          <w:trHeight w:val="645" w:hRule="atLeast"/>
        </w:trPr>
        <w:tc>
          <w:tcPr>
            <w:tcW w:w="71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34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99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81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67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2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27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0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r>
      <w:tr>
        <w:tblPrEx>
          <w:tblCellMar>
            <w:top w:w="0" w:type="dxa"/>
            <w:left w:w="0" w:type="dxa"/>
            <w:bottom w:w="0" w:type="dxa"/>
            <w:right w:w="0" w:type="dxa"/>
          </w:tblCellMar>
        </w:tblPrEx>
        <w:trPr>
          <w:trHeight w:val="645" w:hRule="atLeast"/>
        </w:trPr>
        <w:tc>
          <w:tcPr>
            <w:tcW w:w="71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34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99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814"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67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2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27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c>
          <w:tcPr>
            <w:tcW w:w="10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spacing w:line="420" w:lineRule="exact"/>
              <w:jc w:val="center"/>
              <w:rPr>
                <w:rFonts w:ascii="宋体" w:hAnsi="宋体" w:cs="宋体"/>
                <w:color w:val="auto"/>
                <w:szCs w:val="21"/>
                <w:highlight w:val="none"/>
              </w:rPr>
            </w:pPr>
          </w:p>
        </w:tc>
      </w:tr>
    </w:tbl>
    <w:p>
      <w:pPr>
        <w:widowControl/>
        <w:spacing w:line="420" w:lineRule="exact"/>
        <w:jc w:val="left"/>
        <w:rPr>
          <w:rFonts w:ascii="宋体" w:hAnsi="宋体" w:cs="宋体"/>
          <w:color w:val="auto"/>
          <w:kern w:val="0"/>
          <w:szCs w:val="21"/>
          <w:highlight w:val="none"/>
        </w:rPr>
      </w:pPr>
    </w:p>
    <w:p>
      <w:pPr>
        <w:spacing w:line="420" w:lineRule="exact"/>
        <w:jc w:val="center"/>
        <w:rPr>
          <w:rFonts w:ascii="宋体" w:hAnsi="宋体" w:cs="宋体"/>
          <w:color w:val="auto"/>
          <w:szCs w:val="21"/>
          <w:highlight w:val="none"/>
        </w:rPr>
      </w:pPr>
    </w:p>
    <w:p>
      <w:pPr>
        <w:spacing w:line="420" w:lineRule="exact"/>
        <w:jc w:val="right"/>
        <w:rPr>
          <w:rFonts w:ascii="宋体" w:hAnsi="宋体" w:cs="宋体"/>
          <w:color w:val="auto"/>
          <w:szCs w:val="21"/>
          <w:highlight w:val="none"/>
        </w:rPr>
      </w:pPr>
    </w:p>
    <w:p>
      <w:pPr>
        <w:pStyle w:val="9"/>
        <w:spacing w:line="420" w:lineRule="exact"/>
        <w:ind w:left="0" w:leftChars="0" w:firstLine="420" w:firstLineChars="200"/>
        <w:rPr>
          <w:rFonts w:ascii="宋体" w:hAnsi="宋体" w:cs="宋体"/>
          <w:color w:val="auto"/>
          <w:szCs w:val="21"/>
          <w:highlight w:val="none"/>
        </w:rPr>
      </w:pPr>
      <w:r>
        <w:rPr>
          <w:rFonts w:hint="eastAsia" w:ascii="宋体" w:hAnsi="宋体" w:cs="宋体"/>
          <w:color w:val="auto"/>
          <w:szCs w:val="21"/>
          <w:highlight w:val="none"/>
        </w:rPr>
        <w:t>供应商名称：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 xml:space="preserve">（盖章） </w:t>
      </w:r>
    </w:p>
    <w:p>
      <w:pPr>
        <w:pStyle w:val="9"/>
        <w:spacing w:line="420" w:lineRule="exact"/>
        <w:ind w:left="0" w:leftChars="0" w:firstLine="210" w:firstLineChars="100"/>
        <w:rPr>
          <w:rFonts w:hint="eastAsia" w:ascii="宋体" w:hAnsi="宋体" w:cs="宋体"/>
          <w:color w:val="auto"/>
          <w:szCs w:val="21"/>
          <w:highlight w:val="none"/>
        </w:rPr>
      </w:pPr>
      <w:r>
        <w:rPr>
          <w:rFonts w:hint="eastAsia" w:ascii="宋体" w:hAnsi="宋体" w:cs="宋体"/>
          <w:color w:val="auto"/>
          <w:szCs w:val="21"/>
          <w:highlight w:val="none"/>
        </w:rPr>
        <w:t xml:space="preserve">  法定代表人</w:t>
      </w:r>
      <w:r>
        <w:rPr>
          <w:rFonts w:hint="eastAsia" w:ascii="宋体" w:hAnsi="宋体" w:cs="宋体"/>
          <w:color w:val="auto"/>
          <w:szCs w:val="21"/>
          <w:highlight w:val="none"/>
          <w:lang w:val="en-US" w:eastAsia="zh-CN"/>
        </w:rPr>
        <w:t>或</w:t>
      </w:r>
      <w:r>
        <w:rPr>
          <w:rFonts w:hint="eastAsia" w:ascii="宋体" w:hAnsi="宋体" w:cs="宋体"/>
          <w:color w:val="auto"/>
          <w:szCs w:val="21"/>
          <w:highlight w:val="none"/>
        </w:rPr>
        <w:t>授权委托人: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（签字或盖章）</w:t>
      </w:r>
    </w:p>
    <w:p>
      <w:pPr>
        <w:pStyle w:val="9"/>
        <w:spacing w:line="420" w:lineRule="exact"/>
        <w:rPr>
          <w:rFonts w:ascii="宋体" w:hAnsi="宋体" w:cs="宋体"/>
          <w:color w:val="auto"/>
          <w:szCs w:val="21"/>
          <w:highlight w:val="none"/>
        </w:rPr>
      </w:pPr>
      <w:r>
        <w:rPr>
          <w:rFonts w:hint="eastAsia" w:ascii="宋体" w:hAnsi="宋体" w:cs="宋体"/>
          <w:color w:val="auto"/>
          <w:szCs w:val="21"/>
          <w:highlight w:val="none"/>
        </w:rPr>
        <w:t>日      期：</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年</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月</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日</w:t>
      </w:r>
    </w:p>
    <w:p>
      <w:pPr>
        <w:pStyle w:val="9"/>
        <w:spacing w:line="420" w:lineRule="exact"/>
        <w:rPr>
          <w:rFonts w:hint="eastAsia" w:ascii="宋体" w:hAnsi="宋体" w:cs="宋体"/>
          <w:color w:val="auto"/>
          <w:szCs w:val="21"/>
          <w:highlight w:val="none"/>
        </w:rPr>
      </w:pPr>
    </w:p>
    <w:p>
      <w:pPr>
        <w:pStyle w:val="17"/>
        <w:jc w:val="both"/>
        <w:outlineLvl w:val="9"/>
        <w:rPr>
          <w:rFonts w:ascii="宋体" w:hAnsi="宋体" w:cs="宋体"/>
          <w:color w:val="auto"/>
          <w:highlight w:val="none"/>
        </w:rPr>
      </w:pPr>
    </w:p>
    <w:p>
      <w:pPr>
        <w:outlineLvl w:val="9"/>
        <w:rPr>
          <w:rFonts w:ascii="宋体" w:hAnsi="宋体" w:cs="宋体"/>
          <w:color w:val="auto"/>
          <w:highlight w:val="none"/>
        </w:rPr>
      </w:pPr>
    </w:p>
    <w:p>
      <w:pPr>
        <w:pStyle w:val="17"/>
        <w:rPr>
          <w:b/>
          <w:bCs/>
          <w:color w:val="auto"/>
          <w:sz w:val="32"/>
          <w:szCs w:val="32"/>
          <w:highlight w:val="none"/>
        </w:rPr>
      </w:pPr>
      <w:bookmarkStart w:id="115" w:name="_Toc14933"/>
      <w:r>
        <w:rPr>
          <w:rFonts w:hint="eastAsia" w:ascii="宋体" w:hAnsi="宋体" w:cs="宋体"/>
          <w:color w:val="auto"/>
          <w:highlight w:val="none"/>
          <w:lang w:eastAsia="zh-CN"/>
        </w:rPr>
        <w:t>三</w:t>
      </w:r>
      <w:r>
        <w:rPr>
          <w:rFonts w:hint="eastAsia" w:ascii="宋体" w:hAnsi="宋体" w:cs="宋体"/>
          <w:color w:val="auto"/>
          <w:highlight w:val="none"/>
        </w:rPr>
        <w:t>、</w:t>
      </w:r>
      <w:bookmarkEnd w:id="113"/>
      <w:r>
        <w:rPr>
          <w:rFonts w:hint="eastAsia"/>
          <w:b/>
          <w:bCs/>
          <w:color w:val="auto"/>
          <w:sz w:val="32"/>
          <w:szCs w:val="32"/>
          <w:highlight w:val="none"/>
        </w:rPr>
        <w:t>技术规格偏差表</w:t>
      </w:r>
      <w:bookmarkEnd w:id="115"/>
    </w:p>
    <w:p>
      <w:pPr>
        <w:spacing w:line="500" w:lineRule="exact"/>
        <w:rPr>
          <w:rFonts w:ascii="宋体" w:hAnsi="宋体"/>
          <w:color w:val="auto"/>
          <w:highlight w:val="none"/>
        </w:rPr>
      </w:pPr>
    </w:p>
    <w:p>
      <w:pPr>
        <w:widowControl/>
        <w:spacing w:line="500" w:lineRule="exact"/>
        <w:rPr>
          <w:rFonts w:hint="default" w:ascii="宋体" w:hAnsi="宋体" w:eastAsia="宋体" w:cs="宋体"/>
          <w:color w:val="auto"/>
          <w:szCs w:val="21"/>
          <w:highlight w:val="none"/>
          <w:u w:val="single"/>
          <w:lang w:val="en-US" w:eastAsia="zh-CN"/>
        </w:rPr>
      </w:pPr>
      <w:r>
        <w:rPr>
          <w:rFonts w:hint="eastAsia" w:ascii="宋体" w:hAnsi="宋体" w:cs="宋体"/>
          <w:color w:val="auto"/>
          <w:szCs w:val="21"/>
          <w:highlight w:val="none"/>
        </w:rPr>
        <w:t>项目名称：</w:t>
      </w:r>
      <w:r>
        <w:rPr>
          <w:rFonts w:hint="eastAsia" w:ascii="宋体" w:hAnsi="宋体" w:cs="宋体"/>
          <w:color w:val="auto"/>
          <w:szCs w:val="21"/>
          <w:highlight w:val="none"/>
          <w:u w:val="single"/>
          <w:lang w:val="en-US" w:eastAsia="zh-CN"/>
        </w:rPr>
        <w:t xml:space="preserve">                         </w:t>
      </w:r>
    </w:p>
    <w:p>
      <w:pPr>
        <w:widowControl/>
        <w:spacing w:line="500" w:lineRule="exact"/>
        <w:rPr>
          <w:rFonts w:hint="default" w:ascii="宋体" w:hAnsi="宋体" w:eastAsia="宋体" w:cs="宋体"/>
          <w:color w:val="auto"/>
          <w:szCs w:val="21"/>
          <w:highlight w:val="none"/>
          <w:u w:val="single"/>
          <w:lang w:val="en-US" w:eastAsia="zh-CN"/>
        </w:rPr>
      </w:pPr>
      <w:r>
        <w:rPr>
          <w:rFonts w:hint="eastAsia" w:ascii="宋体" w:hAnsi="宋体" w:cs="宋体"/>
          <w:color w:val="auto"/>
          <w:szCs w:val="21"/>
          <w:highlight w:val="none"/>
          <w:lang w:eastAsia="zh-CN"/>
        </w:rPr>
        <w:t>采购及</w:t>
      </w:r>
      <w:r>
        <w:rPr>
          <w:rFonts w:hint="eastAsia" w:ascii="宋体" w:hAnsi="宋体" w:cs="宋体"/>
          <w:color w:val="auto"/>
          <w:szCs w:val="21"/>
          <w:highlight w:val="none"/>
        </w:rPr>
        <w:t>项目编号：</w:t>
      </w:r>
      <w:r>
        <w:rPr>
          <w:rFonts w:hint="eastAsia" w:ascii="宋体" w:hAnsi="宋体" w:cs="宋体"/>
          <w:color w:val="auto"/>
          <w:szCs w:val="21"/>
          <w:highlight w:val="none"/>
          <w:u w:val="single"/>
          <w:lang w:val="en-US" w:eastAsia="zh-CN"/>
        </w:rPr>
        <w:t xml:space="preserve">                   </w:t>
      </w:r>
    </w:p>
    <w:tbl>
      <w:tblPr>
        <w:tblStyle w:val="25"/>
        <w:tblpPr w:leftFromText="180" w:rightFromText="180" w:vertAnchor="text" w:horzAnchor="margin" w:tblpXSpec="left" w:tblpY="297"/>
        <w:tblW w:w="9986"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66"/>
        <w:gridCol w:w="938"/>
        <w:gridCol w:w="2072"/>
        <w:gridCol w:w="2666"/>
        <w:gridCol w:w="2676"/>
        <w:gridCol w:w="1068"/>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575" w:hRule="atLeast"/>
        </w:trPr>
        <w:tc>
          <w:tcPr>
            <w:tcW w:w="566" w:type="dxa"/>
            <w:vAlign w:val="center"/>
          </w:tcPr>
          <w:p>
            <w:pPr>
              <w:spacing w:line="500" w:lineRule="exact"/>
              <w:jc w:val="center"/>
              <w:rPr>
                <w:rFonts w:ascii="宋体" w:hAnsi="宋体" w:cs="宋体"/>
                <w:color w:val="auto"/>
                <w:szCs w:val="21"/>
                <w:highlight w:val="none"/>
              </w:rPr>
            </w:pPr>
            <w:r>
              <w:rPr>
                <w:rFonts w:hint="eastAsia" w:ascii="宋体" w:hAnsi="宋体" w:cs="宋体"/>
                <w:color w:val="auto"/>
                <w:szCs w:val="21"/>
                <w:highlight w:val="none"/>
              </w:rPr>
              <w:t>序</w:t>
            </w:r>
          </w:p>
          <w:p>
            <w:pPr>
              <w:spacing w:line="500" w:lineRule="exact"/>
              <w:jc w:val="center"/>
              <w:rPr>
                <w:rFonts w:ascii="宋体" w:hAnsi="宋体" w:cs="宋体"/>
                <w:color w:val="auto"/>
                <w:szCs w:val="21"/>
                <w:highlight w:val="none"/>
              </w:rPr>
            </w:pPr>
            <w:r>
              <w:rPr>
                <w:rFonts w:hint="eastAsia" w:ascii="宋体" w:hAnsi="宋体" w:cs="宋体"/>
                <w:color w:val="auto"/>
                <w:szCs w:val="21"/>
                <w:highlight w:val="none"/>
              </w:rPr>
              <w:t>号</w:t>
            </w:r>
          </w:p>
        </w:tc>
        <w:tc>
          <w:tcPr>
            <w:tcW w:w="938" w:type="dxa"/>
            <w:vAlign w:val="center"/>
          </w:tcPr>
          <w:p>
            <w:pPr>
              <w:spacing w:line="500" w:lineRule="exact"/>
              <w:jc w:val="center"/>
              <w:rPr>
                <w:rFonts w:hint="eastAsia" w:ascii="宋体" w:hAnsi="宋体" w:cs="宋体"/>
                <w:color w:val="auto"/>
                <w:szCs w:val="21"/>
                <w:highlight w:val="none"/>
              </w:rPr>
            </w:pPr>
            <w:r>
              <w:rPr>
                <w:rFonts w:hint="eastAsia" w:ascii="宋体" w:hAnsi="宋体" w:cs="宋体"/>
                <w:color w:val="auto"/>
                <w:szCs w:val="21"/>
                <w:highlight w:val="none"/>
              </w:rPr>
              <w:t>设备</w:t>
            </w:r>
          </w:p>
          <w:p>
            <w:pPr>
              <w:spacing w:line="500" w:lineRule="exact"/>
              <w:jc w:val="center"/>
              <w:rPr>
                <w:rFonts w:ascii="宋体" w:hAnsi="宋体" w:cs="宋体"/>
                <w:color w:val="auto"/>
                <w:szCs w:val="21"/>
                <w:highlight w:val="none"/>
              </w:rPr>
            </w:pPr>
            <w:r>
              <w:rPr>
                <w:rFonts w:hint="eastAsia" w:ascii="宋体" w:hAnsi="宋体" w:cs="宋体"/>
                <w:color w:val="auto"/>
                <w:szCs w:val="21"/>
                <w:highlight w:val="none"/>
              </w:rPr>
              <w:t>（项目）</w:t>
            </w:r>
          </w:p>
          <w:p>
            <w:pPr>
              <w:spacing w:line="500" w:lineRule="exact"/>
              <w:jc w:val="center"/>
              <w:rPr>
                <w:rFonts w:hint="eastAsia" w:ascii="宋体" w:hAnsi="宋体" w:eastAsia="宋体" w:cs="宋体"/>
                <w:color w:val="auto"/>
                <w:szCs w:val="21"/>
                <w:highlight w:val="none"/>
                <w:lang w:eastAsia="zh-CN"/>
              </w:rPr>
            </w:pPr>
            <w:r>
              <w:rPr>
                <w:rFonts w:hint="eastAsia" w:ascii="宋体" w:hAnsi="宋体" w:cs="宋体"/>
                <w:color w:val="auto"/>
                <w:szCs w:val="21"/>
                <w:highlight w:val="none"/>
              </w:rPr>
              <w:t>名称</w:t>
            </w:r>
          </w:p>
        </w:tc>
        <w:tc>
          <w:tcPr>
            <w:tcW w:w="2072" w:type="dxa"/>
            <w:vAlign w:val="center"/>
          </w:tcPr>
          <w:p>
            <w:pPr>
              <w:spacing w:line="500" w:lineRule="exact"/>
              <w:jc w:val="center"/>
              <w:rPr>
                <w:rFonts w:ascii="宋体" w:hAnsi="宋体" w:cs="宋体"/>
                <w:color w:val="auto"/>
                <w:szCs w:val="21"/>
                <w:highlight w:val="none"/>
              </w:rPr>
            </w:pPr>
            <w:r>
              <w:rPr>
                <w:rFonts w:hint="eastAsia" w:ascii="宋体" w:hAnsi="宋体" w:cs="宋体"/>
                <w:color w:val="auto"/>
                <w:szCs w:val="21"/>
                <w:highlight w:val="none"/>
                <w:lang w:val="en-US" w:eastAsia="zh-CN"/>
              </w:rPr>
              <w:t>磋商</w:t>
            </w:r>
            <w:r>
              <w:rPr>
                <w:rFonts w:hint="eastAsia" w:ascii="宋体" w:hAnsi="宋体" w:cs="宋体"/>
                <w:color w:val="auto"/>
                <w:szCs w:val="21"/>
                <w:highlight w:val="none"/>
              </w:rPr>
              <w:t>文件技术</w:t>
            </w:r>
          </w:p>
          <w:p>
            <w:pPr>
              <w:spacing w:line="500" w:lineRule="exact"/>
              <w:jc w:val="center"/>
              <w:rPr>
                <w:rFonts w:ascii="宋体" w:hAnsi="宋体" w:cs="宋体"/>
                <w:color w:val="auto"/>
                <w:szCs w:val="21"/>
                <w:highlight w:val="none"/>
              </w:rPr>
            </w:pPr>
            <w:r>
              <w:rPr>
                <w:rFonts w:hint="eastAsia" w:ascii="宋体" w:hAnsi="宋体" w:cs="宋体"/>
                <w:color w:val="auto"/>
                <w:szCs w:val="21"/>
                <w:highlight w:val="none"/>
              </w:rPr>
              <w:t>要求</w:t>
            </w:r>
          </w:p>
          <w:p>
            <w:pPr>
              <w:spacing w:line="500" w:lineRule="exact"/>
              <w:jc w:val="center"/>
              <w:rPr>
                <w:rFonts w:ascii="宋体" w:hAnsi="宋体" w:cs="宋体"/>
                <w:color w:val="auto"/>
                <w:szCs w:val="21"/>
                <w:highlight w:val="none"/>
              </w:rPr>
            </w:pPr>
            <w:r>
              <w:rPr>
                <w:rFonts w:hint="eastAsia" w:ascii="宋体" w:hAnsi="宋体" w:cs="宋体"/>
                <w:color w:val="auto"/>
                <w:szCs w:val="21"/>
                <w:highlight w:val="none"/>
              </w:rPr>
              <w:t>（详细列明技术配置）</w:t>
            </w:r>
          </w:p>
        </w:tc>
        <w:tc>
          <w:tcPr>
            <w:tcW w:w="2666" w:type="dxa"/>
            <w:vAlign w:val="center"/>
          </w:tcPr>
          <w:p>
            <w:pPr>
              <w:spacing w:line="500" w:lineRule="exact"/>
              <w:jc w:val="center"/>
              <w:rPr>
                <w:rFonts w:ascii="宋体" w:hAnsi="宋体" w:cs="宋体"/>
                <w:color w:val="auto"/>
                <w:szCs w:val="21"/>
                <w:highlight w:val="none"/>
              </w:rPr>
            </w:pPr>
            <w:r>
              <w:rPr>
                <w:rFonts w:hint="eastAsia" w:ascii="宋体" w:hAnsi="宋体" w:cs="宋体"/>
                <w:color w:val="auto"/>
                <w:szCs w:val="21"/>
                <w:highlight w:val="none"/>
                <w:lang w:val="en-US" w:eastAsia="zh-CN"/>
              </w:rPr>
              <w:t>响应</w:t>
            </w:r>
            <w:r>
              <w:rPr>
                <w:rFonts w:hint="eastAsia" w:ascii="宋体" w:hAnsi="宋体" w:cs="宋体"/>
                <w:color w:val="auto"/>
                <w:szCs w:val="21"/>
                <w:highlight w:val="none"/>
              </w:rPr>
              <w:t>文件技术</w:t>
            </w:r>
          </w:p>
          <w:p>
            <w:pPr>
              <w:spacing w:line="500" w:lineRule="exact"/>
              <w:jc w:val="center"/>
              <w:rPr>
                <w:rFonts w:ascii="宋体" w:hAnsi="宋体" w:cs="宋体"/>
                <w:color w:val="auto"/>
                <w:szCs w:val="21"/>
                <w:highlight w:val="none"/>
              </w:rPr>
            </w:pPr>
            <w:r>
              <w:rPr>
                <w:rFonts w:hint="eastAsia" w:ascii="宋体" w:hAnsi="宋体" w:cs="宋体"/>
                <w:color w:val="auto"/>
                <w:szCs w:val="21"/>
                <w:highlight w:val="none"/>
              </w:rPr>
              <w:t>响应情况</w:t>
            </w:r>
          </w:p>
          <w:p>
            <w:pPr>
              <w:spacing w:line="500" w:lineRule="exact"/>
              <w:jc w:val="center"/>
              <w:rPr>
                <w:rFonts w:ascii="宋体" w:hAnsi="宋体" w:cs="宋体"/>
                <w:color w:val="auto"/>
                <w:szCs w:val="21"/>
                <w:highlight w:val="none"/>
              </w:rPr>
            </w:pPr>
            <w:r>
              <w:rPr>
                <w:rFonts w:hint="eastAsia" w:ascii="宋体" w:hAnsi="宋体" w:cs="宋体"/>
                <w:color w:val="auto"/>
                <w:szCs w:val="21"/>
                <w:highlight w:val="none"/>
              </w:rPr>
              <w:t>（详细列明所投产品的技术配置）</w:t>
            </w:r>
          </w:p>
        </w:tc>
        <w:tc>
          <w:tcPr>
            <w:tcW w:w="2676" w:type="dxa"/>
            <w:vAlign w:val="center"/>
          </w:tcPr>
          <w:p>
            <w:pPr>
              <w:spacing w:line="500" w:lineRule="exact"/>
              <w:jc w:val="center"/>
              <w:rPr>
                <w:rFonts w:ascii="宋体" w:hAnsi="宋体" w:cs="宋体"/>
                <w:color w:val="auto"/>
                <w:szCs w:val="21"/>
                <w:highlight w:val="none"/>
              </w:rPr>
            </w:pPr>
            <w:r>
              <w:rPr>
                <w:rFonts w:hint="eastAsia" w:ascii="宋体" w:hAnsi="宋体" w:cs="宋体"/>
                <w:color w:val="auto"/>
                <w:szCs w:val="21"/>
                <w:highlight w:val="none"/>
              </w:rPr>
              <w:t>偏差描述</w:t>
            </w:r>
          </w:p>
          <w:p>
            <w:pPr>
              <w:spacing w:line="500" w:lineRule="exact"/>
              <w:jc w:val="center"/>
              <w:rPr>
                <w:rFonts w:ascii="宋体" w:hAnsi="宋体" w:cs="宋体"/>
                <w:color w:val="auto"/>
                <w:szCs w:val="21"/>
                <w:highlight w:val="none"/>
              </w:rPr>
            </w:pPr>
            <w:r>
              <w:rPr>
                <w:rFonts w:hint="eastAsia" w:ascii="宋体" w:hAnsi="宋体" w:cs="宋体"/>
                <w:color w:val="auto"/>
                <w:szCs w:val="21"/>
                <w:highlight w:val="none"/>
              </w:rPr>
              <w:t>（详细描述技术是否具有正、负偏差）</w:t>
            </w:r>
          </w:p>
        </w:tc>
        <w:tc>
          <w:tcPr>
            <w:tcW w:w="1068" w:type="dxa"/>
            <w:tcBorders>
              <w:right w:val="single" w:color="auto" w:sz="4" w:space="0"/>
            </w:tcBorders>
            <w:vAlign w:val="center"/>
          </w:tcPr>
          <w:p>
            <w:pPr>
              <w:spacing w:line="500" w:lineRule="exact"/>
              <w:jc w:val="center"/>
              <w:rPr>
                <w:rFonts w:hint="eastAsia" w:ascii="宋体" w:hAnsi="宋体" w:eastAsia="Calibri" w:cs="宋体"/>
                <w:color w:val="auto"/>
                <w:szCs w:val="21"/>
                <w:highlight w:val="none"/>
                <w:lang w:eastAsia="zh-CN"/>
              </w:rPr>
            </w:pPr>
            <w:r>
              <w:rPr>
                <w:rFonts w:hint="eastAsia" w:ascii="宋体" w:hAnsi="宋体" w:cs="宋体"/>
                <w:color w:val="auto"/>
                <w:szCs w:val="21"/>
                <w:highlight w:val="none"/>
                <w:lang w:eastAsia="zh-CN"/>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72" w:hRule="atLeast"/>
        </w:trPr>
        <w:tc>
          <w:tcPr>
            <w:tcW w:w="566" w:type="dxa"/>
            <w:tcBorders>
              <w:bottom w:val="single" w:color="auto" w:sz="4" w:space="0"/>
            </w:tcBorders>
            <w:vAlign w:val="center"/>
          </w:tcPr>
          <w:p>
            <w:pPr>
              <w:spacing w:line="500" w:lineRule="exact"/>
              <w:jc w:val="center"/>
              <w:rPr>
                <w:rFonts w:ascii="宋体" w:hAnsi="宋体" w:cs="宋体"/>
                <w:color w:val="auto"/>
                <w:szCs w:val="21"/>
                <w:highlight w:val="none"/>
              </w:rPr>
            </w:pPr>
          </w:p>
        </w:tc>
        <w:tc>
          <w:tcPr>
            <w:tcW w:w="938" w:type="dxa"/>
            <w:tcBorders>
              <w:bottom w:val="single" w:color="auto" w:sz="4" w:space="0"/>
            </w:tcBorders>
            <w:vAlign w:val="center"/>
          </w:tcPr>
          <w:p>
            <w:pPr>
              <w:spacing w:line="500" w:lineRule="exact"/>
              <w:jc w:val="center"/>
              <w:rPr>
                <w:rFonts w:ascii="宋体" w:hAnsi="宋体" w:cs="宋体"/>
                <w:color w:val="auto"/>
                <w:szCs w:val="21"/>
                <w:highlight w:val="none"/>
              </w:rPr>
            </w:pPr>
          </w:p>
        </w:tc>
        <w:tc>
          <w:tcPr>
            <w:tcW w:w="2072" w:type="dxa"/>
            <w:tcBorders>
              <w:bottom w:val="single" w:color="auto" w:sz="4" w:space="0"/>
            </w:tcBorders>
            <w:vAlign w:val="center"/>
          </w:tcPr>
          <w:p>
            <w:pPr>
              <w:spacing w:line="500" w:lineRule="exact"/>
              <w:jc w:val="center"/>
              <w:rPr>
                <w:rFonts w:ascii="宋体" w:hAnsi="宋体" w:cs="宋体"/>
                <w:color w:val="auto"/>
                <w:szCs w:val="21"/>
                <w:highlight w:val="none"/>
              </w:rPr>
            </w:pPr>
          </w:p>
        </w:tc>
        <w:tc>
          <w:tcPr>
            <w:tcW w:w="2666" w:type="dxa"/>
            <w:tcBorders>
              <w:bottom w:val="single" w:color="auto" w:sz="4" w:space="0"/>
            </w:tcBorders>
            <w:vAlign w:val="center"/>
          </w:tcPr>
          <w:p>
            <w:pPr>
              <w:spacing w:line="500" w:lineRule="exact"/>
              <w:jc w:val="center"/>
              <w:rPr>
                <w:rFonts w:ascii="宋体" w:hAnsi="宋体" w:cs="宋体"/>
                <w:color w:val="auto"/>
                <w:szCs w:val="21"/>
                <w:highlight w:val="none"/>
              </w:rPr>
            </w:pPr>
          </w:p>
        </w:tc>
        <w:tc>
          <w:tcPr>
            <w:tcW w:w="2676" w:type="dxa"/>
            <w:tcBorders>
              <w:bottom w:val="single" w:color="auto" w:sz="4" w:space="0"/>
            </w:tcBorders>
            <w:vAlign w:val="center"/>
          </w:tcPr>
          <w:p>
            <w:pPr>
              <w:spacing w:line="500" w:lineRule="exact"/>
              <w:jc w:val="center"/>
              <w:rPr>
                <w:rFonts w:ascii="宋体" w:hAnsi="宋体" w:cs="宋体"/>
                <w:color w:val="auto"/>
                <w:szCs w:val="21"/>
                <w:highlight w:val="none"/>
              </w:rPr>
            </w:pPr>
          </w:p>
        </w:tc>
        <w:tc>
          <w:tcPr>
            <w:tcW w:w="1068" w:type="dxa"/>
            <w:tcBorders>
              <w:bottom w:val="single" w:color="auto" w:sz="4" w:space="0"/>
              <w:right w:val="single" w:color="auto" w:sz="4" w:space="0"/>
            </w:tcBorders>
            <w:vAlign w:val="center"/>
          </w:tcPr>
          <w:p>
            <w:pPr>
              <w:spacing w:line="500" w:lineRule="exact"/>
              <w:jc w:val="center"/>
              <w:rPr>
                <w:rFonts w:ascii="宋体" w:hAnsi="宋体" w:cs="宋体"/>
                <w:color w:val="auto"/>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6" w:hRule="atLeast"/>
        </w:trPr>
        <w:tc>
          <w:tcPr>
            <w:tcW w:w="566" w:type="dxa"/>
            <w:tcBorders>
              <w:top w:val="single" w:color="auto" w:sz="4" w:space="0"/>
              <w:bottom w:val="single" w:color="auto" w:sz="4" w:space="0"/>
            </w:tcBorders>
            <w:vAlign w:val="center"/>
          </w:tcPr>
          <w:p>
            <w:pPr>
              <w:spacing w:line="500" w:lineRule="exact"/>
              <w:jc w:val="center"/>
              <w:rPr>
                <w:rFonts w:ascii="宋体" w:hAnsi="宋体" w:cs="宋体"/>
                <w:color w:val="auto"/>
                <w:szCs w:val="21"/>
                <w:highlight w:val="none"/>
              </w:rPr>
            </w:pPr>
          </w:p>
        </w:tc>
        <w:tc>
          <w:tcPr>
            <w:tcW w:w="938" w:type="dxa"/>
            <w:tcBorders>
              <w:top w:val="single" w:color="auto" w:sz="4" w:space="0"/>
              <w:bottom w:val="single" w:color="auto" w:sz="4" w:space="0"/>
            </w:tcBorders>
            <w:vAlign w:val="center"/>
          </w:tcPr>
          <w:p>
            <w:pPr>
              <w:spacing w:line="500" w:lineRule="exact"/>
              <w:jc w:val="center"/>
              <w:rPr>
                <w:rFonts w:ascii="宋体" w:hAnsi="宋体" w:cs="宋体"/>
                <w:color w:val="auto"/>
                <w:szCs w:val="21"/>
                <w:highlight w:val="none"/>
              </w:rPr>
            </w:pPr>
          </w:p>
        </w:tc>
        <w:tc>
          <w:tcPr>
            <w:tcW w:w="2072" w:type="dxa"/>
            <w:tcBorders>
              <w:top w:val="single" w:color="auto" w:sz="4" w:space="0"/>
              <w:bottom w:val="single" w:color="auto" w:sz="4" w:space="0"/>
            </w:tcBorders>
            <w:vAlign w:val="center"/>
          </w:tcPr>
          <w:p>
            <w:pPr>
              <w:spacing w:line="500" w:lineRule="exact"/>
              <w:jc w:val="center"/>
              <w:rPr>
                <w:rFonts w:ascii="宋体" w:hAnsi="宋体" w:cs="宋体"/>
                <w:color w:val="auto"/>
                <w:szCs w:val="21"/>
                <w:highlight w:val="none"/>
              </w:rPr>
            </w:pPr>
          </w:p>
        </w:tc>
        <w:tc>
          <w:tcPr>
            <w:tcW w:w="2666" w:type="dxa"/>
            <w:tcBorders>
              <w:top w:val="single" w:color="auto" w:sz="4" w:space="0"/>
              <w:bottom w:val="single" w:color="auto" w:sz="4" w:space="0"/>
            </w:tcBorders>
            <w:vAlign w:val="center"/>
          </w:tcPr>
          <w:p>
            <w:pPr>
              <w:spacing w:line="500" w:lineRule="exact"/>
              <w:jc w:val="center"/>
              <w:rPr>
                <w:rFonts w:ascii="宋体" w:hAnsi="宋体" w:cs="宋体"/>
                <w:color w:val="auto"/>
                <w:szCs w:val="21"/>
                <w:highlight w:val="none"/>
              </w:rPr>
            </w:pPr>
          </w:p>
        </w:tc>
        <w:tc>
          <w:tcPr>
            <w:tcW w:w="2676" w:type="dxa"/>
            <w:tcBorders>
              <w:top w:val="single" w:color="auto" w:sz="4" w:space="0"/>
              <w:bottom w:val="single" w:color="auto" w:sz="4" w:space="0"/>
            </w:tcBorders>
            <w:vAlign w:val="center"/>
          </w:tcPr>
          <w:p>
            <w:pPr>
              <w:spacing w:line="500" w:lineRule="exact"/>
              <w:jc w:val="center"/>
              <w:rPr>
                <w:rFonts w:ascii="宋体" w:hAnsi="宋体" w:cs="宋体"/>
                <w:color w:val="auto"/>
                <w:szCs w:val="21"/>
                <w:highlight w:val="none"/>
              </w:rPr>
            </w:pPr>
          </w:p>
        </w:tc>
        <w:tc>
          <w:tcPr>
            <w:tcW w:w="1068" w:type="dxa"/>
            <w:tcBorders>
              <w:top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6" w:hRule="atLeast"/>
        </w:trPr>
        <w:tc>
          <w:tcPr>
            <w:tcW w:w="566" w:type="dxa"/>
            <w:tcBorders>
              <w:top w:val="single" w:color="auto" w:sz="4" w:space="0"/>
              <w:bottom w:val="single" w:color="auto" w:sz="4" w:space="0"/>
            </w:tcBorders>
            <w:vAlign w:val="center"/>
          </w:tcPr>
          <w:p>
            <w:pPr>
              <w:spacing w:line="500" w:lineRule="exact"/>
              <w:jc w:val="center"/>
              <w:rPr>
                <w:rFonts w:ascii="宋体" w:hAnsi="宋体" w:cs="宋体"/>
                <w:color w:val="auto"/>
                <w:szCs w:val="21"/>
                <w:highlight w:val="none"/>
              </w:rPr>
            </w:pPr>
          </w:p>
        </w:tc>
        <w:tc>
          <w:tcPr>
            <w:tcW w:w="938" w:type="dxa"/>
            <w:tcBorders>
              <w:top w:val="single" w:color="auto" w:sz="4" w:space="0"/>
              <w:bottom w:val="single" w:color="auto" w:sz="4" w:space="0"/>
            </w:tcBorders>
            <w:vAlign w:val="center"/>
          </w:tcPr>
          <w:p>
            <w:pPr>
              <w:spacing w:line="500" w:lineRule="exact"/>
              <w:jc w:val="center"/>
              <w:rPr>
                <w:rFonts w:ascii="宋体" w:hAnsi="宋体" w:cs="宋体"/>
                <w:color w:val="auto"/>
                <w:szCs w:val="21"/>
                <w:highlight w:val="none"/>
              </w:rPr>
            </w:pPr>
          </w:p>
        </w:tc>
        <w:tc>
          <w:tcPr>
            <w:tcW w:w="2072" w:type="dxa"/>
            <w:tcBorders>
              <w:top w:val="single" w:color="auto" w:sz="4" w:space="0"/>
              <w:bottom w:val="single" w:color="auto" w:sz="4" w:space="0"/>
            </w:tcBorders>
            <w:vAlign w:val="center"/>
          </w:tcPr>
          <w:p>
            <w:pPr>
              <w:spacing w:line="500" w:lineRule="exact"/>
              <w:jc w:val="center"/>
              <w:rPr>
                <w:rFonts w:ascii="宋体" w:hAnsi="宋体" w:cs="宋体"/>
                <w:color w:val="auto"/>
                <w:szCs w:val="21"/>
                <w:highlight w:val="none"/>
              </w:rPr>
            </w:pPr>
          </w:p>
        </w:tc>
        <w:tc>
          <w:tcPr>
            <w:tcW w:w="2666" w:type="dxa"/>
            <w:tcBorders>
              <w:top w:val="single" w:color="auto" w:sz="4" w:space="0"/>
              <w:bottom w:val="single" w:color="auto" w:sz="4" w:space="0"/>
            </w:tcBorders>
            <w:vAlign w:val="center"/>
          </w:tcPr>
          <w:p>
            <w:pPr>
              <w:spacing w:line="500" w:lineRule="exact"/>
              <w:jc w:val="center"/>
              <w:rPr>
                <w:rFonts w:ascii="宋体" w:hAnsi="宋体" w:cs="宋体"/>
                <w:color w:val="auto"/>
                <w:szCs w:val="21"/>
                <w:highlight w:val="none"/>
              </w:rPr>
            </w:pPr>
          </w:p>
        </w:tc>
        <w:tc>
          <w:tcPr>
            <w:tcW w:w="2676" w:type="dxa"/>
            <w:tcBorders>
              <w:top w:val="single" w:color="auto" w:sz="4" w:space="0"/>
              <w:bottom w:val="single" w:color="auto" w:sz="4" w:space="0"/>
            </w:tcBorders>
            <w:vAlign w:val="center"/>
          </w:tcPr>
          <w:p>
            <w:pPr>
              <w:spacing w:line="500" w:lineRule="exact"/>
              <w:jc w:val="center"/>
              <w:rPr>
                <w:rFonts w:ascii="宋体" w:hAnsi="宋体" w:cs="宋体"/>
                <w:color w:val="auto"/>
                <w:szCs w:val="21"/>
                <w:highlight w:val="none"/>
              </w:rPr>
            </w:pPr>
          </w:p>
        </w:tc>
        <w:tc>
          <w:tcPr>
            <w:tcW w:w="1068" w:type="dxa"/>
            <w:tcBorders>
              <w:top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highlight w:val="none"/>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50" w:hRule="atLeast"/>
        </w:trPr>
        <w:tc>
          <w:tcPr>
            <w:tcW w:w="566" w:type="dxa"/>
            <w:tcBorders>
              <w:top w:val="single" w:color="auto" w:sz="4" w:space="0"/>
              <w:bottom w:val="single" w:color="auto" w:sz="4" w:space="0"/>
            </w:tcBorders>
            <w:vAlign w:val="center"/>
          </w:tcPr>
          <w:p>
            <w:pPr>
              <w:spacing w:line="500" w:lineRule="exact"/>
              <w:jc w:val="center"/>
              <w:rPr>
                <w:rFonts w:ascii="宋体" w:hAnsi="宋体" w:cs="宋体"/>
                <w:color w:val="auto"/>
                <w:szCs w:val="21"/>
                <w:highlight w:val="none"/>
              </w:rPr>
            </w:pPr>
          </w:p>
        </w:tc>
        <w:tc>
          <w:tcPr>
            <w:tcW w:w="938" w:type="dxa"/>
            <w:tcBorders>
              <w:top w:val="single" w:color="auto" w:sz="4" w:space="0"/>
              <w:bottom w:val="single" w:color="auto" w:sz="4" w:space="0"/>
            </w:tcBorders>
            <w:vAlign w:val="center"/>
          </w:tcPr>
          <w:p>
            <w:pPr>
              <w:spacing w:line="500" w:lineRule="exact"/>
              <w:jc w:val="center"/>
              <w:rPr>
                <w:rFonts w:ascii="宋体" w:hAnsi="宋体" w:cs="宋体"/>
                <w:color w:val="auto"/>
                <w:szCs w:val="21"/>
                <w:highlight w:val="none"/>
              </w:rPr>
            </w:pPr>
          </w:p>
        </w:tc>
        <w:tc>
          <w:tcPr>
            <w:tcW w:w="2072" w:type="dxa"/>
            <w:tcBorders>
              <w:top w:val="single" w:color="auto" w:sz="4" w:space="0"/>
              <w:bottom w:val="single" w:color="auto" w:sz="4" w:space="0"/>
            </w:tcBorders>
            <w:vAlign w:val="center"/>
          </w:tcPr>
          <w:p>
            <w:pPr>
              <w:spacing w:line="500" w:lineRule="exact"/>
              <w:jc w:val="center"/>
              <w:rPr>
                <w:rFonts w:ascii="宋体" w:hAnsi="宋体" w:cs="宋体"/>
                <w:color w:val="auto"/>
                <w:szCs w:val="21"/>
                <w:highlight w:val="none"/>
              </w:rPr>
            </w:pPr>
          </w:p>
        </w:tc>
        <w:tc>
          <w:tcPr>
            <w:tcW w:w="2666" w:type="dxa"/>
            <w:tcBorders>
              <w:top w:val="single" w:color="auto" w:sz="4" w:space="0"/>
              <w:bottom w:val="single" w:color="auto" w:sz="4" w:space="0"/>
            </w:tcBorders>
            <w:vAlign w:val="center"/>
          </w:tcPr>
          <w:p>
            <w:pPr>
              <w:spacing w:line="500" w:lineRule="exact"/>
              <w:jc w:val="center"/>
              <w:rPr>
                <w:rFonts w:ascii="宋体" w:hAnsi="宋体" w:cs="宋体"/>
                <w:color w:val="auto"/>
                <w:szCs w:val="21"/>
                <w:highlight w:val="none"/>
              </w:rPr>
            </w:pPr>
          </w:p>
        </w:tc>
        <w:tc>
          <w:tcPr>
            <w:tcW w:w="2676" w:type="dxa"/>
            <w:tcBorders>
              <w:top w:val="single" w:color="auto" w:sz="4" w:space="0"/>
              <w:bottom w:val="single" w:color="auto" w:sz="4" w:space="0"/>
            </w:tcBorders>
            <w:vAlign w:val="center"/>
          </w:tcPr>
          <w:p>
            <w:pPr>
              <w:spacing w:line="500" w:lineRule="exact"/>
              <w:jc w:val="center"/>
              <w:rPr>
                <w:rFonts w:ascii="宋体" w:hAnsi="宋体" w:cs="宋体"/>
                <w:color w:val="auto"/>
                <w:szCs w:val="21"/>
                <w:highlight w:val="none"/>
              </w:rPr>
            </w:pPr>
          </w:p>
        </w:tc>
        <w:tc>
          <w:tcPr>
            <w:tcW w:w="1068" w:type="dxa"/>
            <w:tcBorders>
              <w:top w:val="single" w:color="auto" w:sz="4" w:space="0"/>
              <w:bottom w:val="single" w:color="auto" w:sz="4" w:space="0"/>
              <w:right w:val="single" w:color="auto" w:sz="4" w:space="0"/>
            </w:tcBorders>
            <w:vAlign w:val="center"/>
          </w:tcPr>
          <w:p>
            <w:pPr>
              <w:spacing w:line="500" w:lineRule="exact"/>
              <w:jc w:val="center"/>
              <w:rPr>
                <w:rFonts w:ascii="宋体" w:hAnsi="宋体" w:cs="宋体"/>
                <w:color w:val="auto"/>
                <w:szCs w:val="21"/>
                <w:highlight w:val="none"/>
              </w:rPr>
            </w:pPr>
          </w:p>
        </w:tc>
      </w:tr>
    </w:tbl>
    <w:p>
      <w:pPr>
        <w:widowControl/>
        <w:spacing w:line="500" w:lineRule="exact"/>
        <w:rPr>
          <w:rFonts w:hint="eastAsia" w:ascii="宋体" w:hAnsi="宋体" w:eastAsia="宋体" w:cs="宋体"/>
          <w:b/>
          <w:color w:val="auto"/>
          <w:szCs w:val="21"/>
          <w:highlight w:val="none"/>
          <w:lang w:eastAsia="zh-CN"/>
        </w:rPr>
      </w:pPr>
      <w:r>
        <w:rPr>
          <w:rFonts w:hint="eastAsia" w:ascii="宋体" w:hAnsi="宋体" w:cs="宋体"/>
          <w:b/>
          <w:color w:val="auto"/>
          <w:szCs w:val="21"/>
          <w:highlight w:val="none"/>
          <w:lang w:eastAsia="zh-CN"/>
        </w:rPr>
        <w:t>（</w:t>
      </w:r>
      <w:r>
        <w:rPr>
          <w:rFonts w:hint="eastAsia" w:ascii="宋体" w:hAnsi="宋体" w:cs="宋体"/>
          <w:color w:val="auto"/>
          <w:szCs w:val="21"/>
          <w:highlight w:val="none"/>
        </w:rPr>
        <w:t>此表可续接</w:t>
      </w:r>
      <w:r>
        <w:rPr>
          <w:rFonts w:hint="eastAsia" w:ascii="宋体" w:hAnsi="宋体" w:cs="宋体"/>
          <w:b/>
          <w:color w:val="auto"/>
          <w:szCs w:val="21"/>
          <w:highlight w:val="none"/>
          <w:lang w:eastAsia="zh-CN"/>
        </w:rPr>
        <w:t>）</w:t>
      </w:r>
    </w:p>
    <w:p>
      <w:pPr>
        <w:spacing w:line="500" w:lineRule="exact"/>
        <w:ind w:firstLine="4180" w:firstLineChars="1900"/>
        <w:jc w:val="both"/>
        <w:rPr>
          <w:rFonts w:ascii="宋体" w:hAnsi="宋体"/>
          <w:color w:val="auto"/>
          <w:sz w:val="22"/>
          <w:szCs w:val="22"/>
          <w:highlight w:val="none"/>
        </w:rPr>
      </w:pPr>
      <w:r>
        <w:rPr>
          <w:rFonts w:hint="eastAsia" w:ascii="宋体" w:hAnsi="宋体"/>
          <w:color w:val="auto"/>
          <w:sz w:val="22"/>
          <w:szCs w:val="22"/>
          <w:highlight w:val="none"/>
          <w:lang w:eastAsia="zh-CN"/>
        </w:rPr>
        <w:t>供应商名称</w:t>
      </w:r>
      <w:r>
        <w:rPr>
          <w:rFonts w:hint="eastAsia" w:ascii="宋体" w:hAnsi="宋体"/>
          <w:color w:val="auto"/>
          <w:sz w:val="22"/>
          <w:szCs w:val="22"/>
          <w:highlight w:val="none"/>
        </w:rPr>
        <w:t>：</w:t>
      </w:r>
      <w:r>
        <w:rPr>
          <w:rFonts w:hint="eastAsia" w:ascii="宋体" w:hAnsi="宋体"/>
          <w:color w:val="auto"/>
          <w:sz w:val="22"/>
          <w:szCs w:val="22"/>
          <w:highlight w:val="none"/>
          <w:u w:val="single"/>
          <w:lang w:val="en-US" w:eastAsia="zh-CN"/>
        </w:rPr>
        <w:t xml:space="preserve">               </w:t>
      </w:r>
      <w:r>
        <w:rPr>
          <w:rFonts w:hint="eastAsia" w:ascii="宋体" w:hAnsi="宋体"/>
          <w:color w:val="auto"/>
          <w:sz w:val="22"/>
          <w:szCs w:val="22"/>
          <w:highlight w:val="none"/>
        </w:rPr>
        <w:t>（盖单位</w:t>
      </w:r>
      <w:r>
        <w:rPr>
          <w:rFonts w:hint="eastAsia" w:ascii="宋体" w:hAnsi="宋体"/>
          <w:color w:val="auto"/>
          <w:sz w:val="22"/>
          <w:szCs w:val="22"/>
          <w:highlight w:val="none"/>
          <w:lang w:eastAsia="zh-CN"/>
        </w:rPr>
        <w:t>公</w:t>
      </w:r>
      <w:r>
        <w:rPr>
          <w:rFonts w:hint="eastAsia" w:ascii="宋体" w:hAnsi="宋体"/>
          <w:color w:val="auto"/>
          <w:sz w:val="22"/>
          <w:szCs w:val="22"/>
          <w:highlight w:val="none"/>
        </w:rPr>
        <w:t>章）</w:t>
      </w:r>
    </w:p>
    <w:p>
      <w:pPr>
        <w:spacing w:line="500" w:lineRule="exact"/>
        <w:jc w:val="center"/>
        <w:rPr>
          <w:rFonts w:ascii="宋体" w:hAnsi="宋体"/>
          <w:color w:val="auto"/>
          <w:sz w:val="22"/>
          <w:szCs w:val="22"/>
          <w:highlight w:val="none"/>
        </w:rPr>
      </w:pPr>
      <w:r>
        <w:rPr>
          <w:rFonts w:hint="eastAsia" w:ascii="宋体" w:hAnsi="宋体"/>
          <w:color w:val="auto"/>
          <w:sz w:val="22"/>
          <w:szCs w:val="22"/>
          <w:highlight w:val="none"/>
          <w:lang w:val="en-US" w:eastAsia="zh-CN"/>
        </w:rPr>
        <w:t xml:space="preserve">                                   </w:t>
      </w:r>
      <w:r>
        <w:rPr>
          <w:rFonts w:hint="eastAsia" w:ascii="宋体" w:hAnsi="宋体"/>
          <w:color w:val="auto"/>
          <w:sz w:val="22"/>
          <w:szCs w:val="22"/>
          <w:highlight w:val="none"/>
        </w:rPr>
        <w:t>法定代表人或其委托代理人：</w:t>
      </w:r>
      <w:r>
        <w:rPr>
          <w:rFonts w:hint="eastAsia" w:ascii="宋体" w:hAnsi="宋体"/>
          <w:color w:val="auto"/>
          <w:sz w:val="22"/>
          <w:szCs w:val="22"/>
          <w:highlight w:val="none"/>
          <w:u w:val="single"/>
          <w:lang w:val="en-US" w:eastAsia="zh-CN"/>
        </w:rPr>
        <w:t xml:space="preserve">       </w:t>
      </w:r>
      <w:r>
        <w:rPr>
          <w:rFonts w:hint="eastAsia" w:ascii="宋体" w:hAnsi="宋体"/>
          <w:color w:val="auto"/>
          <w:sz w:val="22"/>
          <w:szCs w:val="22"/>
          <w:highlight w:val="none"/>
          <w:u w:val="none"/>
        </w:rPr>
        <w:t>（</w:t>
      </w:r>
      <w:r>
        <w:rPr>
          <w:rFonts w:hint="eastAsia" w:ascii="宋体" w:hAnsi="宋体"/>
          <w:color w:val="auto"/>
          <w:sz w:val="22"/>
          <w:szCs w:val="22"/>
          <w:highlight w:val="none"/>
        </w:rPr>
        <w:t>签字）</w:t>
      </w:r>
    </w:p>
    <w:p>
      <w:pPr>
        <w:pStyle w:val="61"/>
        <w:spacing w:line="500" w:lineRule="exact"/>
        <w:ind w:firstLine="4200" w:firstLineChars="2000"/>
        <w:rPr>
          <w:rFonts w:hint="default" w:ascii="宋体" w:hAnsi="宋体" w:eastAsia="宋体" w:cs="宋体"/>
          <w:color w:val="auto"/>
          <w:szCs w:val="21"/>
          <w:highlight w:val="none"/>
          <w:u w:val="none"/>
          <w:lang w:val="en-US" w:eastAsia="zh-CN"/>
        </w:rPr>
      </w:pPr>
      <w:r>
        <w:rPr>
          <w:rFonts w:hint="eastAsia" w:ascii="宋体" w:hAnsi="宋体" w:cs="宋体"/>
          <w:color w:val="auto"/>
          <w:szCs w:val="21"/>
          <w:highlight w:val="none"/>
          <w:lang w:eastAsia="zh-CN"/>
        </w:rPr>
        <w:t>日</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lang w:eastAsia="zh-CN"/>
        </w:rPr>
        <w:t>期：</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none"/>
          <w:lang w:val="en-US" w:eastAsia="zh-CN"/>
        </w:rPr>
        <w:t xml:space="preserve"> 年</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none"/>
          <w:lang w:val="en-US" w:eastAsia="zh-CN"/>
        </w:rPr>
        <w:t>月</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none"/>
          <w:lang w:val="en-US" w:eastAsia="zh-CN"/>
        </w:rPr>
        <w:t>日</w:t>
      </w:r>
    </w:p>
    <w:p>
      <w:pPr>
        <w:spacing w:line="600" w:lineRule="exact"/>
        <w:ind w:firstLine="420"/>
        <w:rPr>
          <w:rFonts w:ascii="宋体" w:hAnsi="宋体" w:cs="宋体"/>
          <w:color w:val="auto"/>
          <w:kern w:val="0"/>
          <w:szCs w:val="21"/>
          <w:highlight w:val="none"/>
        </w:rPr>
      </w:pPr>
    </w:p>
    <w:p>
      <w:pPr>
        <w:widowControl/>
        <w:autoSpaceDE w:val="0"/>
        <w:autoSpaceDN w:val="0"/>
        <w:spacing w:line="500" w:lineRule="exact"/>
        <w:ind w:right="26" w:firstLine="315" w:firstLineChars="150"/>
        <w:rPr>
          <w:rFonts w:ascii="宋体" w:hAnsi="宋体" w:cs="宋体"/>
          <w:color w:val="auto"/>
          <w:szCs w:val="21"/>
          <w:highlight w:val="none"/>
        </w:rPr>
      </w:pPr>
      <w:r>
        <w:rPr>
          <w:rFonts w:hint="eastAsia" w:ascii="宋体" w:hAnsi="宋体" w:cs="宋体"/>
          <w:color w:val="auto"/>
          <w:szCs w:val="21"/>
          <w:highlight w:val="none"/>
        </w:rPr>
        <w:t>注：</w:t>
      </w:r>
      <w:r>
        <w:rPr>
          <w:rFonts w:ascii="宋体" w:hAnsi="宋体" w:cs="宋体"/>
          <w:color w:val="auto"/>
          <w:szCs w:val="21"/>
          <w:highlight w:val="none"/>
        </w:rPr>
        <w:t>1</w:t>
      </w:r>
      <w:r>
        <w:rPr>
          <w:rFonts w:hint="eastAsia" w:ascii="宋体" w:hAnsi="宋体" w:cs="宋体"/>
          <w:color w:val="auto"/>
          <w:szCs w:val="21"/>
          <w:highlight w:val="none"/>
        </w:rPr>
        <w:t>、</w:t>
      </w: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必须按要求规范填写技术规范偏差表。如果此表中所列内容无法满足招标文件中提出的要求或内容不一致，其投标将被视为无效投标。</w:t>
      </w:r>
    </w:p>
    <w:p>
      <w:pPr>
        <w:numPr>
          <w:ilvl w:val="0"/>
          <w:numId w:val="17"/>
        </w:numPr>
        <w:spacing w:line="500" w:lineRule="exact"/>
        <w:ind w:firstLine="735" w:firstLineChars="350"/>
        <w:rPr>
          <w:rFonts w:hint="eastAsia" w:ascii="宋体" w:hAnsi="宋体" w:cs="宋体"/>
          <w:color w:val="auto"/>
          <w:szCs w:val="21"/>
          <w:highlight w:val="none"/>
        </w:rPr>
      </w:pP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必须根据所投产品的实际情况如实填写，评委会如发现有虚假描述的，将予</w:t>
      </w:r>
      <w:r>
        <w:rPr>
          <w:rFonts w:hint="eastAsia" w:ascii="宋体" w:hAnsi="宋体" w:cs="宋体"/>
          <w:color w:val="auto"/>
          <w:szCs w:val="21"/>
          <w:highlight w:val="none"/>
          <w:lang w:val="en-US" w:eastAsia="zh-CN"/>
        </w:rPr>
        <w:t>以废标处理</w:t>
      </w:r>
      <w:r>
        <w:rPr>
          <w:rFonts w:hint="eastAsia" w:ascii="宋体" w:hAnsi="宋体" w:cs="宋体"/>
          <w:color w:val="auto"/>
          <w:szCs w:val="21"/>
          <w:highlight w:val="none"/>
        </w:rPr>
        <w:t>。</w:t>
      </w:r>
    </w:p>
    <w:p>
      <w:pPr>
        <w:numPr>
          <w:ilvl w:val="0"/>
          <w:numId w:val="17"/>
        </w:numPr>
        <w:spacing w:line="500" w:lineRule="exact"/>
        <w:ind w:firstLine="735" w:firstLineChars="350"/>
        <w:rPr>
          <w:rFonts w:hint="eastAsia" w:ascii="宋体" w:hAnsi="宋体" w:cs="宋体"/>
          <w:color w:val="auto"/>
          <w:szCs w:val="21"/>
          <w:highlight w:val="none"/>
        </w:rPr>
      </w:pPr>
      <w:r>
        <w:rPr>
          <w:rFonts w:hint="eastAsia" w:ascii="宋体" w:hAnsi="宋体" w:cs="宋体"/>
          <w:color w:val="auto"/>
          <w:szCs w:val="21"/>
          <w:highlight w:val="none"/>
        </w:rPr>
        <w:t>如无偏差，本表可不予填写，但须在备注中注明完全符合招标文件要求，技术规格无偏差。</w:t>
      </w:r>
    </w:p>
    <w:p>
      <w:pPr>
        <w:bidi w:val="0"/>
        <w:rPr>
          <w:rFonts w:hint="eastAsia"/>
          <w:color w:val="auto"/>
          <w:highlight w:val="none"/>
          <w:lang w:eastAsia="zh-CN"/>
        </w:rPr>
      </w:pPr>
    </w:p>
    <w:p>
      <w:pPr>
        <w:pStyle w:val="17"/>
        <w:rPr>
          <w:rFonts w:ascii="宋体" w:cs="宋体"/>
          <w:color w:val="auto"/>
          <w:highlight w:val="none"/>
        </w:rPr>
      </w:pPr>
      <w:bookmarkStart w:id="116" w:name="_Toc15731"/>
      <w:r>
        <w:rPr>
          <w:rFonts w:hint="eastAsia" w:ascii="宋体" w:hAnsi="宋体" w:cs="宋体"/>
          <w:color w:val="auto"/>
          <w:highlight w:val="none"/>
          <w:lang w:eastAsia="zh-CN"/>
        </w:rPr>
        <w:t>四</w:t>
      </w:r>
      <w:r>
        <w:rPr>
          <w:rFonts w:hint="eastAsia" w:ascii="宋体" w:hAnsi="宋体" w:cs="宋体"/>
          <w:color w:val="auto"/>
          <w:highlight w:val="none"/>
        </w:rPr>
        <w:t>、法定代表人（负责人）身份证明</w:t>
      </w:r>
      <w:bookmarkEnd w:id="116"/>
    </w:p>
    <w:p>
      <w:pPr>
        <w:pStyle w:val="30"/>
        <w:jc w:val="center"/>
        <w:rPr>
          <w:rFonts w:hAnsi="宋体"/>
          <w:b/>
          <w:bCs/>
          <w:color w:val="auto"/>
          <w:kern w:val="28"/>
          <w:sz w:val="28"/>
          <w:szCs w:val="28"/>
          <w:highlight w:val="none"/>
        </w:rPr>
      </w:pPr>
    </w:p>
    <w:p>
      <w:pPr>
        <w:spacing w:line="360" w:lineRule="auto"/>
        <w:jc w:val="right"/>
        <w:rPr>
          <w:rFonts w:ascii="宋体" w:cs="宋体"/>
          <w:color w:val="auto"/>
          <w:szCs w:val="21"/>
          <w:highlight w:val="none"/>
        </w:rPr>
      </w:pPr>
      <w:r>
        <w:rPr>
          <w:rFonts w:hint="eastAsia" w:ascii="宋体" w:hAnsi="宋体"/>
          <w:color w:val="auto"/>
          <w:szCs w:val="21"/>
          <w:highlight w:val="none"/>
        </w:rPr>
        <w:t xml:space="preserve">  </w:t>
      </w:r>
    </w:p>
    <w:p>
      <w:pPr>
        <w:spacing w:line="440" w:lineRule="exact"/>
        <w:rPr>
          <w:rFonts w:ascii="宋体" w:cs="宋体"/>
          <w:color w:val="auto"/>
          <w:sz w:val="20"/>
          <w:highlight w:val="none"/>
        </w:rPr>
      </w:pPr>
    </w:p>
    <w:p>
      <w:pPr>
        <w:spacing w:line="440" w:lineRule="exact"/>
        <w:rPr>
          <w:rFonts w:ascii="宋体" w:cs="宋体"/>
          <w:color w:val="auto"/>
          <w:szCs w:val="21"/>
          <w:highlight w:val="none"/>
        </w:rPr>
      </w:pPr>
    </w:p>
    <w:p>
      <w:pPr>
        <w:spacing w:line="560" w:lineRule="exact"/>
        <w:rPr>
          <w:rFonts w:ascii="宋体" w:cs="宋体"/>
          <w:color w:val="auto"/>
          <w:szCs w:val="21"/>
          <w:highlight w:val="none"/>
        </w:rPr>
      </w:pPr>
      <w:r>
        <w:rPr>
          <w:rFonts w:ascii="宋体" w:hAnsi="宋体" w:cs="宋体"/>
          <w:color w:val="auto"/>
          <w:szCs w:val="21"/>
          <w:highlight w:val="none"/>
        </w:rPr>
        <w:t xml:space="preserve">    </w:t>
      </w:r>
      <w:r>
        <w:rPr>
          <w:rFonts w:hint="eastAsia" w:ascii="宋体" w:hAnsi="宋体" w:cs="宋体"/>
          <w:color w:val="auto"/>
          <w:szCs w:val="21"/>
          <w:highlight w:val="none"/>
        </w:rPr>
        <w:t>供应商名称：</w:t>
      </w:r>
      <w:r>
        <w:rPr>
          <w:rFonts w:ascii="宋体" w:hAnsi="宋体" w:cs="宋体"/>
          <w:color w:val="auto"/>
          <w:szCs w:val="21"/>
          <w:highlight w:val="none"/>
          <w:u w:val="single"/>
        </w:rPr>
        <w:t xml:space="preserve">                            </w:t>
      </w:r>
      <w:r>
        <w:rPr>
          <w:rFonts w:ascii="宋体" w:hAnsi="宋体" w:cs="宋体"/>
          <w:color w:val="auto"/>
          <w:szCs w:val="21"/>
          <w:highlight w:val="none"/>
        </w:rPr>
        <w:t xml:space="preserve"> </w:t>
      </w:r>
    </w:p>
    <w:p>
      <w:pPr>
        <w:spacing w:line="560" w:lineRule="exact"/>
        <w:rPr>
          <w:rFonts w:ascii="宋体" w:cs="宋体"/>
          <w:color w:val="auto"/>
          <w:szCs w:val="21"/>
          <w:highlight w:val="none"/>
        </w:rPr>
      </w:pPr>
      <w:r>
        <w:rPr>
          <w:rFonts w:ascii="宋体" w:hAnsi="宋体" w:cs="宋体"/>
          <w:color w:val="auto"/>
          <w:szCs w:val="21"/>
          <w:highlight w:val="none"/>
        </w:rPr>
        <w:t xml:space="preserve">    </w:t>
      </w:r>
      <w:r>
        <w:rPr>
          <w:rFonts w:hint="eastAsia" w:ascii="宋体" w:hAnsi="宋体" w:cs="宋体"/>
          <w:color w:val="auto"/>
          <w:szCs w:val="21"/>
          <w:highlight w:val="none"/>
        </w:rPr>
        <w:t>单位性质：</w:t>
      </w:r>
      <w:r>
        <w:rPr>
          <w:rFonts w:ascii="宋体" w:hAnsi="宋体" w:cs="宋体"/>
          <w:color w:val="auto"/>
          <w:szCs w:val="21"/>
          <w:highlight w:val="none"/>
          <w:u w:val="single"/>
        </w:rPr>
        <w:t xml:space="preserve">                               </w:t>
      </w:r>
      <w:r>
        <w:rPr>
          <w:rFonts w:ascii="宋体" w:hAnsi="宋体" w:cs="宋体"/>
          <w:color w:val="auto"/>
          <w:szCs w:val="21"/>
          <w:highlight w:val="none"/>
        </w:rPr>
        <w:t xml:space="preserve"> </w:t>
      </w:r>
    </w:p>
    <w:p>
      <w:pPr>
        <w:spacing w:line="560" w:lineRule="exact"/>
        <w:rPr>
          <w:rFonts w:ascii="宋体" w:cs="宋体"/>
          <w:color w:val="auto"/>
          <w:szCs w:val="21"/>
          <w:highlight w:val="none"/>
        </w:rPr>
      </w:pPr>
      <w:r>
        <w:rPr>
          <w:rFonts w:ascii="宋体" w:hAnsi="宋体" w:cs="宋体"/>
          <w:color w:val="auto"/>
          <w:szCs w:val="21"/>
          <w:highlight w:val="none"/>
        </w:rPr>
        <w:t xml:space="preserve">    </w:t>
      </w:r>
      <w:r>
        <w:rPr>
          <w:rFonts w:hint="eastAsia" w:ascii="宋体" w:hAnsi="宋体" w:cs="宋体"/>
          <w:color w:val="auto"/>
          <w:szCs w:val="21"/>
          <w:highlight w:val="none"/>
        </w:rPr>
        <w:t>地址：</w:t>
      </w:r>
      <w:r>
        <w:rPr>
          <w:rFonts w:ascii="宋体" w:hAnsi="宋体" w:cs="宋体"/>
          <w:color w:val="auto"/>
          <w:szCs w:val="21"/>
          <w:highlight w:val="none"/>
          <w:u w:val="single"/>
        </w:rPr>
        <w:t xml:space="preserve">                                   </w:t>
      </w:r>
    </w:p>
    <w:p>
      <w:pPr>
        <w:spacing w:line="560" w:lineRule="exact"/>
        <w:rPr>
          <w:rFonts w:ascii="宋体" w:cs="宋体"/>
          <w:color w:val="auto"/>
          <w:szCs w:val="21"/>
          <w:highlight w:val="none"/>
        </w:rPr>
      </w:pPr>
      <w:r>
        <w:rPr>
          <w:rFonts w:ascii="宋体" w:hAnsi="宋体" w:cs="宋体"/>
          <w:color w:val="auto"/>
          <w:szCs w:val="21"/>
          <w:highlight w:val="none"/>
        </w:rPr>
        <w:t xml:space="preserve">    </w:t>
      </w:r>
      <w:r>
        <w:rPr>
          <w:rFonts w:hint="eastAsia" w:ascii="宋体" w:hAnsi="宋体" w:cs="宋体"/>
          <w:color w:val="auto"/>
          <w:szCs w:val="21"/>
          <w:highlight w:val="none"/>
        </w:rPr>
        <w:t>成立时间：</w:t>
      </w:r>
      <w:r>
        <w:rPr>
          <w:rFonts w:ascii="宋体" w:hAnsi="宋体" w:cs="宋体"/>
          <w:color w:val="auto"/>
          <w:szCs w:val="21"/>
          <w:highlight w:val="none"/>
          <w:u w:val="single"/>
        </w:rPr>
        <w:t xml:space="preserve">          </w:t>
      </w:r>
      <w:r>
        <w:rPr>
          <w:rFonts w:hint="eastAsia" w:ascii="宋体" w:hAnsi="宋体" w:cs="宋体"/>
          <w:color w:val="auto"/>
          <w:szCs w:val="21"/>
          <w:highlight w:val="none"/>
        </w:rPr>
        <w:t>年</w:t>
      </w:r>
      <w:r>
        <w:rPr>
          <w:rFonts w:ascii="宋体" w:hAnsi="宋体" w:cs="宋体"/>
          <w:color w:val="auto"/>
          <w:szCs w:val="21"/>
          <w:highlight w:val="none"/>
          <w:u w:val="single"/>
        </w:rPr>
        <w:t xml:space="preserve">        </w:t>
      </w:r>
      <w:r>
        <w:rPr>
          <w:rFonts w:hint="eastAsia" w:ascii="宋体" w:hAnsi="宋体" w:cs="宋体"/>
          <w:color w:val="auto"/>
          <w:szCs w:val="21"/>
          <w:highlight w:val="none"/>
        </w:rPr>
        <w:t>月</w:t>
      </w:r>
      <w:r>
        <w:rPr>
          <w:rFonts w:ascii="宋体" w:hAnsi="宋体" w:cs="宋体"/>
          <w:color w:val="auto"/>
          <w:szCs w:val="21"/>
          <w:highlight w:val="none"/>
          <w:u w:val="single"/>
        </w:rPr>
        <w:t xml:space="preserve">        </w:t>
      </w:r>
      <w:r>
        <w:rPr>
          <w:rFonts w:hint="eastAsia" w:ascii="宋体" w:hAnsi="宋体" w:cs="宋体"/>
          <w:color w:val="auto"/>
          <w:szCs w:val="21"/>
          <w:highlight w:val="none"/>
        </w:rPr>
        <w:t>日</w:t>
      </w:r>
    </w:p>
    <w:p>
      <w:pPr>
        <w:spacing w:line="560" w:lineRule="exact"/>
        <w:rPr>
          <w:rFonts w:ascii="宋体" w:cs="宋体"/>
          <w:color w:val="auto"/>
          <w:szCs w:val="21"/>
          <w:highlight w:val="none"/>
        </w:rPr>
      </w:pPr>
      <w:r>
        <w:rPr>
          <w:rFonts w:ascii="宋体" w:hAnsi="宋体" w:cs="宋体"/>
          <w:color w:val="auto"/>
          <w:szCs w:val="21"/>
          <w:highlight w:val="none"/>
        </w:rPr>
        <w:t xml:space="preserve">    </w:t>
      </w:r>
      <w:r>
        <w:rPr>
          <w:rFonts w:hint="eastAsia" w:ascii="宋体" w:hAnsi="宋体" w:cs="宋体"/>
          <w:color w:val="auto"/>
          <w:szCs w:val="21"/>
          <w:highlight w:val="none"/>
        </w:rPr>
        <w:t>经营期限：</w:t>
      </w:r>
      <w:r>
        <w:rPr>
          <w:rFonts w:ascii="宋体" w:hAnsi="宋体" w:cs="宋体"/>
          <w:color w:val="auto"/>
          <w:szCs w:val="21"/>
          <w:highlight w:val="none"/>
          <w:u w:val="single"/>
        </w:rPr>
        <w:t xml:space="preserve">                               </w:t>
      </w:r>
    </w:p>
    <w:p>
      <w:pPr>
        <w:spacing w:line="560" w:lineRule="exact"/>
        <w:rPr>
          <w:rFonts w:ascii="宋体" w:cs="宋体"/>
          <w:color w:val="auto"/>
          <w:szCs w:val="21"/>
          <w:highlight w:val="none"/>
        </w:rPr>
      </w:pPr>
      <w:r>
        <w:rPr>
          <w:rFonts w:ascii="宋体" w:hAnsi="宋体" w:cs="宋体"/>
          <w:color w:val="auto"/>
          <w:szCs w:val="21"/>
          <w:highlight w:val="none"/>
        </w:rPr>
        <w:t xml:space="preserve">    </w:t>
      </w:r>
      <w:r>
        <w:rPr>
          <w:rFonts w:hint="eastAsia" w:ascii="宋体" w:hAnsi="宋体" w:cs="宋体"/>
          <w:color w:val="auto"/>
          <w:szCs w:val="21"/>
          <w:highlight w:val="none"/>
        </w:rPr>
        <w:t>姓名：</w:t>
      </w:r>
      <w:r>
        <w:rPr>
          <w:rFonts w:ascii="宋体" w:hAnsi="宋体" w:cs="宋体"/>
          <w:color w:val="auto"/>
          <w:szCs w:val="21"/>
          <w:highlight w:val="none"/>
          <w:u w:val="single"/>
        </w:rPr>
        <w:t xml:space="preserve">         </w:t>
      </w:r>
      <w:r>
        <w:rPr>
          <w:rFonts w:ascii="宋体" w:hAnsi="宋体" w:cs="宋体"/>
          <w:color w:val="auto"/>
          <w:szCs w:val="21"/>
          <w:highlight w:val="none"/>
        </w:rPr>
        <w:t xml:space="preserve"> </w:t>
      </w:r>
      <w:r>
        <w:rPr>
          <w:rFonts w:hint="eastAsia" w:ascii="宋体" w:hAnsi="宋体" w:cs="宋体"/>
          <w:color w:val="auto"/>
          <w:szCs w:val="21"/>
          <w:highlight w:val="none"/>
        </w:rPr>
        <w:t>性别：</w:t>
      </w:r>
      <w:r>
        <w:rPr>
          <w:rFonts w:ascii="宋体" w:hAnsi="宋体" w:cs="宋体"/>
          <w:color w:val="auto"/>
          <w:szCs w:val="21"/>
          <w:highlight w:val="none"/>
          <w:u w:val="single"/>
        </w:rPr>
        <w:t xml:space="preserve">         </w:t>
      </w:r>
      <w:r>
        <w:rPr>
          <w:rFonts w:hint="eastAsia" w:ascii="宋体" w:hAnsi="宋体" w:cs="宋体"/>
          <w:color w:val="auto"/>
          <w:szCs w:val="21"/>
          <w:highlight w:val="none"/>
        </w:rPr>
        <w:t>年龄：</w:t>
      </w:r>
      <w:r>
        <w:rPr>
          <w:rFonts w:ascii="宋体" w:hAnsi="宋体" w:cs="宋体"/>
          <w:color w:val="auto"/>
          <w:szCs w:val="21"/>
          <w:highlight w:val="none"/>
          <w:u w:val="single"/>
        </w:rPr>
        <w:t xml:space="preserve">        </w:t>
      </w:r>
      <w:r>
        <w:rPr>
          <w:rFonts w:hint="eastAsia" w:ascii="宋体" w:hAnsi="宋体" w:cs="宋体"/>
          <w:color w:val="auto"/>
          <w:szCs w:val="21"/>
          <w:highlight w:val="none"/>
        </w:rPr>
        <w:t>职务：</w:t>
      </w:r>
      <w:r>
        <w:rPr>
          <w:rFonts w:ascii="宋体" w:hAnsi="宋体" w:cs="宋体"/>
          <w:color w:val="auto"/>
          <w:szCs w:val="21"/>
          <w:highlight w:val="none"/>
          <w:u w:val="single"/>
        </w:rPr>
        <w:t xml:space="preserve">        </w:t>
      </w:r>
    </w:p>
    <w:p>
      <w:pPr>
        <w:spacing w:line="560" w:lineRule="exact"/>
        <w:rPr>
          <w:rFonts w:ascii="宋体" w:cs="宋体"/>
          <w:color w:val="auto"/>
          <w:szCs w:val="21"/>
          <w:highlight w:val="none"/>
        </w:rPr>
      </w:pPr>
      <w:r>
        <w:rPr>
          <w:rFonts w:ascii="宋体" w:hAnsi="宋体" w:cs="宋体"/>
          <w:color w:val="auto"/>
          <w:szCs w:val="21"/>
          <w:highlight w:val="none"/>
        </w:rPr>
        <w:t xml:space="preserve">    </w:t>
      </w:r>
      <w:r>
        <w:rPr>
          <w:rFonts w:hint="eastAsia" w:ascii="宋体" w:hAnsi="宋体" w:cs="宋体"/>
          <w:color w:val="auto"/>
          <w:szCs w:val="21"/>
          <w:highlight w:val="none"/>
        </w:rPr>
        <w:t>系</w:t>
      </w:r>
      <w:r>
        <w:rPr>
          <w:rFonts w:ascii="宋体" w:hAnsi="宋体" w:cs="宋体"/>
          <w:color w:val="auto"/>
          <w:szCs w:val="21"/>
          <w:highlight w:val="none"/>
          <w:u w:val="single"/>
        </w:rPr>
        <w:t xml:space="preserve">                             </w:t>
      </w:r>
      <w:r>
        <w:rPr>
          <w:rFonts w:ascii="宋体" w:hAnsi="宋体" w:cs="宋体"/>
          <w:color w:val="auto"/>
          <w:szCs w:val="21"/>
          <w:highlight w:val="none"/>
        </w:rPr>
        <w:t xml:space="preserve"> </w:t>
      </w:r>
      <w:r>
        <w:rPr>
          <w:rFonts w:hint="eastAsia" w:ascii="宋体" w:hAnsi="宋体" w:cs="宋体"/>
          <w:color w:val="auto"/>
          <w:szCs w:val="21"/>
          <w:highlight w:val="none"/>
        </w:rPr>
        <w:t>（供应商名称）的法定代表人。</w:t>
      </w:r>
    </w:p>
    <w:p>
      <w:pPr>
        <w:spacing w:line="560" w:lineRule="exact"/>
        <w:ind w:firstLine="420" w:firstLineChars="200"/>
        <w:rPr>
          <w:rFonts w:ascii="宋体" w:cs="宋体"/>
          <w:color w:val="auto"/>
          <w:szCs w:val="21"/>
          <w:highlight w:val="none"/>
        </w:rPr>
      </w:pPr>
      <w:r>
        <w:rPr>
          <w:rFonts w:hint="eastAsia" w:ascii="宋体" w:hAnsi="宋体" w:cs="宋体"/>
          <w:color w:val="auto"/>
          <w:szCs w:val="21"/>
          <w:highlight w:val="none"/>
        </w:rPr>
        <w:t>特此证明。</w:t>
      </w:r>
    </w:p>
    <w:p>
      <w:pPr>
        <w:spacing w:line="560" w:lineRule="exact"/>
        <w:ind w:firstLine="420"/>
        <w:rPr>
          <w:rFonts w:hint="eastAsia" w:ascii="宋体" w:hAnsi="宋体" w:cs="宋体"/>
          <w:color w:val="auto"/>
          <w:szCs w:val="21"/>
          <w:highlight w:val="none"/>
          <w:lang w:eastAsia="zh-CN"/>
        </w:rPr>
      </w:pPr>
      <w:r>
        <w:rPr>
          <w:rFonts w:hint="eastAsia" w:ascii="宋体" w:hAnsi="宋体" w:cs="宋体"/>
          <w:color w:val="auto"/>
          <w:szCs w:val="21"/>
          <w:highlight w:val="none"/>
          <w:lang w:eastAsia="zh-CN"/>
        </w:rPr>
        <w:t>附：</w:t>
      </w:r>
      <w:r>
        <w:rPr>
          <w:rFonts w:hint="eastAsia" w:ascii="宋体" w:hAnsi="宋体" w:cs="宋体"/>
          <w:color w:val="auto"/>
          <w:szCs w:val="21"/>
          <w:highlight w:val="none"/>
        </w:rPr>
        <w:t>法定代表人身份证</w:t>
      </w:r>
      <w:r>
        <w:rPr>
          <w:rFonts w:hint="eastAsia" w:ascii="宋体" w:hAnsi="宋体" w:cs="宋体"/>
          <w:color w:val="auto"/>
          <w:szCs w:val="21"/>
          <w:highlight w:val="none"/>
          <w:lang w:eastAsia="zh-CN"/>
        </w:rPr>
        <w:t>扫描件加盖公章</w:t>
      </w:r>
    </w:p>
    <w:p>
      <w:pPr>
        <w:pStyle w:val="29"/>
        <w:ind w:firstLine="420"/>
        <w:rPr>
          <w:color w:val="auto"/>
          <w:highlight w:val="none"/>
        </w:rPr>
      </w:pPr>
    </w:p>
    <w:p>
      <w:pPr>
        <w:pStyle w:val="8"/>
        <w:rPr>
          <w:color w:val="auto"/>
          <w:highlight w:val="none"/>
        </w:rPr>
      </w:pPr>
    </w:p>
    <w:p>
      <w:pPr>
        <w:spacing w:line="560" w:lineRule="exact"/>
        <w:rPr>
          <w:rFonts w:ascii="宋体" w:cs="宋体"/>
          <w:color w:val="auto"/>
          <w:szCs w:val="21"/>
          <w:highlight w:val="none"/>
        </w:rPr>
      </w:pPr>
      <w:r>
        <w:rPr>
          <w:rFonts w:ascii="宋体" w:hAnsi="宋体" w:cs="宋体"/>
          <w:color w:val="auto"/>
          <w:szCs w:val="21"/>
          <w:highlight w:val="none"/>
        </w:rPr>
        <w:t xml:space="preserve">                          </w:t>
      </w:r>
      <w:r>
        <w:rPr>
          <w:rFonts w:hint="eastAsia" w:ascii="宋体" w:hAnsi="宋体" w:cs="宋体"/>
          <w:color w:val="auto"/>
          <w:szCs w:val="21"/>
          <w:highlight w:val="none"/>
        </w:rPr>
        <w:t>供应商：</w:t>
      </w:r>
      <w:r>
        <w:rPr>
          <w:rFonts w:ascii="宋体" w:hAnsi="宋体" w:cs="宋体"/>
          <w:color w:val="auto"/>
          <w:szCs w:val="21"/>
          <w:highlight w:val="none"/>
          <w:u w:val="single"/>
        </w:rPr>
        <w:t xml:space="preserve">                 </w:t>
      </w:r>
      <w:r>
        <w:rPr>
          <w:rFonts w:hint="eastAsia" w:ascii="宋体" w:hAnsi="宋体" w:cs="宋体"/>
          <w:color w:val="auto"/>
          <w:szCs w:val="21"/>
          <w:highlight w:val="none"/>
        </w:rPr>
        <w:t>（盖单位章）</w:t>
      </w:r>
    </w:p>
    <w:p>
      <w:pPr>
        <w:spacing w:line="560" w:lineRule="exact"/>
        <w:rPr>
          <w:rFonts w:ascii="宋体" w:cs="宋体"/>
          <w:color w:val="auto"/>
          <w:szCs w:val="21"/>
          <w:highlight w:val="none"/>
        </w:rPr>
      </w:pPr>
      <w:r>
        <w:rPr>
          <w:rFonts w:ascii="宋体" w:hAnsi="宋体" w:cs="宋体"/>
          <w:color w:val="auto"/>
          <w:szCs w:val="21"/>
          <w:highlight w:val="none"/>
        </w:rPr>
        <w:t xml:space="preserve">                                   </w:t>
      </w:r>
      <w:r>
        <w:rPr>
          <w:rFonts w:ascii="宋体" w:hAnsi="宋体" w:cs="宋体"/>
          <w:color w:val="auto"/>
          <w:szCs w:val="21"/>
          <w:highlight w:val="none"/>
          <w:u w:val="single"/>
        </w:rPr>
        <w:t xml:space="preserve">       </w:t>
      </w:r>
      <w:r>
        <w:rPr>
          <w:rFonts w:hint="eastAsia" w:ascii="宋体" w:hAnsi="宋体" w:cs="宋体"/>
          <w:color w:val="auto"/>
          <w:szCs w:val="21"/>
          <w:highlight w:val="none"/>
        </w:rPr>
        <w:t>年</w:t>
      </w:r>
      <w:r>
        <w:rPr>
          <w:rFonts w:ascii="宋体" w:hAnsi="宋体" w:cs="宋体"/>
          <w:color w:val="auto"/>
          <w:szCs w:val="21"/>
          <w:highlight w:val="none"/>
          <w:u w:val="single"/>
        </w:rPr>
        <w:t xml:space="preserve">       </w:t>
      </w:r>
      <w:r>
        <w:rPr>
          <w:rFonts w:hint="eastAsia" w:ascii="宋体" w:hAnsi="宋体" w:cs="宋体"/>
          <w:color w:val="auto"/>
          <w:szCs w:val="21"/>
          <w:highlight w:val="none"/>
        </w:rPr>
        <w:t>月</w:t>
      </w:r>
      <w:r>
        <w:rPr>
          <w:rFonts w:ascii="宋体" w:hAnsi="宋体" w:cs="宋体"/>
          <w:color w:val="auto"/>
          <w:szCs w:val="21"/>
          <w:highlight w:val="none"/>
          <w:u w:val="single"/>
        </w:rPr>
        <w:t xml:space="preserve">       </w:t>
      </w:r>
      <w:r>
        <w:rPr>
          <w:rFonts w:hint="eastAsia" w:ascii="宋体" w:hAnsi="宋体" w:cs="宋体"/>
          <w:color w:val="auto"/>
          <w:szCs w:val="21"/>
          <w:highlight w:val="none"/>
        </w:rPr>
        <w:t>日</w:t>
      </w:r>
      <w:r>
        <w:rPr>
          <w:rFonts w:ascii="宋体" w:hAnsi="宋体" w:cs="宋体"/>
          <w:color w:val="auto"/>
          <w:szCs w:val="21"/>
          <w:highlight w:val="none"/>
        </w:rPr>
        <w:t xml:space="preserve">           </w:t>
      </w:r>
    </w:p>
    <w:p>
      <w:pPr>
        <w:pStyle w:val="17"/>
        <w:rPr>
          <w:rFonts w:ascii="宋体" w:cs="宋体"/>
          <w:color w:val="auto"/>
          <w:highlight w:val="none"/>
        </w:rPr>
      </w:pPr>
      <w:r>
        <w:rPr>
          <w:rFonts w:ascii="宋体" w:cs="宋体"/>
          <w:color w:val="auto"/>
          <w:highlight w:val="none"/>
        </w:rPr>
        <w:br w:type="page"/>
      </w:r>
      <w:bookmarkStart w:id="117" w:name="_Toc18905"/>
      <w:bookmarkStart w:id="118" w:name="_Toc30201"/>
      <w:bookmarkStart w:id="119" w:name="_Toc14665"/>
      <w:r>
        <w:rPr>
          <w:rFonts w:hint="eastAsia" w:ascii="宋体" w:hAnsi="宋体" w:cs="宋体"/>
          <w:color w:val="auto"/>
          <w:sz w:val="28"/>
          <w:szCs w:val="28"/>
          <w:highlight w:val="none"/>
          <w:lang w:eastAsia="zh-CN"/>
        </w:rPr>
        <w:t>五</w:t>
      </w:r>
      <w:r>
        <w:rPr>
          <w:rFonts w:hint="eastAsia" w:ascii="宋体" w:hAnsi="宋体" w:cs="宋体"/>
          <w:color w:val="auto"/>
          <w:sz w:val="28"/>
          <w:szCs w:val="28"/>
          <w:highlight w:val="none"/>
        </w:rPr>
        <w:t>、</w:t>
      </w:r>
      <w:bookmarkEnd w:id="117"/>
      <w:r>
        <w:rPr>
          <w:rFonts w:hint="eastAsia" w:ascii="宋体" w:hAnsi="宋体" w:cs="宋体"/>
          <w:color w:val="auto"/>
          <w:highlight w:val="none"/>
        </w:rPr>
        <w:t>授权委托书</w:t>
      </w:r>
      <w:bookmarkEnd w:id="118"/>
      <w:bookmarkEnd w:id="119"/>
    </w:p>
    <w:p>
      <w:pPr>
        <w:spacing w:line="440" w:lineRule="exact"/>
        <w:rPr>
          <w:rFonts w:ascii="宋体" w:cs="宋体"/>
          <w:color w:val="auto"/>
          <w:szCs w:val="21"/>
          <w:highlight w:val="none"/>
        </w:rPr>
      </w:pPr>
    </w:p>
    <w:p>
      <w:pPr>
        <w:topLinePunct/>
        <w:spacing w:line="560" w:lineRule="exact"/>
        <w:rPr>
          <w:rFonts w:ascii="宋体" w:cs="宋体"/>
          <w:color w:val="auto"/>
          <w:szCs w:val="21"/>
          <w:highlight w:val="none"/>
        </w:rPr>
      </w:pPr>
      <w:r>
        <w:rPr>
          <w:rFonts w:ascii="宋体" w:hAnsi="宋体" w:cs="宋体"/>
          <w:color w:val="auto"/>
          <w:szCs w:val="21"/>
          <w:highlight w:val="none"/>
        </w:rPr>
        <w:t xml:space="preserve">    </w:t>
      </w:r>
      <w:r>
        <w:rPr>
          <w:rFonts w:hint="eastAsia" w:ascii="宋体" w:hAnsi="宋体" w:cs="宋体"/>
          <w:color w:val="auto"/>
          <w:szCs w:val="21"/>
          <w:highlight w:val="none"/>
        </w:rPr>
        <w:t>本人</w:t>
      </w:r>
      <w:r>
        <w:rPr>
          <w:rFonts w:ascii="宋体" w:hAnsi="宋体" w:cs="宋体"/>
          <w:color w:val="auto"/>
          <w:szCs w:val="21"/>
          <w:highlight w:val="none"/>
          <w:u w:val="single"/>
        </w:rPr>
        <w:t xml:space="preserve">                </w:t>
      </w:r>
      <w:r>
        <w:rPr>
          <w:rFonts w:hint="eastAsia" w:ascii="宋体" w:hAnsi="宋体" w:cs="宋体"/>
          <w:color w:val="auto"/>
          <w:szCs w:val="21"/>
          <w:highlight w:val="none"/>
        </w:rPr>
        <w:t>（姓名）系</w:t>
      </w:r>
      <w:r>
        <w:rPr>
          <w:rFonts w:ascii="宋体" w:hAnsi="宋体" w:cs="宋体"/>
          <w:color w:val="auto"/>
          <w:szCs w:val="21"/>
          <w:highlight w:val="none"/>
          <w:u w:val="single"/>
        </w:rPr>
        <w:t xml:space="preserve">                        </w:t>
      </w:r>
      <w:r>
        <w:rPr>
          <w:rFonts w:hint="eastAsia" w:ascii="宋体" w:hAnsi="宋体" w:cs="宋体"/>
          <w:color w:val="auto"/>
          <w:szCs w:val="21"/>
          <w:highlight w:val="none"/>
        </w:rPr>
        <w:t>（供应商名称）的法定代表人（负责人），现委托</w:t>
      </w:r>
      <w:r>
        <w:rPr>
          <w:rFonts w:ascii="宋体" w:hAnsi="宋体" w:cs="宋体"/>
          <w:color w:val="auto"/>
          <w:szCs w:val="21"/>
          <w:highlight w:val="none"/>
          <w:u w:val="single"/>
        </w:rPr>
        <w:t xml:space="preserve">            </w:t>
      </w:r>
      <w:r>
        <w:rPr>
          <w:rFonts w:hint="eastAsia" w:ascii="宋体" w:hAnsi="宋体" w:cs="宋体"/>
          <w:color w:val="auto"/>
          <w:szCs w:val="21"/>
          <w:highlight w:val="none"/>
        </w:rPr>
        <w:t>（姓名）为我方代理人。代理人根据授权，以我方名义签署、澄清、说明、补正、递交、撤回、修改</w:t>
      </w:r>
      <w:r>
        <w:rPr>
          <w:rFonts w:ascii="宋体" w:hAnsi="宋体" w:cs="宋体"/>
          <w:color w:val="auto"/>
          <w:szCs w:val="21"/>
          <w:highlight w:val="none"/>
          <w:u w:val="single"/>
        </w:rPr>
        <w:t xml:space="preserve">                      </w:t>
      </w:r>
      <w:r>
        <w:rPr>
          <w:rFonts w:hint="eastAsia" w:ascii="宋体" w:hAnsi="宋体" w:cs="宋体"/>
          <w:color w:val="auto"/>
          <w:szCs w:val="21"/>
          <w:highlight w:val="none"/>
        </w:rPr>
        <w:t>（项目名称）响应文件、签订合同和处理有关事宜，其法律后果由我方承担。</w:t>
      </w:r>
    </w:p>
    <w:p>
      <w:pPr>
        <w:spacing w:line="560" w:lineRule="exact"/>
        <w:rPr>
          <w:rFonts w:ascii="宋体" w:cs="宋体"/>
          <w:color w:val="auto"/>
          <w:szCs w:val="21"/>
          <w:highlight w:val="none"/>
        </w:rPr>
      </w:pPr>
      <w:r>
        <w:rPr>
          <w:rFonts w:ascii="宋体" w:hAnsi="宋体" w:cs="宋体"/>
          <w:color w:val="auto"/>
          <w:szCs w:val="21"/>
          <w:highlight w:val="none"/>
        </w:rPr>
        <w:t xml:space="preserve">    </w:t>
      </w:r>
      <w:r>
        <w:rPr>
          <w:rFonts w:hint="eastAsia" w:ascii="宋体" w:hAnsi="宋体" w:cs="宋体"/>
          <w:color w:val="auto"/>
          <w:szCs w:val="21"/>
          <w:highlight w:val="none"/>
        </w:rPr>
        <w:t>委托期限：</w:t>
      </w:r>
      <w:r>
        <w:rPr>
          <w:rFonts w:ascii="宋体" w:hAnsi="宋体" w:cs="宋体"/>
          <w:color w:val="auto"/>
          <w:szCs w:val="21"/>
          <w:highlight w:val="none"/>
          <w:u w:val="single"/>
        </w:rPr>
        <w:t xml:space="preserve">             </w:t>
      </w:r>
      <w:r>
        <w:rPr>
          <w:rFonts w:hint="eastAsia" w:ascii="宋体" w:hAnsi="宋体" w:cs="宋体"/>
          <w:color w:val="auto"/>
          <w:szCs w:val="21"/>
          <w:highlight w:val="none"/>
        </w:rPr>
        <w:t>。</w:t>
      </w:r>
    </w:p>
    <w:p>
      <w:pPr>
        <w:spacing w:line="560" w:lineRule="exact"/>
        <w:ind w:firstLine="420" w:firstLineChars="200"/>
        <w:rPr>
          <w:rFonts w:ascii="宋体" w:cs="宋体"/>
          <w:color w:val="auto"/>
          <w:szCs w:val="21"/>
          <w:highlight w:val="none"/>
        </w:rPr>
      </w:pPr>
      <w:r>
        <w:rPr>
          <w:rFonts w:hint="eastAsia" w:ascii="宋体" w:hAnsi="宋体" w:cs="宋体"/>
          <w:color w:val="auto"/>
          <w:szCs w:val="21"/>
          <w:highlight w:val="none"/>
        </w:rPr>
        <w:t>代理人无转委托权。</w:t>
      </w:r>
    </w:p>
    <w:p>
      <w:pPr>
        <w:spacing w:line="560" w:lineRule="exact"/>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附：委托代理人身份证</w:t>
      </w:r>
      <w:r>
        <w:rPr>
          <w:rFonts w:hint="eastAsia" w:ascii="宋体" w:hAnsi="宋体" w:cs="宋体"/>
          <w:color w:val="auto"/>
          <w:szCs w:val="21"/>
          <w:highlight w:val="none"/>
          <w:lang w:eastAsia="zh-CN"/>
        </w:rPr>
        <w:t>扫描件加盖公章</w:t>
      </w:r>
    </w:p>
    <w:p>
      <w:pPr>
        <w:spacing w:line="560" w:lineRule="exact"/>
        <w:rPr>
          <w:rFonts w:ascii="宋体" w:cs="宋体"/>
          <w:color w:val="auto"/>
          <w:szCs w:val="21"/>
          <w:highlight w:val="none"/>
        </w:rPr>
      </w:pPr>
    </w:p>
    <w:p>
      <w:pPr>
        <w:spacing w:line="560" w:lineRule="exact"/>
        <w:rPr>
          <w:rFonts w:ascii="宋体" w:cs="宋体"/>
          <w:color w:val="auto"/>
          <w:szCs w:val="21"/>
          <w:highlight w:val="none"/>
        </w:rPr>
      </w:pPr>
    </w:p>
    <w:p>
      <w:pPr>
        <w:spacing w:line="560" w:lineRule="exact"/>
        <w:rPr>
          <w:rFonts w:ascii="宋体" w:cs="宋体"/>
          <w:color w:val="auto"/>
          <w:szCs w:val="21"/>
          <w:highlight w:val="none"/>
        </w:rPr>
      </w:pPr>
      <w:r>
        <w:rPr>
          <w:rFonts w:ascii="宋体" w:hAnsi="宋体" w:cs="宋体"/>
          <w:color w:val="auto"/>
          <w:szCs w:val="21"/>
          <w:highlight w:val="none"/>
        </w:rPr>
        <w:t xml:space="preserve">    </w:t>
      </w:r>
      <w:r>
        <w:rPr>
          <w:rFonts w:hint="eastAsia" w:ascii="宋体" w:hAnsi="宋体" w:cs="宋体"/>
          <w:color w:val="auto"/>
          <w:szCs w:val="21"/>
          <w:highlight w:val="none"/>
        </w:rPr>
        <w:t>供应商：</w:t>
      </w:r>
      <w:r>
        <w:rPr>
          <w:rFonts w:ascii="宋体" w:hAnsi="宋体" w:cs="宋体"/>
          <w:color w:val="auto"/>
          <w:szCs w:val="21"/>
          <w:highlight w:val="none"/>
          <w:u w:val="single"/>
        </w:rPr>
        <w:t xml:space="preserve">                               </w:t>
      </w:r>
      <w:r>
        <w:rPr>
          <w:rFonts w:hint="eastAsia" w:ascii="宋体" w:hAnsi="宋体" w:cs="宋体"/>
          <w:color w:val="auto"/>
          <w:szCs w:val="21"/>
          <w:highlight w:val="none"/>
        </w:rPr>
        <w:t>（盖单位章）</w:t>
      </w:r>
    </w:p>
    <w:p>
      <w:pPr>
        <w:spacing w:line="560" w:lineRule="exact"/>
        <w:rPr>
          <w:rFonts w:ascii="宋体" w:cs="宋体"/>
          <w:color w:val="auto"/>
          <w:szCs w:val="21"/>
          <w:highlight w:val="none"/>
        </w:rPr>
      </w:pPr>
    </w:p>
    <w:p>
      <w:pPr>
        <w:spacing w:line="560" w:lineRule="exact"/>
        <w:rPr>
          <w:rFonts w:ascii="宋体" w:cs="宋体"/>
          <w:color w:val="auto"/>
          <w:szCs w:val="21"/>
          <w:highlight w:val="none"/>
        </w:rPr>
      </w:pPr>
      <w:r>
        <w:rPr>
          <w:rFonts w:ascii="宋体" w:hAnsi="宋体" w:cs="宋体"/>
          <w:color w:val="auto"/>
          <w:szCs w:val="21"/>
          <w:highlight w:val="none"/>
        </w:rPr>
        <w:t xml:space="preserve">    </w:t>
      </w:r>
      <w:r>
        <w:rPr>
          <w:rFonts w:hint="eastAsia" w:ascii="宋体" w:hAnsi="宋体" w:cs="宋体"/>
          <w:color w:val="auto"/>
          <w:szCs w:val="21"/>
          <w:highlight w:val="none"/>
        </w:rPr>
        <w:t>法定代表人：</w:t>
      </w:r>
      <w:r>
        <w:rPr>
          <w:rFonts w:ascii="宋体" w:hAnsi="宋体" w:cs="宋体"/>
          <w:color w:val="auto"/>
          <w:szCs w:val="21"/>
          <w:highlight w:val="none"/>
          <w:u w:val="single"/>
        </w:rPr>
        <w:t xml:space="preserve">                               </w:t>
      </w:r>
      <w:r>
        <w:rPr>
          <w:rFonts w:hint="eastAsia" w:ascii="宋体" w:hAnsi="宋体" w:cs="宋体"/>
          <w:color w:val="auto"/>
          <w:szCs w:val="21"/>
          <w:highlight w:val="none"/>
        </w:rPr>
        <w:t>（签字）</w:t>
      </w:r>
    </w:p>
    <w:p>
      <w:pPr>
        <w:spacing w:line="560" w:lineRule="exact"/>
        <w:rPr>
          <w:rFonts w:ascii="宋体" w:cs="宋体"/>
          <w:color w:val="auto"/>
          <w:szCs w:val="21"/>
          <w:highlight w:val="none"/>
        </w:rPr>
      </w:pPr>
    </w:p>
    <w:p>
      <w:pPr>
        <w:spacing w:line="560" w:lineRule="exact"/>
        <w:rPr>
          <w:rFonts w:ascii="宋体" w:cs="宋体"/>
          <w:color w:val="auto"/>
          <w:szCs w:val="21"/>
          <w:highlight w:val="none"/>
        </w:rPr>
      </w:pPr>
      <w:r>
        <w:rPr>
          <w:rFonts w:ascii="宋体" w:hAnsi="宋体" w:cs="宋体"/>
          <w:color w:val="auto"/>
          <w:szCs w:val="21"/>
          <w:highlight w:val="none"/>
        </w:rPr>
        <w:t xml:space="preserve">    </w:t>
      </w:r>
      <w:r>
        <w:rPr>
          <w:rFonts w:hint="eastAsia" w:ascii="宋体" w:hAnsi="宋体" w:cs="宋体"/>
          <w:color w:val="auto"/>
          <w:szCs w:val="21"/>
          <w:highlight w:val="none"/>
        </w:rPr>
        <w:t>身份证号码：</w:t>
      </w:r>
      <w:r>
        <w:rPr>
          <w:rFonts w:ascii="宋体" w:hAnsi="宋体" w:cs="宋体"/>
          <w:color w:val="auto"/>
          <w:szCs w:val="21"/>
          <w:highlight w:val="none"/>
          <w:u w:val="single"/>
        </w:rPr>
        <w:t xml:space="preserve">                                     </w:t>
      </w:r>
    </w:p>
    <w:p>
      <w:pPr>
        <w:spacing w:line="560" w:lineRule="exact"/>
        <w:rPr>
          <w:rFonts w:ascii="宋体" w:cs="宋体"/>
          <w:color w:val="auto"/>
          <w:szCs w:val="21"/>
          <w:highlight w:val="none"/>
        </w:rPr>
      </w:pPr>
    </w:p>
    <w:p>
      <w:pPr>
        <w:spacing w:line="560" w:lineRule="exact"/>
        <w:rPr>
          <w:rFonts w:ascii="宋体" w:cs="宋体"/>
          <w:color w:val="auto"/>
          <w:szCs w:val="21"/>
          <w:highlight w:val="none"/>
        </w:rPr>
      </w:pPr>
      <w:r>
        <w:rPr>
          <w:rFonts w:ascii="宋体" w:hAnsi="宋体" w:cs="宋体"/>
          <w:color w:val="auto"/>
          <w:szCs w:val="21"/>
          <w:highlight w:val="none"/>
        </w:rPr>
        <w:t xml:space="preserve">    </w:t>
      </w:r>
      <w:r>
        <w:rPr>
          <w:rFonts w:hint="eastAsia" w:ascii="宋体" w:hAnsi="宋体" w:cs="宋体"/>
          <w:color w:val="auto"/>
          <w:szCs w:val="21"/>
          <w:highlight w:val="none"/>
        </w:rPr>
        <w:t>委托代理人：</w:t>
      </w:r>
      <w:r>
        <w:rPr>
          <w:rFonts w:ascii="宋体" w:hAnsi="宋体" w:cs="宋体"/>
          <w:color w:val="auto"/>
          <w:szCs w:val="21"/>
          <w:highlight w:val="none"/>
          <w:u w:val="single"/>
        </w:rPr>
        <w:t xml:space="preserve">                                   </w:t>
      </w:r>
      <w:r>
        <w:rPr>
          <w:rFonts w:hint="eastAsia" w:ascii="宋体" w:hAnsi="宋体" w:cs="宋体"/>
          <w:color w:val="auto"/>
          <w:szCs w:val="21"/>
          <w:highlight w:val="none"/>
        </w:rPr>
        <w:t>（签字）</w:t>
      </w:r>
      <w:r>
        <w:rPr>
          <w:rFonts w:ascii="宋体" w:hAnsi="宋体" w:cs="宋体"/>
          <w:color w:val="auto"/>
          <w:szCs w:val="21"/>
          <w:highlight w:val="none"/>
        </w:rPr>
        <w:t xml:space="preserve"> </w:t>
      </w:r>
    </w:p>
    <w:p>
      <w:pPr>
        <w:spacing w:line="560" w:lineRule="exact"/>
        <w:rPr>
          <w:rFonts w:ascii="宋体" w:cs="宋体"/>
          <w:color w:val="auto"/>
          <w:szCs w:val="21"/>
          <w:highlight w:val="none"/>
        </w:rPr>
      </w:pPr>
    </w:p>
    <w:p>
      <w:pPr>
        <w:spacing w:line="560" w:lineRule="exact"/>
        <w:rPr>
          <w:rFonts w:ascii="宋体" w:cs="宋体"/>
          <w:color w:val="auto"/>
          <w:szCs w:val="21"/>
          <w:highlight w:val="none"/>
        </w:rPr>
      </w:pPr>
      <w:r>
        <w:rPr>
          <w:rFonts w:ascii="宋体" w:hAnsi="宋体" w:cs="宋体"/>
          <w:color w:val="auto"/>
          <w:szCs w:val="21"/>
          <w:highlight w:val="none"/>
        </w:rPr>
        <w:t xml:space="preserve">    </w:t>
      </w:r>
      <w:r>
        <w:rPr>
          <w:rFonts w:hint="eastAsia" w:ascii="宋体" w:hAnsi="宋体" w:cs="宋体"/>
          <w:color w:val="auto"/>
          <w:szCs w:val="21"/>
          <w:highlight w:val="none"/>
        </w:rPr>
        <w:t>身份证号码：</w:t>
      </w:r>
      <w:r>
        <w:rPr>
          <w:rFonts w:ascii="宋体" w:hAnsi="宋体" w:cs="宋体"/>
          <w:color w:val="auto"/>
          <w:szCs w:val="21"/>
          <w:highlight w:val="none"/>
          <w:u w:val="single"/>
        </w:rPr>
        <w:t xml:space="preserve">                                      </w:t>
      </w:r>
    </w:p>
    <w:p>
      <w:pPr>
        <w:spacing w:line="560" w:lineRule="exact"/>
        <w:rPr>
          <w:rFonts w:ascii="宋体" w:cs="宋体"/>
          <w:color w:val="auto"/>
          <w:szCs w:val="21"/>
          <w:highlight w:val="none"/>
        </w:rPr>
      </w:pPr>
    </w:p>
    <w:p>
      <w:pPr>
        <w:spacing w:line="560" w:lineRule="exact"/>
        <w:rPr>
          <w:rFonts w:ascii="宋体" w:cs="宋体"/>
          <w:color w:val="auto"/>
          <w:szCs w:val="21"/>
          <w:highlight w:val="none"/>
        </w:rPr>
      </w:pPr>
    </w:p>
    <w:p>
      <w:pPr>
        <w:spacing w:line="560" w:lineRule="exact"/>
        <w:ind w:firstLine="525" w:firstLineChars="250"/>
        <w:jc w:val="right"/>
        <w:rPr>
          <w:rFonts w:ascii="宋体" w:cs="宋体"/>
          <w:color w:val="auto"/>
          <w:szCs w:val="21"/>
          <w:highlight w:val="none"/>
        </w:rPr>
      </w:pPr>
      <w:r>
        <w:rPr>
          <w:rFonts w:ascii="宋体" w:hAnsi="宋体" w:cs="宋体"/>
          <w:color w:val="auto"/>
          <w:szCs w:val="21"/>
          <w:highlight w:val="none"/>
          <w:u w:val="single"/>
        </w:rPr>
        <w:t xml:space="preserve">       </w:t>
      </w:r>
      <w:r>
        <w:rPr>
          <w:rFonts w:hint="eastAsia" w:ascii="宋体" w:hAnsi="宋体" w:cs="宋体"/>
          <w:color w:val="auto"/>
          <w:szCs w:val="21"/>
          <w:highlight w:val="none"/>
        </w:rPr>
        <w:t>年</w:t>
      </w:r>
      <w:r>
        <w:rPr>
          <w:rFonts w:ascii="宋体" w:hAnsi="宋体" w:cs="宋体"/>
          <w:color w:val="auto"/>
          <w:szCs w:val="21"/>
          <w:highlight w:val="none"/>
          <w:u w:val="single"/>
        </w:rPr>
        <w:t xml:space="preserve">       </w:t>
      </w:r>
      <w:r>
        <w:rPr>
          <w:rFonts w:hint="eastAsia" w:ascii="宋体" w:hAnsi="宋体" w:cs="宋体"/>
          <w:color w:val="auto"/>
          <w:szCs w:val="21"/>
          <w:highlight w:val="none"/>
        </w:rPr>
        <w:t>月</w:t>
      </w:r>
      <w:r>
        <w:rPr>
          <w:rFonts w:ascii="宋体" w:hAnsi="宋体" w:cs="宋体"/>
          <w:color w:val="auto"/>
          <w:szCs w:val="21"/>
          <w:highlight w:val="none"/>
          <w:u w:val="single"/>
        </w:rPr>
        <w:t xml:space="preserve">       </w:t>
      </w:r>
      <w:r>
        <w:rPr>
          <w:rFonts w:hint="eastAsia" w:ascii="宋体" w:hAnsi="宋体" w:cs="宋体"/>
          <w:color w:val="auto"/>
          <w:szCs w:val="21"/>
          <w:highlight w:val="none"/>
        </w:rPr>
        <w:t>日</w:t>
      </w:r>
    </w:p>
    <w:p>
      <w:pPr>
        <w:jc w:val="center"/>
        <w:rPr>
          <w:rFonts w:ascii="宋体" w:cs="宋体"/>
          <w:color w:val="auto"/>
          <w:szCs w:val="21"/>
          <w:highlight w:val="none"/>
        </w:rPr>
      </w:pPr>
      <w:bookmarkStart w:id="120" w:name="_Toc19605"/>
      <w:bookmarkStart w:id="121" w:name="_Toc30296"/>
    </w:p>
    <w:p>
      <w:pPr>
        <w:pStyle w:val="17"/>
        <w:rPr>
          <w:rFonts w:ascii="宋体" w:cs="宋体"/>
          <w:color w:val="auto"/>
          <w:highlight w:val="none"/>
        </w:rPr>
      </w:pPr>
      <w:bookmarkStart w:id="122" w:name="_Toc7794"/>
      <w:r>
        <w:rPr>
          <w:rFonts w:hint="eastAsia" w:ascii="宋体" w:hAnsi="宋体" w:cs="宋体"/>
          <w:color w:val="auto"/>
          <w:highlight w:val="none"/>
          <w:lang w:eastAsia="zh-CN"/>
        </w:rPr>
        <w:t>六</w:t>
      </w:r>
      <w:r>
        <w:rPr>
          <w:rFonts w:hint="eastAsia" w:ascii="宋体" w:hAnsi="宋体" w:cs="宋体"/>
          <w:color w:val="auto"/>
          <w:highlight w:val="none"/>
        </w:rPr>
        <w:t>、供应商基本情况表</w:t>
      </w:r>
      <w:bookmarkEnd w:id="120"/>
      <w:bookmarkEnd w:id="121"/>
      <w:bookmarkEnd w:id="122"/>
    </w:p>
    <w:p>
      <w:pPr>
        <w:spacing w:line="360" w:lineRule="exact"/>
        <w:rPr>
          <w:rFonts w:ascii="宋体" w:cs="宋体"/>
          <w:color w:val="auto"/>
          <w:szCs w:val="21"/>
          <w:highlight w:val="none"/>
        </w:rPr>
      </w:pPr>
    </w:p>
    <w:tbl>
      <w:tblPr>
        <w:tblStyle w:val="25"/>
        <w:tblW w:w="91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3"/>
        <w:gridCol w:w="1086"/>
        <w:gridCol w:w="1306"/>
        <w:gridCol w:w="1306"/>
        <w:gridCol w:w="1085"/>
        <w:gridCol w:w="221"/>
        <w:gridCol w:w="1307"/>
        <w:gridCol w:w="13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highlight w:val="none"/>
              </w:rPr>
            </w:pPr>
            <w:r>
              <w:rPr>
                <w:rFonts w:hint="eastAsia" w:ascii="宋体" w:hAnsi="宋体" w:cs="宋体"/>
                <w:color w:val="auto"/>
                <w:kern w:val="0"/>
                <w:szCs w:val="21"/>
                <w:highlight w:val="none"/>
              </w:rPr>
              <w:t>供应商名称</w:t>
            </w:r>
          </w:p>
        </w:tc>
        <w:tc>
          <w:tcPr>
            <w:tcW w:w="7618" w:type="dxa"/>
            <w:gridSpan w:val="7"/>
            <w:vAlign w:val="center"/>
          </w:tcPr>
          <w:p>
            <w:pPr>
              <w:autoSpaceDE w:val="0"/>
              <w:autoSpaceDN w:val="0"/>
              <w:adjustRightInd w:val="0"/>
              <w:spacing w:line="360" w:lineRule="exact"/>
              <w:jc w:val="center"/>
              <w:rPr>
                <w:rFonts w:asci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highlight w:val="none"/>
              </w:rPr>
            </w:pPr>
            <w:r>
              <w:rPr>
                <w:rFonts w:hint="eastAsia" w:ascii="宋体" w:hAnsi="宋体" w:cs="宋体"/>
                <w:color w:val="auto"/>
                <w:kern w:val="0"/>
                <w:szCs w:val="21"/>
                <w:highlight w:val="none"/>
              </w:rPr>
              <w:t>注册地址</w:t>
            </w:r>
          </w:p>
        </w:tc>
        <w:tc>
          <w:tcPr>
            <w:tcW w:w="3698" w:type="dxa"/>
            <w:gridSpan w:val="3"/>
            <w:vAlign w:val="center"/>
          </w:tcPr>
          <w:p>
            <w:pPr>
              <w:autoSpaceDE w:val="0"/>
              <w:autoSpaceDN w:val="0"/>
              <w:adjustRightInd w:val="0"/>
              <w:spacing w:line="360" w:lineRule="exact"/>
              <w:jc w:val="center"/>
              <w:rPr>
                <w:rFonts w:ascii="宋体" w:cs="宋体"/>
                <w:color w:val="auto"/>
                <w:kern w:val="0"/>
                <w:szCs w:val="21"/>
                <w:highlight w:val="none"/>
              </w:rPr>
            </w:pPr>
          </w:p>
        </w:tc>
        <w:tc>
          <w:tcPr>
            <w:tcW w:w="1306" w:type="dxa"/>
            <w:gridSpan w:val="2"/>
            <w:vAlign w:val="center"/>
          </w:tcPr>
          <w:p>
            <w:pPr>
              <w:autoSpaceDE w:val="0"/>
              <w:autoSpaceDN w:val="0"/>
              <w:adjustRightInd w:val="0"/>
              <w:spacing w:line="360" w:lineRule="exact"/>
              <w:jc w:val="center"/>
              <w:rPr>
                <w:rFonts w:ascii="宋体" w:cs="宋体"/>
                <w:color w:val="auto"/>
                <w:kern w:val="0"/>
                <w:szCs w:val="21"/>
                <w:highlight w:val="none"/>
              </w:rPr>
            </w:pPr>
            <w:r>
              <w:rPr>
                <w:rFonts w:hint="eastAsia" w:ascii="宋体" w:hAnsi="宋体" w:cs="宋体"/>
                <w:color w:val="auto"/>
                <w:kern w:val="0"/>
                <w:szCs w:val="21"/>
                <w:highlight w:val="none"/>
              </w:rPr>
              <w:t>邮政编码</w:t>
            </w:r>
          </w:p>
        </w:tc>
        <w:tc>
          <w:tcPr>
            <w:tcW w:w="2614" w:type="dxa"/>
            <w:gridSpan w:val="2"/>
            <w:vAlign w:val="center"/>
          </w:tcPr>
          <w:p>
            <w:pPr>
              <w:autoSpaceDE w:val="0"/>
              <w:autoSpaceDN w:val="0"/>
              <w:adjustRightInd w:val="0"/>
              <w:spacing w:line="360" w:lineRule="exact"/>
              <w:jc w:val="center"/>
              <w:rPr>
                <w:rFonts w:asci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Merge w:val="restart"/>
            <w:vAlign w:val="center"/>
          </w:tcPr>
          <w:p>
            <w:pPr>
              <w:autoSpaceDE w:val="0"/>
              <w:autoSpaceDN w:val="0"/>
              <w:adjustRightInd w:val="0"/>
              <w:spacing w:line="360" w:lineRule="exact"/>
              <w:jc w:val="center"/>
              <w:rPr>
                <w:rFonts w:ascii="宋体" w:cs="宋体"/>
                <w:color w:val="auto"/>
                <w:kern w:val="0"/>
                <w:szCs w:val="21"/>
                <w:highlight w:val="none"/>
              </w:rPr>
            </w:pPr>
            <w:r>
              <w:rPr>
                <w:rFonts w:hint="eastAsia" w:ascii="宋体" w:hAnsi="宋体" w:cs="宋体"/>
                <w:color w:val="auto"/>
                <w:kern w:val="0"/>
                <w:szCs w:val="21"/>
                <w:highlight w:val="none"/>
              </w:rPr>
              <w:t>联系方式</w:t>
            </w:r>
          </w:p>
        </w:tc>
        <w:tc>
          <w:tcPr>
            <w:tcW w:w="1086" w:type="dxa"/>
            <w:vAlign w:val="center"/>
          </w:tcPr>
          <w:p>
            <w:pPr>
              <w:autoSpaceDE w:val="0"/>
              <w:autoSpaceDN w:val="0"/>
              <w:adjustRightInd w:val="0"/>
              <w:spacing w:line="360" w:lineRule="exact"/>
              <w:jc w:val="center"/>
              <w:rPr>
                <w:rFonts w:ascii="宋体" w:cs="宋体"/>
                <w:color w:val="auto"/>
                <w:kern w:val="0"/>
                <w:szCs w:val="21"/>
                <w:highlight w:val="none"/>
              </w:rPr>
            </w:pPr>
            <w:r>
              <w:rPr>
                <w:rFonts w:hint="eastAsia" w:ascii="宋体" w:hAnsi="宋体" w:cs="宋体"/>
                <w:color w:val="auto"/>
                <w:kern w:val="0"/>
                <w:szCs w:val="21"/>
                <w:highlight w:val="none"/>
              </w:rPr>
              <w:t>联系人</w:t>
            </w:r>
          </w:p>
        </w:tc>
        <w:tc>
          <w:tcPr>
            <w:tcW w:w="2612" w:type="dxa"/>
            <w:gridSpan w:val="2"/>
            <w:vAlign w:val="center"/>
          </w:tcPr>
          <w:p>
            <w:pPr>
              <w:autoSpaceDE w:val="0"/>
              <w:autoSpaceDN w:val="0"/>
              <w:adjustRightInd w:val="0"/>
              <w:spacing w:line="360" w:lineRule="exact"/>
              <w:jc w:val="center"/>
              <w:rPr>
                <w:rFonts w:ascii="宋体" w:cs="宋体"/>
                <w:color w:val="auto"/>
                <w:kern w:val="0"/>
                <w:szCs w:val="21"/>
                <w:highlight w:val="none"/>
              </w:rPr>
            </w:pPr>
          </w:p>
        </w:tc>
        <w:tc>
          <w:tcPr>
            <w:tcW w:w="1306" w:type="dxa"/>
            <w:gridSpan w:val="2"/>
            <w:vAlign w:val="center"/>
          </w:tcPr>
          <w:p>
            <w:pPr>
              <w:autoSpaceDE w:val="0"/>
              <w:autoSpaceDN w:val="0"/>
              <w:adjustRightInd w:val="0"/>
              <w:spacing w:line="360" w:lineRule="exact"/>
              <w:jc w:val="center"/>
              <w:rPr>
                <w:rFonts w:ascii="宋体" w:cs="宋体"/>
                <w:color w:val="auto"/>
                <w:kern w:val="0"/>
                <w:szCs w:val="21"/>
                <w:highlight w:val="none"/>
              </w:rPr>
            </w:pPr>
            <w:r>
              <w:rPr>
                <w:rFonts w:hint="eastAsia" w:ascii="宋体" w:hAnsi="宋体" w:cs="宋体"/>
                <w:color w:val="auto"/>
                <w:kern w:val="0"/>
                <w:szCs w:val="21"/>
                <w:highlight w:val="none"/>
              </w:rPr>
              <w:t>电</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话</w:t>
            </w:r>
          </w:p>
        </w:tc>
        <w:tc>
          <w:tcPr>
            <w:tcW w:w="2614" w:type="dxa"/>
            <w:gridSpan w:val="2"/>
            <w:vAlign w:val="center"/>
          </w:tcPr>
          <w:p>
            <w:pPr>
              <w:autoSpaceDE w:val="0"/>
              <w:autoSpaceDN w:val="0"/>
              <w:adjustRightInd w:val="0"/>
              <w:spacing w:line="360" w:lineRule="exact"/>
              <w:jc w:val="center"/>
              <w:rPr>
                <w:rFonts w:asci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66" w:hRule="atLeast"/>
          <w:jc w:val="center"/>
        </w:trPr>
        <w:tc>
          <w:tcPr>
            <w:tcW w:w="1523" w:type="dxa"/>
            <w:vMerge w:val="continue"/>
            <w:vAlign w:val="center"/>
          </w:tcPr>
          <w:p>
            <w:pPr>
              <w:autoSpaceDE w:val="0"/>
              <w:autoSpaceDN w:val="0"/>
              <w:adjustRightInd w:val="0"/>
              <w:spacing w:line="360" w:lineRule="exact"/>
              <w:jc w:val="center"/>
              <w:rPr>
                <w:rFonts w:ascii="宋体" w:cs="宋体"/>
                <w:color w:val="auto"/>
                <w:kern w:val="0"/>
                <w:szCs w:val="21"/>
                <w:highlight w:val="none"/>
              </w:rPr>
            </w:pPr>
          </w:p>
        </w:tc>
        <w:tc>
          <w:tcPr>
            <w:tcW w:w="1086" w:type="dxa"/>
            <w:vAlign w:val="center"/>
          </w:tcPr>
          <w:p>
            <w:pPr>
              <w:autoSpaceDE w:val="0"/>
              <w:autoSpaceDN w:val="0"/>
              <w:adjustRightInd w:val="0"/>
              <w:spacing w:line="360" w:lineRule="exact"/>
              <w:jc w:val="center"/>
              <w:rPr>
                <w:rFonts w:ascii="宋体" w:cs="宋体"/>
                <w:color w:val="auto"/>
                <w:kern w:val="0"/>
                <w:szCs w:val="21"/>
                <w:highlight w:val="none"/>
              </w:rPr>
            </w:pPr>
            <w:r>
              <w:rPr>
                <w:rFonts w:hint="eastAsia" w:ascii="宋体" w:hAnsi="宋体" w:cs="宋体"/>
                <w:color w:val="auto"/>
                <w:kern w:val="0"/>
                <w:szCs w:val="21"/>
                <w:highlight w:val="none"/>
              </w:rPr>
              <w:t>传</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真</w:t>
            </w:r>
          </w:p>
        </w:tc>
        <w:tc>
          <w:tcPr>
            <w:tcW w:w="2612" w:type="dxa"/>
            <w:gridSpan w:val="2"/>
            <w:vAlign w:val="center"/>
          </w:tcPr>
          <w:p>
            <w:pPr>
              <w:autoSpaceDE w:val="0"/>
              <w:autoSpaceDN w:val="0"/>
              <w:adjustRightInd w:val="0"/>
              <w:spacing w:line="360" w:lineRule="exact"/>
              <w:jc w:val="center"/>
              <w:rPr>
                <w:rFonts w:ascii="宋体" w:cs="宋体"/>
                <w:color w:val="auto"/>
                <w:kern w:val="0"/>
                <w:szCs w:val="21"/>
                <w:highlight w:val="none"/>
              </w:rPr>
            </w:pPr>
          </w:p>
        </w:tc>
        <w:tc>
          <w:tcPr>
            <w:tcW w:w="1306" w:type="dxa"/>
            <w:gridSpan w:val="2"/>
            <w:vAlign w:val="center"/>
          </w:tcPr>
          <w:p>
            <w:pPr>
              <w:autoSpaceDE w:val="0"/>
              <w:autoSpaceDN w:val="0"/>
              <w:adjustRightInd w:val="0"/>
              <w:spacing w:line="360" w:lineRule="exact"/>
              <w:jc w:val="center"/>
              <w:rPr>
                <w:rFonts w:ascii="宋体" w:cs="宋体"/>
                <w:color w:val="auto"/>
                <w:kern w:val="0"/>
                <w:szCs w:val="21"/>
                <w:highlight w:val="none"/>
              </w:rPr>
            </w:pPr>
            <w:r>
              <w:rPr>
                <w:rFonts w:hint="eastAsia" w:ascii="宋体" w:hAnsi="宋体" w:cs="宋体"/>
                <w:color w:val="auto"/>
                <w:kern w:val="0"/>
                <w:szCs w:val="21"/>
                <w:highlight w:val="none"/>
              </w:rPr>
              <w:t>网</w:t>
            </w:r>
            <w:r>
              <w:rPr>
                <w:rFonts w:ascii="宋体" w:hAnsi="宋体" w:cs="宋体"/>
                <w:color w:val="auto"/>
                <w:kern w:val="0"/>
                <w:szCs w:val="21"/>
                <w:highlight w:val="none"/>
              </w:rPr>
              <w:t xml:space="preserve"> </w:t>
            </w:r>
            <w:r>
              <w:rPr>
                <w:rFonts w:hint="eastAsia" w:ascii="宋体" w:hAnsi="宋体" w:cs="宋体"/>
                <w:color w:val="auto"/>
                <w:kern w:val="0"/>
                <w:szCs w:val="21"/>
                <w:highlight w:val="none"/>
              </w:rPr>
              <w:t>址</w:t>
            </w:r>
          </w:p>
        </w:tc>
        <w:tc>
          <w:tcPr>
            <w:tcW w:w="2614" w:type="dxa"/>
            <w:gridSpan w:val="2"/>
            <w:vAlign w:val="center"/>
          </w:tcPr>
          <w:p>
            <w:pPr>
              <w:autoSpaceDE w:val="0"/>
              <w:autoSpaceDN w:val="0"/>
              <w:adjustRightInd w:val="0"/>
              <w:spacing w:line="360" w:lineRule="exact"/>
              <w:jc w:val="center"/>
              <w:rPr>
                <w:rFonts w:asci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highlight w:val="none"/>
              </w:rPr>
            </w:pPr>
            <w:r>
              <w:rPr>
                <w:rFonts w:hint="eastAsia" w:ascii="宋体" w:hAnsi="宋体" w:cs="宋体"/>
                <w:color w:val="auto"/>
                <w:kern w:val="0"/>
                <w:szCs w:val="21"/>
                <w:highlight w:val="none"/>
              </w:rPr>
              <w:t>组织结构</w:t>
            </w:r>
          </w:p>
        </w:tc>
        <w:tc>
          <w:tcPr>
            <w:tcW w:w="7618" w:type="dxa"/>
            <w:gridSpan w:val="7"/>
            <w:vAlign w:val="center"/>
          </w:tcPr>
          <w:p>
            <w:pPr>
              <w:autoSpaceDE w:val="0"/>
              <w:autoSpaceDN w:val="0"/>
              <w:adjustRightInd w:val="0"/>
              <w:spacing w:line="360" w:lineRule="exact"/>
              <w:jc w:val="center"/>
              <w:rPr>
                <w:rFonts w:asci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highlight w:val="none"/>
              </w:rPr>
            </w:pPr>
            <w:r>
              <w:rPr>
                <w:rFonts w:hint="eastAsia" w:ascii="宋体" w:hAnsi="宋体" w:cs="宋体"/>
                <w:color w:val="auto"/>
                <w:kern w:val="0"/>
                <w:szCs w:val="21"/>
                <w:highlight w:val="none"/>
              </w:rPr>
              <w:t>法定代表人</w:t>
            </w:r>
          </w:p>
        </w:tc>
        <w:tc>
          <w:tcPr>
            <w:tcW w:w="1086" w:type="dxa"/>
            <w:vAlign w:val="center"/>
          </w:tcPr>
          <w:p>
            <w:pPr>
              <w:autoSpaceDE w:val="0"/>
              <w:autoSpaceDN w:val="0"/>
              <w:adjustRightInd w:val="0"/>
              <w:spacing w:line="360" w:lineRule="exact"/>
              <w:jc w:val="center"/>
              <w:rPr>
                <w:rFonts w:ascii="宋体" w:cs="宋体"/>
                <w:color w:val="auto"/>
                <w:kern w:val="0"/>
                <w:szCs w:val="21"/>
                <w:highlight w:val="none"/>
              </w:rPr>
            </w:pPr>
            <w:r>
              <w:rPr>
                <w:rFonts w:hint="eastAsia" w:ascii="宋体" w:hAnsi="宋体" w:cs="宋体"/>
                <w:color w:val="auto"/>
                <w:kern w:val="0"/>
                <w:szCs w:val="21"/>
                <w:highlight w:val="none"/>
              </w:rPr>
              <w:t>姓名</w:t>
            </w:r>
          </w:p>
        </w:tc>
        <w:tc>
          <w:tcPr>
            <w:tcW w:w="1306" w:type="dxa"/>
            <w:vAlign w:val="center"/>
          </w:tcPr>
          <w:p>
            <w:pPr>
              <w:autoSpaceDE w:val="0"/>
              <w:autoSpaceDN w:val="0"/>
              <w:adjustRightInd w:val="0"/>
              <w:spacing w:line="360" w:lineRule="exact"/>
              <w:jc w:val="center"/>
              <w:rPr>
                <w:rFonts w:ascii="宋体" w:cs="宋体"/>
                <w:color w:val="auto"/>
                <w:kern w:val="0"/>
                <w:szCs w:val="21"/>
                <w:highlight w:val="none"/>
              </w:rPr>
            </w:pPr>
          </w:p>
        </w:tc>
        <w:tc>
          <w:tcPr>
            <w:tcW w:w="1306" w:type="dxa"/>
            <w:vAlign w:val="center"/>
          </w:tcPr>
          <w:p>
            <w:pPr>
              <w:autoSpaceDE w:val="0"/>
              <w:autoSpaceDN w:val="0"/>
              <w:adjustRightInd w:val="0"/>
              <w:spacing w:line="360" w:lineRule="exact"/>
              <w:jc w:val="center"/>
              <w:rPr>
                <w:rFonts w:ascii="宋体" w:cs="宋体"/>
                <w:color w:val="auto"/>
                <w:kern w:val="0"/>
                <w:szCs w:val="21"/>
                <w:highlight w:val="none"/>
              </w:rPr>
            </w:pPr>
            <w:r>
              <w:rPr>
                <w:rFonts w:hint="eastAsia" w:ascii="宋体" w:hAnsi="宋体" w:cs="宋体"/>
                <w:color w:val="auto"/>
                <w:kern w:val="0"/>
                <w:szCs w:val="21"/>
                <w:highlight w:val="none"/>
              </w:rPr>
              <w:t>技术职称</w:t>
            </w:r>
          </w:p>
        </w:tc>
        <w:tc>
          <w:tcPr>
            <w:tcW w:w="1306" w:type="dxa"/>
            <w:gridSpan w:val="2"/>
            <w:vAlign w:val="center"/>
          </w:tcPr>
          <w:p>
            <w:pPr>
              <w:autoSpaceDE w:val="0"/>
              <w:autoSpaceDN w:val="0"/>
              <w:adjustRightInd w:val="0"/>
              <w:spacing w:line="360" w:lineRule="exact"/>
              <w:jc w:val="center"/>
              <w:rPr>
                <w:rFonts w:ascii="宋体" w:cs="宋体"/>
                <w:color w:val="auto"/>
                <w:kern w:val="0"/>
                <w:szCs w:val="21"/>
                <w:highlight w:val="none"/>
              </w:rPr>
            </w:pPr>
          </w:p>
        </w:tc>
        <w:tc>
          <w:tcPr>
            <w:tcW w:w="1307" w:type="dxa"/>
            <w:vAlign w:val="center"/>
          </w:tcPr>
          <w:p>
            <w:pPr>
              <w:autoSpaceDE w:val="0"/>
              <w:autoSpaceDN w:val="0"/>
              <w:adjustRightInd w:val="0"/>
              <w:spacing w:line="360" w:lineRule="exact"/>
              <w:jc w:val="center"/>
              <w:rPr>
                <w:rFonts w:ascii="宋体" w:cs="宋体"/>
                <w:color w:val="auto"/>
                <w:kern w:val="0"/>
                <w:szCs w:val="21"/>
                <w:highlight w:val="none"/>
              </w:rPr>
            </w:pPr>
            <w:r>
              <w:rPr>
                <w:rFonts w:hint="eastAsia" w:ascii="宋体" w:hAnsi="宋体" w:cs="宋体"/>
                <w:color w:val="auto"/>
                <w:kern w:val="0"/>
                <w:szCs w:val="21"/>
                <w:highlight w:val="none"/>
              </w:rPr>
              <w:t>电话</w:t>
            </w:r>
          </w:p>
        </w:tc>
        <w:tc>
          <w:tcPr>
            <w:tcW w:w="1307" w:type="dxa"/>
            <w:vAlign w:val="center"/>
          </w:tcPr>
          <w:p>
            <w:pPr>
              <w:autoSpaceDE w:val="0"/>
              <w:autoSpaceDN w:val="0"/>
              <w:adjustRightInd w:val="0"/>
              <w:spacing w:line="360" w:lineRule="exact"/>
              <w:jc w:val="center"/>
              <w:rPr>
                <w:rFonts w:asci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6"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highlight w:val="none"/>
              </w:rPr>
            </w:pPr>
            <w:r>
              <w:rPr>
                <w:rFonts w:hint="eastAsia" w:ascii="宋体" w:hAnsi="宋体" w:cs="宋体"/>
                <w:color w:val="auto"/>
                <w:kern w:val="0"/>
                <w:szCs w:val="21"/>
                <w:highlight w:val="none"/>
              </w:rPr>
              <w:t>技术负责人</w:t>
            </w:r>
          </w:p>
        </w:tc>
        <w:tc>
          <w:tcPr>
            <w:tcW w:w="1086" w:type="dxa"/>
            <w:vAlign w:val="center"/>
          </w:tcPr>
          <w:p>
            <w:pPr>
              <w:autoSpaceDE w:val="0"/>
              <w:autoSpaceDN w:val="0"/>
              <w:adjustRightInd w:val="0"/>
              <w:spacing w:line="360" w:lineRule="exact"/>
              <w:jc w:val="center"/>
              <w:rPr>
                <w:rFonts w:ascii="宋体" w:cs="宋体"/>
                <w:color w:val="auto"/>
                <w:kern w:val="0"/>
                <w:szCs w:val="21"/>
                <w:highlight w:val="none"/>
              </w:rPr>
            </w:pPr>
            <w:r>
              <w:rPr>
                <w:rFonts w:hint="eastAsia" w:ascii="宋体" w:hAnsi="宋体" w:cs="宋体"/>
                <w:color w:val="auto"/>
                <w:kern w:val="0"/>
                <w:szCs w:val="21"/>
                <w:highlight w:val="none"/>
              </w:rPr>
              <w:t>姓名</w:t>
            </w:r>
          </w:p>
        </w:tc>
        <w:tc>
          <w:tcPr>
            <w:tcW w:w="1306" w:type="dxa"/>
            <w:vAlign w:val="center"/>
          </w:tcPr>
          <w:p>
            <w:pPr>
              <w:autoSpaceDE w:val="0"/>
              <w:autoSpaceDN w:val="0"/>
              <w:adjustRightInd w:val="0"/>
              <w:spacing w:line="360" w:lineRule="exact"/>
              <w:jc w:val="center"/>
              <w:rPr>
                <w:rFonts w:ascii="宋体" w:cs="宋体"/>
                <w:color w:val="auto"/>
                <w:kern w:val="0"/>
                <w:szCs w:val="21"/>
                <w:highlight w:val="none"/>
              </w:rPr>
            </w:pPr>
          </w:p>
        </w:tc>
        <w:tc>
          <w:tcPr>
            <w:tcW w:w="1306" w:type="dxa"/>
            <w:vAlign w:val="center"/>
          </w:tcPr>
          <w:p>
            <w:pPr>
              <w:autoSpaceDE w:val="0"/>
              <w:autoSpaceDN w:val="0"/>
              <w:adjustRightInd w:val="0"/>
              <w:spacing w:line="360" w:lineRule="exact"/>
              <w:jc w:val="center"/>
              <w:rPr>
                <w:rFonts w:ascii="宋体" w:cs="宋体"/>
                <w:color w:val="auto"/>
                <w:kern w:val="0"/>
                <w:szCs w:val="21"/>
                <w:highlight w:val="none"/>
              </w:rPr>
            </w:pPr>
            <w:r>
              <w:rPr>
                <w:rFonts w:hint="eastAsia" w:ascii="宋体" w:hAnsi="宋体" w:cs="宋体"/>
                <w:color w:val="auto"/>
                <w:kern w:val="0"/>
                <w:szCs w:val="21"/>
                <w:highlight w:val="none"/>
              </w:rPr>
              <w:t>技术职称</w:t>
            </w:r>
          </w:p>
        </w:tc>
        <w:tc>
          <w:tcPr>
            <w:tcW w:w="1306" w:type="dxa"/>
            <w:gridSpan w:val="2"/>
            <w:vAlign w:val="center"/>
          </w:tcPr>
          <w:p>
            <w:pPr>
              <w:autoSpaceDE w:val="0"/>
              <w:autoSpaceDN w:val="0"/>
              <w:adjustRightInd w:val="0"/>
              <w:spacing w:line="360" w:lineRule="exact"/>
              <w:jc w:val="center"/>
              <w:rPr>
                <w:rFonts w:ascii="宋体" w:cs="宋体"/>
                <w:color w:val="auto"/>
                <w:kern w:val="0"/>
                <w:szCs w:val="21"/>
                <w:highlight w:val="none"/>
              </w:rPr>
            </w:pPr>
          </w:p>
        </w:tc>
        <w:tc>
          <w:tcPr>
            <w:tcW w:w="1307" w:type="dxa"/>
            <w:vAlign w:val="center"/>
          </w:tcPr>
          <w:p>
            <w:pPr>
              <w:autoSpaceDE w:val="0"/>
              <w:autoSpaceDN w:val="0"/>
              <w:adjustRightInd w:val="0"/>
              <w:spacing w:line="360" w:lineRule="exact"/>
              <w:jc w:val="center"/>
              <w:rPr>
                <w:rFonts w:ascii="宋体" w:cs="宋体"/>
                <w:color w:val="auto"/>
                <w:kern w:val="0"/>
                <w:szCs w:val="21"/>
                <w:highlight w:val="none"/>
              </w:rPr>
            </w:pPr>
            <w:r>
              <w:rPr>
                <w:rFonts w:hint="eastAsia" w:ascii="宋体" w:hAnsi="宋体" w:cs="宋体"/>
                <w:color w:val="auto"/>
                <w:kern w:val="0"/>
                <w:szCs w:val="21"/>
                <w:highlight w:val="none"/>
              </w:rPr>
              <w:t>电话</w:t>
            </w:r>
          </w:p>
        </w:tc>
        <w:tc>
          <w:tcPr>
            <w:tcW w:w="1307" w:type="dxa"/>
            <w:vAlign w:val="center"/>
          </w:tcPr>
          <w:p>
            <w:pPr>
              <w:autoSpaceDE w:val="0"/>
              <w:autoSpaceDN w:val="0"/>
              <w:adjustRightInd w:val="0"/>
              <w:spacing w:line="360" w:lineRule="exact"/>
              <w:jc w:val="center"/>
              <w:rPr>
                <w:rFonts w:asci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highlight w:val="none"/>
              </w:rPr>
            </w:pPr>
            <w:r>
              <w:rPr>
                <w:rFonts w:hint="eastAsia" w:ascii="宋体" w:hAnsi="宋体" w:cs="宋体"/>
                <w:color w:val="auto"/>
                <w:kern w:val="0"/>
                <w:szCs w:val="21"/>
                <w:highlight w:val="none"/>
              </w:rPr>
              <w:t>成立时间</w:t>
            </w:r>
          </w:p>
        </w:tc>
        <w:tc>
          <w:tcPr>
            <w:tcW w:w="3698" w:type="dxa"/>
            <w:gridSpan w:val="3"/>
            <w:vAlign w:val="center"/>
          </w:tcPr>
          <w:p>
            <w:pPr>
              <w:autoSpaceDE w:val="0"/>
              <w:autoSpaceDN w:val="0"/>
              <w:adjustRightInd w:val="0"/>
              <w:spacing w:line="360" w:lineRule="exact"/>
              <w:jc w:val="center"/>
              <w:rPr>
                <w:rFonts w:ascii="宋体" w:cs="宋体"/>
                <w:color w:val="auto"/>
                <w:kern w:val="0"/>
                <w:szCs w:val="21"/>
                <w:highlight w:val="none"/>
              </w:rPr>
            </w:pPr>
          </w:p>
        </w:tc>
        <w:tc>
          <w:tcPr>
            <w:tcW w:w="3920" w:type="dxa"/>
            <w:gridSpan w:val="4"/>
            <w:vAlign w:val="center"/>
          </w:tcPr>
          <w:p>
            <w:pPr>
              <w:autoSpaceDE w:val="0"/>
              <w:autoSpaceDN w:val="0"/>
              <w:adjustRightInd w:val="0"/>
              <w:spacing w:line="360" w:lineRule="exact"/>
              <w:jc w:val="center"/>
              <w:rPr>
                <w:rFonts w:ascii="宋体" w:cs="宋体"/>
                <w:color w:val="auto"/>
                <w:kern w:val="0"/>
                <w:szCs w:val="21"/>
                <w:highlight w:val="none"/>
              </w:rPr>
            </w:pPr>
            <w:r>
              <w:rPr>
                <w:rFonts w:hint="eastAsia" w:ascii="宋体" w:hAnsi="宋体" w:cs="宋体"/>
                <w:color w:val="auto"/>
                <w:kern w:val="0"/>
                <w:szCs w:val="21"/>
                <w:highlight w:val="none"/>
              </w:rPr>
              <w:t>员工总人数：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highlight w:val="none"/>
              </w:rPr>
            </w:pPr>
            <w:r>
              <w:rPr>
                <w:rFonts w:hint="eastAsia" w:ascii="宋体" w:hAnsi="宋体" w:cs="宋体"/>
                <w:color w:val="auto"/>
                <w:kern w:val="0"/>
                <w:szCs w:val="21"/>
                <w:highlight w:val="none"/>
              </w:rPr>
              <w:t>企业资质等级</w:t>
            </w:r>
          </w:p>
        </w:tc>
        <w:tc>
          <w:tcPr>
            <w:tcW w:w="3698" w:type="dxa"/>
            <w:gridSpan w:val="3"/>
            <w:vAlign w:val="center"/>
          </w:tcPr>
          <w:p>
            <w:pPr>
              <w:autoSpaceDE w:val="0"/>
              <w:autoSpaceDN w:val="0"/>
              <w:adjustRightInd w:val="0"/>
              <w:spacing w:line="360" w:lineRule="exact"/>
              <w:jc w:val="center"/>
              <w:rPr>
                <w:rFonts w:ascii="宋体" w:cs="宋体"/>
                <w:color w:val="auto"/>
                <w:kern w:val="0"/>
                <w:szCs w:val="21"/>
                <w:highlight w:val="none"/>
              </w:rPr>
            </w:pPr>
          </w:p>
        </w:tc>
        <w:tc>
          <w:tcPr>
            <w:tcW w:w="1085" w:type="dxa"/>
            <w:vMerge w:val="restart"/>
            <w:vAlign w:val="center"/>
          </w:tcPr>
          <w:p>
            <w:pPr>
              <w:autoSpaceDE w:val="0"/>
              <w:autoSpaceDN w:val="0"/>
              <w:adjustRightInd w:val="0"/>
              <w:spacing w:line="360" w:lineRule="exact"/>
              <w:jc w:val="center"/>
              <w:rPr>
                <w:rFonts w:ascii="宋体" w:cs="宋体"/>
                <w:color w:val="auto"/>
                <w:kern w:val="0"/>
                <w:szCs w:val="21"/>
                <w:highlight w:val="none"/>
              </w:rPr>
            </w:pPr>
            <w:r>
              <w:rPr>
                <w:rFonts w:hint="eastAsia" w:ascii="宋体" w:hAnsi="宋体" w:cs="宋体"/>
                <w:color w:val="auto"/>
                <w:kern w:val="0"/>
                <w:szCs w:val="21"/>
                <w:highlight w:val="none"/>
              </w:rPr>
              <w:t>其中</w:t>
            </w:r>
          </w:p>
        </w:tc>
        <w:tc>
          <w:tcPr>
            <w:tcW w:w="1528" w:type="dxa"/>
            <w:gridSpan w:val="2"/>
            <w:vAlign w:val="center"/>
          </w:tcPr>
          <w:p>
            <w:pPr>
              <w:autoSpaceDE w:val="0"/>
              <w:autoSpaceDN w:val="0"/>
              <w:adjustRightInd w:val="0"/>
              <w:spacing w:line="360" w:lineRule="exact"/>
              <w:jc w:val="center"/>
              <w:rPr>
                <w:rFonts w:ascii="宋体" w:cs="宋体"/>
                <w:color w:val="auto"/>
                <w:kern w:val="0"/>
                <w:szCs w:val="21"/>
                <w:highlight w:val="none"/>
              </w:rPr>
            </w:pPr>
            <w:r>
              <w:rPr>
                <w:rFonts w:hint="eastAsia" w:ascii="宋体" w:hAnsi="宋体" w:cs="宋体"/>
                <w:color w:val="auto"/>
                <w:kern w:val="0"/>
                <w:szCs w:val="21"/>
                <w:highlight w:val="none"/>
              </w:rPr>
              <w:t>高级职称人员</w:t>
            </w:r>
          </w:p>
        </w:tc>
        <w:tc>
          <w:tcPr>
            <w:tcW w:w="1307" w:type="dxa"/>
            <w:vAlign w:val="center"/>
          </w:tcPr>
          <w:p>
            <w:pPr>
              <w:autoSpaceDE w:val="0"/>
              <w:autoSpaceDN w:val="0"/>
              <w:adjustRightInd w:val="0"/>
              <w:spacing w:line="360" w:lineRule="exact"/>
              <w:jc w:val="center"/>
              <w:rPr>
                <w:rFonts w:asci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5"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highlight w:val="none"/>
              </w:rPr>
            </w:pPr>
            <w:r>
              <w:rPr>
                <w:rFonts w:hint="eastAsia" w:ascii="宋体" w:hAnsi="宋体" w:cs="宋体"/>
                <w:color w:val="auto"/>
                <w:kern w:val="0"/>
                <w:szCs w:val="21"/>
                <w:highlight w:val="none"/>
              </w:rPr>
              <w:t>营业执照号</w:t>
            </w:r>
          </w:p>
        </w:tc>
        <w:tc>
          <w:tcPr>
            <w:tcW w:w="3698" w:type="dxa"/>
            <w:gridSpan w:val="3"/>
            <w:vAlign w:val="center"/>
          </w:tcPr>
          <w:p>
            <w:pPr>
              <w:autoSpaceDE w:val="0"/>
              <w:autoSpaceDN w:val="0"/>
              <w:adjustRightInd w:val="0"/>
              <w:spacing w:line="360" w:lineRule="exact"/>
              <w:jc w:val="center"/>
              <w:rPr>
                <w:rFonts w:ascii="宋体" w:cs="宋体"/>
                <w:color w:val="auto"/>
                <w:kern w:val="0"/>
                <w:szCs w:val="21"/>
                <w:highlight w:val="none"/>
              </w:rPr>
            </w:pPr>
          </w:p>
        </w:tc>
        <w:tc>
          <w:tcPr>
            <w:tcW w:w="1085" w:type="dxa"/>
            <w:vMerge w:val="continue"/>
            <w:vAlign w:val="center"/>
          </w:tcPr>
          <w:p>
            <w:pPr>
              <w:autoSpaceDE w:val="0"/>
              <w:autoSpaceDN w:val="0"/>
              <w:adjustRightInd w:val="0"/>
              <w:spacing w:line="360" w:lineRule="exact"/>
              <w:jc w:val="center"/>
              <w:rPr>
                <w:rFonts w:ascii="宋体" w:cs="宋体"/>
                <w:color w:val="auto"/>
                <w:kern w:val="0"/>
                <w:szCs w:val="21"/>
                <w:highlight w:val="none"/>
              </w:rPr>
            </w:pPr>
          </w:p>
        </w:tc>
        <w:tc>
          <w:tcPr>
            <w:tcW w:w="1528" w:type="dxa"/>
            <w:gridSpan w:val="2"/>
            <w:vAlign w:val="center"/>
          </w:tcPr>
          <w:p>
            <w:pPr>
              <w:autoSpaceDE w:val="0"/>
              <w:autoSpaceDN w:val="0"/>
              <w:adjustRightInd w:val="0"/>
              <w:spacing w:line="360" w:lineRule="exact"/>
              <w:jc w:val="center"/>
              <w:rPr>
                <w:rFonts w:ascii="宋体" w:cs="宋体"/>
                <w:color w:val="auto"/>
                <w:kern w:val="0"/>
                <w:szCs w:val="21"/>
                <w:highlight w:val="none"/>
              </w:rPr>
            </w:pPr>
            <w:r>
              <w:rPr>
                <w:rFonts w:hint="eastAsia" w:ascii="宋体" w:hAnsi="宋体" w:cs="宋体"/>
                <w:color w:val="auto"/>
                <w:kern w:val="0"/>
                <w:szCs w:val="21"/>
                <w:highlight w:val="none"/>
              </w:rPr>
              <w:t>中级职称人员</w:t>
            </w:r>
          </w:p>
        </w:tc>
        <w:tc>
          <w:tcPr>
            <w:tcW w:w="1307" w:type="dxa"/>
            <w:vAlign w:val="center"/>
          </w:tcPr>
          <w:p>
            <w:pPr>
              <w:autoSpaceDE w:val="0"/>
              <w:autoSpaceDN w:val="0"/>
              <w:adjustRightInd w:val="0"/>
              <w:spacing w:line="360" w:lineRule="exact"/>
              <w:jc w:val="center"/>
              <w:rPr>
                <w:rFonts w:asci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6"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highlight w:val="none"/>
              </w:rPr>
            </w:pPr>
            <w:r>
              <w:rPr>
                <w:rFonts w:hint="eastAsia" w:ascii="宋体" w:hAnsi="宋体" w:cs="宋体"/>
                <w:color w:val="auto"/>
                <w:kern w:val="0"/>
                <w:szCs w:val="21"/>
                <w:highlight w:val="none"/>
              </w:rPr>
              <w:t>注册资金</w:t>
            </w:r>
          </w:p>
        </w:tc>
        <w:tc>
          <w:tcPr>
            <w:tcW w:w="3698" w:type="dxa"/>
            <w:gridSpan w:val="3"/>
            <w:vAlign w:val="center"/>
          </w:tcPr>
          <w:p>
            <w:pPr>
              <w:autoSpaceDE w:val="0"/>
              <w:autoSpaceDN w:val="0"/>
              <w:adjustRightInd w:val="0"/>
              <w:spacing w:line="360" w:lineRule="exact"/>
              <w:jc w:val="center"/>
              <w:rPr>
                <w:rFonts w:ascii="宋体" w:cs="宋体"/>
                <w:color w:val="auto"/>
                <w:kern w:val="0"/>
                <w:szCs w:val="21"/>
                <w:highlight w:val="none"/>
              </w:rPr>
            </w:pPr>
          </w:p>
        </w:tc>
        <w:tc>
          <w:tcPr>
            <w:tcW w:w="1085" w:type="dxa"/>
            <w:vMerge w:val="continue"/>
            <w:vAlign w:val="center"/>
          </w:tcPr>
          <w:p>
            <w:pPr>
              <w:autoSpaceDE w:val="0"/>
              <w:autoSpaceDN w:val="0"/>
              <w:adjustRightInd w:val="0"/>
              <w:spacing w:line="360" w:lineRule="exact"/>
              <w:jc w:val="center"/>
              <w:rPr>
                <w:rFonts w:ascii="宋体" w:cs="宋体"/>
                <w:color w:val="auto"/>
                <w:kern w:val="0"/>
                <w:szCs w:val="21"/>
                <w:highlight w:val="none"/>
              </w:rPr>
            </w:pPr>
          </w:p>
        </w:tc>
        <w:tc>
          <w:tcPr>
            <w:tcW w:w="1528" w:type="dxa"/>
            <w:gridSpan w:val="2"/>
            <w:vAlign w:val="center"/>
          </w:tcPr>
          <w:p>
            <w:pPr>
              <w:autoSpaceDE w:val="0"/>
              <w:autoSpaceDN w:val="0"/>
              <w:adjustRightInd w:val="0"/>
              <w:spacing w:line="360" w:lineRule="exact"/>
              <w:jc w:val="center"/>
              <w:rPr>
                <w:rFonts w:ascii="宋体" w:cs="宋体"/>
                <w:color w:val="auto"/>
                <w:kern w:val="0"/>
                <w:szCs w:val="21"/>
                <w:highlight w:val="none"/>
              </w:rPr>
            </w:pPr>
            <w:r>
              <w:rPr>
                <w:rFonts w:hint="eastAsia" w:ascii="宋体" w:hAnsi="宋体" w:cs="宋体"/>
                <w:color w:val="auto"/>
                <w:kern w:val="0"/>
                <w:szCs w:val="21"/>
                <w:highlight w:val="none"/>
              </w:rPr>
              <w:t>初级职称人员</w:t>
            </w:r>
          </w:p>
        </w:tc>
        <w:tc>
          <w:tcPr>
            <w:tcW w:w="1307" w:type="dxa"/>
            <w:vAlign w:val="center"/>
          </w:tcPr>
          <w:p>
            <w:pPr>
              <w:autoSpaceDE w:val="0"/>
              <w:autoSpaceDN w:val="0"/>
              <w:adjustRightInd w:val="0"/>
              <w:spacing w:line="360" w:lineRule="exact"/>
              <w:jc w:val="center"/>
              <w:rPr>
                <w:rFonts w:asci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4"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highlight w:val="none"/>
              </w:rPr>
            </w:pPr>
            <w:r>
              <w:rPr>
                <w:rFonts w:hint="eastAsia" w:ascii="宋体" w:hAnsi="宋体" w:cs="宋体"/>
                <w:color w:val="auto"/>
                <w:kern w:val="0"/>
                <w:szCs w:val="21"/>
                <w:highlight w:val="none"/>
              </w:rPr>
              <w:t>经营范围</w:t>
            </w:r>
          </w:p>
        </w:tc>
        <w:tc>
          <w:tcPr>
            <w:tcW w:w="7618" w:type="dxa"/>
            <w:gridSpan w:val="7"/>
            <w:vAlign w:val="center"/>
          </w:tcPr>
          <w:p>
            <w:pPr>
              <w:autoSpaceDE w:val="0"/>
              <w:autoSpaceDN w:val="0"/>
              <w:adjustRightInd w:val="0"/>
              <w:spacing w:line="360" w:lineRule="exact"/>
              <w:jc w:val="center"/>
              <w:rPr>
                <w:rFonts w:ascii="宋体" w:cs="宋体"/>
                <w:color w:val="auto"/>
                <w:kern w:val="0"/>
                <w:szCs w:val="21"/>
                <w:highlight w:val="none"/>
              </w:rPr>
            </w:pPr>
          </w:p>
          <w:p>
            <w:pPr>
              <w:autoSpaceDE w:val="0"/>
              <w:autoSpaceDN w:val="0"/>
              <w:adjustRightInd w:val="0"/>
              <w:spacing w:line="360" w:lineRule="exact"/>
              <w:jc w:val="center"/>
              <w:rPr>
                <w:rFonts w:ascii="宋体" w:cs="宋体"/>
                <w:color w:val="auto"/>
                <w:kern w:val="0"/>
                <w:szCs w:val="21"/>
                <w:highlight w:val="none"/>
              </w:rPr>
            </w:pPr>
          </w:p>
          <w:p>
            <w:pPr>
              <w:autoSpaceDE w:val="0"/>
              <w:autoSpaceDN w:val="0"/>
              <w:adjustRightInd w:val="0"/>
              <w:spacing w:line="360" w:lineRule="exact"/>
              <w:jc w:val="center"/>
              <w:rPr>
                <w:rFonts w:ascii="宋体" w:cs="宋体"/>
                <w:color w:val="auto"/>
                <w:kern w:val="0"/>
                <w:szCs w:val="21"/>
                <w:highlight w:val="none"/>
              </w:rPr>
            </w:pPr>
          </w:p>
          <w:p>
            <w:pPr>
              <w:autoSpaceDE w:val="0"/>
              <w:autoSpaceDN w:val="0"/>
              <w:adjustRightInd w:val="0"/>
              <w:spacing w:line="360" w:lineRule="exact"/>
              <w:jc w:val="center"/>
              <w:rPr>
                <w:rFonts w:ascii="宋体" w:cs="宋体"/>
                <w:color w:val="auto"/>
                <w:kern w:val="0"/>
                <w:szCs w:val="21"/>
                <w:highlight w:val="none"/>
              </w:rPr>
            </w:pPr>
          </w:p>
          <w:p>
            <w:pPr>
              <w:autoSpaceDE w:val="0"/>
              <w:autoSpaceDN w:val="0"/>
              <w:adjustRightInd w:val="0"/>
              <w:spacing w:line="360" w:lineRule="exact"/>
              <w:jc w:val="center"/>
              <w:rPr>
                <w:rFonts w:ascii="宋体" w:cs="宋体"/>
                <w:color w:val="auto"/>
                <w:kern w:val="0"/>
                <w:szCs w:val="21"/>
                <w:highlight w:val="none"/>
              </w:rPr>
            </w:pPr>
          </w:p>
          <w:p>
            <w:pPr>
              <w:autoSpaceDE w:val="0"/>
              <w:autoSpaceDN w:val="0"/>
              <w:adjustRightInd w:val="0"/>
              <w:spacing w:line="360" w:lineRule="exact"/>
              <w:jc w:val="center"/>
              <w:rPr>
                <w:rFonts w:ascii="宋体" w:cs="宋体"/>
                <w:color w:val="auto"/>
                <w:kern w:val="0"/>
                <w:szCs w:val="21"/>
                <w:highlight w:val="none"/>
              </w:rPr>
            </w:pPr>
          </w:p>
          <w:p>
            <w:pPr>
              <w:autoSpaceDE w:val="0"/>
              <w:autoSpaceDN w:val="0"/>
              <w:adjustRightInd w:val="0"/>
              <w:spacing w:line="360" w:lineRule="exact"/>
              <w:jc w:val="center"/>
              <w:rPr>
                <w:rFonts w:ascii="宋体" w:cs="宋体"/>
                <w:color w:val="auto"/>
                <w:kern w:val="0"/>
                <w:szCs w:val="21"/>
                <w:highlight w:val="none"/>
              </w:rPr>
            </w:pPr>
          </w:p>
          <w:p>
            <w:pPr>
              <w:autoSpaceDE w:val="0"/>
              <w:autoSpaceDN w:val="0"/>
              <w:adjustRightInd w:val="0"/>
              <w:spacing w:line="360" w:lineRule="exact"/>
              <w:jc w:val="center"/>
              <w:rPr>
                <w:rFonts w:ascii="宋体" w:cs="宋体"/>
                <w:color w:val="auto"/>
                <w:kern w:val="0"/>
                <w:szCs w:val="21"/>
                <w:highlight w:val="none"/>
              </w:rPr>
            </w:pPr>
          </w:p>
          <w:p>
            <w:pPr>
              <w:autoSpaceDE w:val="0"/>
              <w:autoSpaceDN w:val="0"/>
              <w:adjustRightInd w:val="0"/>
              <w:spacing w:line="360" w:lineRule="exact"/>
              <w:jc w:val="center"/>
              <w:rPr>
                <w:rFonts w:ascii="宋体" w:cs="宋体"/>
                <w:color w:val="auto"/>
                <w:kern w:val="0"/>
                <w:szCs w:val="21"/>
                <w:highlight w:val="none"/>
              </w:rPr>
            </w:pPr>
          </w:p>
          <w:p>
            <w:pPr>
              <w:autoSpaceDE w:val="0"/>
              <w:autoSpaceDN w:val="0"/>
              <w:adjustRightInd w:val="0"/>
              <w:spacing w:line="360" w:lineRule="exact"/>
              <w:jc w:val="center"/>
              <w:rPr>
                <w:rFonts w:ascii="宋体" w:cs="宋体"/>
                <w:color w:val="auto"/>
                <w:kern w:val="0"/>
                <w:szCs w:val="21"/>
                <w:highlight w:val="none"/>
              </w:rPr>
            </w:pPr>
          </w:p>
          <w:p>
            <w:pPr>
              <w:autoSpaceDE w:val="0"/>
              <w:autoSpaceDN w:val="0"/>
              <w:adjustRightInd w:val="0"/>
              <w:spacing w:line="360" w:lineRule="exact"/>
              <w:jc w:val="center"/>
              <w:rPr>
                <w:rFonts w:ascii="宋体" w:cs="宋体"/>
                <w:color w:val="auto"/>
                <w:kern w:val="0"/>
                <w:szCs w:val="21"/>
                <w:highlight w:val="none"/>
              </w:rPr>
            </w:pPr>
          </w:p>
          <w:p>
            <w:pPr>
              <w:autoSpaceDE w:val="0"/>
              <w:autoSpaceDN w:val="0"/>
              <w:adjustRightInd w:val="0"/>
              <w:spacing w:line="360" w:lineRule="exact"/>
              <w:jc w:val="center"/>
              <w:rPr>
                <w:rFonts w:ascii="宋体" w:cs="宋体"/>
                <w:color w:val="auto"/>
                <w:kern w:val="0"/>
                <w:szCs w:val="21"/>
                <w:highlight w:val="none"/>
              </w:rPr>
            </w:pPr>
          </w:p>
          <w:p>
            <w:pPr>
              <w:autoSpaceDE w:val="0"/>
              <w:autoSpaceDN w:val="0"/>
              <w:adjustRightInd w:val="0"/>
              <w:spacing w:line="360" w:lineRule="exact"/>
              <w:jc w:val="center"/>
              <w:rPr>
                <w:rFonts w:ascii="宋体" w:cs="宋体"/>
                <w:color w:val="auto"/>
                <w:kern w:val="0"/>
                <w:szCs w:val="21"/>
                <w:highlight w:val="none"/>
              </w:rPr>
            </w:pPr>
          </w:p>
          <w:p>
            <w:pPr>
              <w:autoSpaceDE w:val="0"/>
              <w:autoSpaceDN w:val="0"/>
              <w:adjustRightInd w:val="0"/>
              <w:spacing w:line="360" w:lineRule="exact"/>
              <w:jc w:val="center"/>
              <w:rPr>
                <w:rFonts w:asci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jc w:val="center"/>
        </w:trPr>
        <w:tc>
          <w:tcPr>
            <w:tcW w:w="1523" w:type="dxa"/>
            <w:vAlign w:val="center"/>
          </w:tcPr>
          <w:p>
            <w:pPr>
              <w:autoSpaceDE w:val="0"/>
              <w:autoSpaceDN w:val="0"/>
              <w:adjustRightInd w:val="0"/>
              <w:spacing w:line="360" w:lineRule="exact"/>
              <w:jc w:val="center"/>
              <w:rPr>
                <w:rFonts w:ascii="宋体" w:cs="宋体"/>
                <w:color w:val="auto"/>
                <w:kern w:val="0"/>
                <w:szCs w:val="21"/>
                <w:highlight w:val="none"/>
              </w:rPr>
            </w:pPr>
            <w:r>
              <w:rPr>
                <w:rFonts w:hint="eastAsia" w:ascii="宋体" w:hAnsi="宋体" w:cs="宋体"/>
                <w:color w:val="auto"/>
                <w:kern w:val="0"/>
                <w:szCs w:val="21"/>
                <w:highlight w:val="none"/>
              </w:rPr>
              <w:t>备注</w:t>
            </w:r>
          </w:p>
        </w:tc>
        <w:tc>
          <w:tcPr>
            <w:tcW w:w="7618" w:type="dxa"/>
            <w:gridSpan w:val="7"/>
            <w:vAlign w:val="center"/>
          </w:tcPr>
          <w:p>
            <w:pPr>
              <w:autoSpaceDE w:val="0"/>
              <w:autoSpaceDN w:val="0"/>
              <w:adjustRightInd w:val="0"/>
              <w:spacing w:line="360" w:lineRule="exact"/>
              <w:rPr>
                <w:rFonts w:ascii="宋体" w:cs="宋体"/>
                <w:color w:val="auto"/>
                <w:kern w:val="0"/>
                <w:szCs w:val="21"/>
                <w:highlight w:val="none"/>
              </w:rPr>
            </w:pPr>
            <w:r>
              <w:rPr>
                <w:rFonts w:hint="eastAsia" w:ascii="宋体" w:hAnsi="宋体" w:cs="宋体"/>
                <w:color w:val="auto"/>
                <w:kern w:val="0"/>
                <w:szCs w:val="21"/>
                <w:highlight w:val="none"/>
              </w:rPr>
              <w:t>供应商可跟据企业实际情况增加或删减填写此表</w:t>
            </w:r>
          </w:p>
        </w:tc>
      </w:tr>
    </w:tbl>
    <w:p>
      <w:pPr>
        <w:rPr>
          <w:color w:val="auto"/>
          <w:highlight w:val="none"/>
        </w:rPr>
      </w:pPr>
      <w:r>
        <w:rPr>
          <w:rFonts w:hint="eastAsia"/>
          <w:color w:val="auto"/>
          <w:highlight w:val="none"/>
        </w:rPr>
        <w:t>备注：本表应附相关证明文件</w:t>
      </w:r>
    </w:p>
    <w:p>
      <w:pPr>
        <w:spacing w:line="360" w:lineRule="exact"/>
        <w:jc w:val="left"/>
        <w:outlineLvl w:val="1"/>
        <w:rPr>
          <w:rFonts w:ascii="宋体" w:cs="宋体"/>
          <w:color w:val="auto"/>
          <w:sz w:val="28"/>
          <w:szCs w:val="28"/>
          <w:highlight w:val="none"/>
        </w:rPr>
      </w:pPr>
      <w:bookmarkStart w:id="123" w:name="_Toc24712"/>
    </w:p>
    <w:p>
      <w:pPr>
        <w:spacing w:line="360" w:lineRule="auto"/>
        <w:rPr>
          <w:rFonts w:ascii="Times New Roman" w:hAnsi="Times New Roman"/>
          <w:b/>
          <w:color w:val="auto"/>
          <w:sz w:val="28"/>
          <w:highlight w:val="none"/>
        </w:rPr>
      </w:pPr>
      <w:bookmarkStart w:id="124" w:name="_Toc341340664"/>
      <w:bookmarkStart w:id="125" w:name="_Toc304388439"/>
      <w:bookmarkStart w:id="126" w:name="_Hlk450185766"/>
      <w:bookmarkStart w:id="127" w:name="_Toc355787721"/>
    </w:p>
    <w:bookmarkEnd w:id="124"/>
    <w:bookmarkEnd w:id="125"/>
    <w:bookmarkEnd w:id="126"/>
    <w:bookmarkEnd w:id="127"/>
    <w:p>
      <w:pPr>
        <w:pStyle w:val="17"/>
        <w:spacing w:line="460" w:lineRule="exact"/>
        <w:rPr>
          <w:rFonts w:hint="eastAsia" w:ascii="宋体" w:hAnsi="宋体" w:cs="宋体"/>
          <w:color w:val="auto"/>
          <w:sz w:val="30"/>
          <w:szCs w:val="30"/>
          <w:highlight w:val="none"/>
        </w:rPr>
      </w:pPr>
      <w:bookmarkStart w:id="128" w:name="_Toc220232402"/>
      <w:bookmarkStart w:id="129" w:name="_Toc341340670"/>
      <w:bookmarkStart w:id="130" w:name="_Toc32658"/>
      <w:bookmarkStart w:id="131" w:name="_Toc477765595"/>
      <w:bookmarkStart w:id="132" w:name="_Toc300210390"/>
      <w:bookmarkStart w:id="133" w:name="_Toc355787727"/>
      <w:bookmarkStart w:id="134" w:name="_Toc320969915"/>
      <w:bookmarkStart w:id="135" w:name="_Toc516969105"/>
      <w:bookmarkStart w:id="136" w:name="_Toc10203"/>
      <w:r>
        <w:rPr>
          <w:rFonts w:hint="eastAsia" w:ascii="Times New Roman" w:hAnsi="Times New Roman" w:eastAsia="宋体"/>
          <w:color w:val="auto"/>
          <w:sz w:val="28"/>
          <w:szCs w:val="28"/>
          <w:highlight w:val="none"/>
          <w:lang w:eastAsia="zh-CN"/>
        </w:rPr>
        <w:t>七</w:t>
      </w:r>
      <w:r>
        <w:rPr>
          <w:rFonts w:ascii="Times New Roman" w:hAnsi="Times New Roman" w:eastAsia="宋体"/>
          <w:color w:val="auto"/>
          <w:sz w:val="28"/>
          <w:szCs w:val="28"/>
          <w:highlight w:val="none"/>
        </w:rPr>
        <w:t>．</w:t>
      </w:r>
      <w:bookmarkEnd w:id="128"/>
      <w:bookmarkEnd w:id="129"/>
      <w:bookmarkEnd w:id="130"/>
      <w:bookmarkEnd w:id="131"/>
      <w:bookmarkEnd w:id="132"/>
      <w:bookmarkEnd w:id="133"/>
      <w:bookmarkEnd w:id="134"/>
      <w:bookmarkEnd w:id="135"/>
      <w:r>
        <w:rPr>
          <w:rFonts w:hint="eastAsia" w:ascii="宋体" w:hAnsi="宋体" w:cs="宋体"/>
          <w:color w:val="auto"/>
          <w:sz w:val="30"/>
          <w:szCs w:val="30"/>
          <w:highlight w:val="none"/>
        </w:rPr>
        <w:t>企业业绩</w:t>
      </w:r>
      <w:bookmarkEnd w:id="136"/>
    </w:p>
    <w:p>
      <w:pPr>
        <w:spacing w:line="360" w:lineRule="exact"/>
        <w:jc w:val="center"/>
        <w:rPr>
          <w:rFonts w:hint="eastAsia" w:ascii="宋体" w:hAnsi="宋体" w:cs="宋体"/>
          <w:color w:val="auto"/>
          <w:szCs w:val="21"/>
          <w:highlight w:val="none"/>
        </w:rPr>
      </w:pPr>
      <w:r>
        <w:rPr>
          <w:rFonts w:hint="eastAsia" w:ascii="宋体" w:hAnsi="宋体" w:cs="宋体"/>
          <w:color w:val="auto"/>
          <w:szCs w:val="21"/>
          <w:highlight w:val="none"/>
        </w:rPr>
        <w:t>近年类似业绩（如有）</w:t>
      </w:r>
    </w:p>
    <w:tbl>
      <w:tblPr>
        <w:tblStyle w:val="25"/>
        <w:tblpPr w:leftFromText="180" w:rightFromText="180" w:vertAnchor="text" w:horzAnchor="page" w:tblpX="1606" w:tblpY="401"/>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7"/>
        <w:gridCol w:w="1708"/>
        <w:gridCol w:w="3204"/>
        <w:gridCol w:w="1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4" w:hRule="atLeast"/>
        </w:trPr>
        <w:tc>
          <w:tcPr>
            <w:tcW w:w="2137" w:type="dxa"/>
            <w:vAlign w:val="center"/>
          </w:tcPr>
          <w:p>
            <w:pPr>
              <w:spacing w:line="360" w:lineRule="exact"/>
              <w:jc w:val="center"/>
              <w:rPr>
                <w:rFonts w:ascii="宋体" w:cs="宋体"/>
                <w:color w:val="auto"/>
                <w:szCs w:val="21"/>
                <w:highlight w:val="none"/>
              </w:rPr>
            </w:pPr>
            <w:r>
              <w:rPr>
                <w:rFonts w:hint="eastAsia" w:ascii="宋体" w:hAnsi="宋体" w:cs="宋体"/>
                <w:color w:val="auto"/>
                <w:szCs w:val="21"/>
                <w:highlight w:val="none"/>
              </w:rPr>
              <w:t>项目名称</w:t>
            </w:r>
          </w:p>
        </w:tc>
        <w:tc>
          <w:tcPr>
            <w:tcW w:w="1708" w:type="dxa"/>
            <w:vAlign w:val="center"/>
          </w:tcPr>
          <w:p>
            <w:pPr>
              <w:spacing w:line="360" w:lineRule="exact"/>
              <w:ind w:left="57"/>
              <w:jc w:val="center"/>
              <w:rPr>
                <w:rFonts w:ascii="宋体" w:cs="宋体"/>
                <w:color w:val="auto"/>
                <w:szCs w:val="21"/>
                <w:highlight w:val="none"/>
              </w:rPr>
            </w:pPr>
            <w:r>
              <w:rPr>
                <w:rFonts w:hint="eastAsia" w:ascii="宋体" w:hAnsi="宋体" w:cs="宋体"/>
                <w:color w:val="auto"/>
                <w:szCs w:val="21"/>
                <w:highlight w:val="none"/>
              </w:rPr>
              <w:t>签约日期</w:t>
            </w:r>
          </w:p>
        </w:tc>
        <w:tc>
          <w:tcPr>
            <w:tcW w:w="3204" w:type="dxa"/>
            <w:vAlign w:val="center"/>
          </w:tcPr>
          <w:p>
            <w:pPr>
              <w:spacing w:line="360" w:lineRule="exact"/>
              <w:jc w:val="center"/>
              <w:rPr>
                <w:rFonts w:ascii="宋体" w:cs="宋体"/>
                <w:color w:val="auto"/>
                <w:szCs w:val="21"/>
                <w:highlight w:val="none"/>
              </w:rPr>
            </w:pPr>
            <w:r>
              <w:rPr>
                <w:rFonts w:hint="eastAsia" w:ascii="宋体" w:hAnsi="宋体" w:cs="宋体"/>
                <w:color w:val="auto"/>
                <w:szCs w:val="21"/>
                <w:highlight w:val="none"/>
              </w:rPr>
              <w:t>业绩（合同）</w:t>
            </w:r>
          </w:p>
        </w:tc>
        <w:tc>
          <w:tcPr>
            <w:tcW w:w="1731" w:type="dxa"/>
            <w:vAlign w:val="center"/>
          </w:tcPr>
          <w:p>
            <w:pPr>
              <w:spacing w:line="360" w:lineRule="exact"/>
              <w:jc w:val="center"/>
              <w:rPr>
                <w:rFonts w:ascii="宋体" w:cs="宋体"/>
                <w:color w:val="auto"/>
                <w:szCs w:val="21"/>
                <w:highlight w:val="none"/>
              </w:rPr>
            </w:pPr>
            <w:r>
              <w:rPr>
                <w:rFonts w:hint="eastAsia" w:ascii="宋体" w:hAnsi="宋体" w:cs="宋体"/>
                <w:color w:val="auto"/>
                <w:szCs w:val="21"/>
                <w:highlight w:val="none"/>
              </w:rPr>
              <w:t>合同额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360" w:lineRule="exact"/>
              <w:rPr>
                <w:rFonts w:ascii="宋体" w:cs="宋体"/>
                <w:color w:val="auto"/>
                <w:szCs w:val="21"/>
                <w:highlight w:val="none"/>
              </w:rPr>
            </w:pPr>
          </w:p>
        </w:tc>
        <w:tc>
          <w:tcPr>
            <w:tcW w:w="1708" w:type="dxa"/>
          </w:tcPr>
          <w:p>
            <w:pPr>
              <w:spacing w:line="360" w:lineRule="exact"/>
              <w:rPr>
                <w:rFonts w:ascii="宋体" w:cs="宋体"/>
                <w:color w:val="auto"/>
                <w:szCs w:val="21"/>
                <w:highlight w:val="none"/>
              </w:rPr>
            </w:pPr>
          </w:p>
        </w:tc>
        <w:tc>
          <w:tcPr>
            <w:tcW w:w="3204" w:type="dxa"/>
          </w:tcPr>
          <w:p>
            <w:pPr>
              <w:spacing w:line="360" w:lineRule="exact"/>
              <w:rPr>
                <w:rFonts w:ascii="宋体" w:cs="宋体"/>
                <w:color w:val="auto"/>
                <w:szCs w:val="21"/>
                <w:highlight w:val="none"/>
              </w:rPr>
            </w:pPr>
          </w:p>
        </w:tc>
        <w:tc>
          <w:tcPr>
            <w:tcW w:w="1731" w:type="dxa"/>
          </w:tcPr>
          <w:p>
            <w:pPr>
              <w:spacing w:line="360" w:lineRule="exact"/>
              <w:rPr>
                <w:rFonts w:asci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360" w:lineRule="exact"/>
              <w:rPr>
                <w:rFonts w:ascii="宋体" w:cs="宋体"/>
                <w:color w:val="auto"/>
                <w:szCs w:val="21"/>
                <w:highlight w:val="none"/>
              </w:rPr>
            </w:pPr>
          </w:p>
        </w:tc>
        <w:tc>
          <w:tcPr>
            <w:tcW w:w="1708" w:type="dxa"/>
          </w:tcPr>
          <w:p>
            <w:pPr>
              <w:spacing w:line="360" w:lineRule="exact"/>
              <w:rPr>
                <w:rFonts w:ascii="宋体" w:cs="宋体"/>
                <w:color w:val="auto"/>
                <w:szCs w:val="21"/>
                <w:highlight w:val="none"/>
              </w:rPr>
            </w:pPr>
          </w:p>
        </w:tc>
        <w:tc>
          <w:tcPr>
            <w:tcW w:w="3204" w:type="dxa"/>
          </w:tcPr>
          <w:p>
            <w:pPr>
              <w:spacing w:line="360" w:lineRule="exact"/>
              <w:rPr>
                <w:rFonts w:ascii="宋体" w:cs="宋体"/>
                <w:color w:val="auto"/>
                <w:szCs w:val="21"/>
                <w:highlight w:val="none"/>
              </w:rPr>
            </w:pPr>
          </w:p>
        </w:tc>
        <w:tc>
          <w:tcPr>
            <w:tcW w:w="1731" w:type="dxa"/>
          </w:tcPr>
          <w:p>
            <w:pPr>
              <w:spacing w:line="360" w:lineRule="exact"/>
              <w:rPr>
                <w:rFonts w:asci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360" w:lineRule="exact"/>
              <w:rPr>
                <w:rFonts w:ascii="宋体" w:cs="宋体"/>
                <w:color w:val="auto"/>
                <w:szCs w:val="21"/>
                <w:highlight w:val="none"/>
              </w:rPr>
            </w:pPr>
          </w:p>
        </w:tc>
        <w:tc>
          <w:tcPr>
            <w:tcW w:w="1708" w:type="dxa"/>
          </w:tcPr>
          <w:p>
            <w:pPr>
              <w:spacing w:line="360" w:lineRule="exact"/>
              <w:rPr>
                <w:rFonts w:ascii="宋体" w:cs="宋体"/>
                <w:color w:val="auto"/>
                <w:szCs w:val="21"/>
                <w:highlight w:val="none"/>
              </w:rPr>
            </w:pPr>
          </w:p>
        </w:tc>
        <w:tc>
          <w:tcPr>
            <w:tcW w:w="3204" w:type="dxa"/>
          </w:tcPr>
          <w:p>
            <w:pPr>
              <w:spacing w:line="360" w:lineRule="exact"/>
              <w:rPr>
                <w:rFonts w:ascii="宋体" w:cs="宋体"/>
                <w:color w:val="auto"/>
                <w:szCs w:val="21"/>
                <w:highlight w:val="none"/>
              </w:rPr>
            </w:pPr>
          </w:p>
        </w:tc>
        <w:tc>
          <w:tcPr>
            <w:tcW w:w="1731" w:type="dxa"/>
          </w:tcPr>
          <w:p>
            <w:pPr>
              <w:spacing w:line="360" w:lineRule="exact"/>
              <w:rPr>
                <w:rFonts w:ascii="宋体" w:cs="宋体"/>
                <w:color w:val="auto"/>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1" w:hRule="atLeast"/>
        </w:trPr>
        <w:tc>
          <w:tcPr>
            <w:tcW w:w="2137" w:type="dxa"/>
          </w:tcPr>
          <w:p>
            <w:pPr>
              <w:spacing w:line="360" w:lineRule="exact"/>
              <w:rPr>
                <w:rFonts w:ascii="宋体" w:cs="宋体"/>
                <w:color w:val="auto"/>
                <w:szCs w:val="21"/>
                <w:highlight w:val="none"/>
              </w:rPr>
            </w:pPr>
          </w:p>
        </w:tc>
        <w:tc>
          <w:tcPr>
            <w:tcW w:w="1708" w:type="dxa"/>
          </w:tcPr>
          <w:p>
            <w:pPr>
              <w:spacing w:line="360" w:lineRule="exact"/>
              <w:rPr>
                <w:rFonts w:ascii="宋体" w:cs="宋体"/>
                <w:color w:val="auto"/>
                <w:szCs w:val="21"/>
                <w:highlight w:val="none"/>
              </w:rPr>
            </w:pPr>
          </w:p>
        </w:tc>
        <w:tc>
          <w:tcPr>
            <w:tcW w:w="3204" w:type="dxa"/>
          </w:tcPr>
          <w:p>
            <w:pPr>
              <w:spacing w:line="360" w:lineRule="exact"/>
              <w:rPr>
                <w:rFonts w:ascii="宋体" w:cs="宋体"/>
                <w:color w:val="auto"/>
                <w:szCs w:val="21"/>
                <w:highlight w:val="none"/>
              </w:rPr>
            </w:pPr>
          </w:p>
        </w:tc>
        <w:tc>
          <w:tcPr>
            <w:tcW w:w="1731" w:type="dxa"/>
          </w:tcPr>
          <w:p>
            <w:pPr>
              <w:spacing w:line="360" w:lineRule="exact"/>
              <w:rPr>
                <w:rFonts w:ascii="宋体" w:cs="宋体"/>
                <w:color w:val="auto"/>
                <w:szCs w:val="21"/>
                <w:highlight w:val="none"/>
              </w:rPr>
            </w:pPr>
          </w:p>
        </w:tc>
      </w:tr>
    </w:tbl>
    <w:p>
      <w:pPr>
        <w:ind w:left="721" w:hanging="718" w:hangingChars="342"/>
        <w:rPr>
          <w:rFonts w:ascii="宋体" w:hAnsi="宋体" w:cs="宋体"/>
          <w:color w:val="auto"/>
          <w:highlight w:val="none"/>
        </w:rPr>
      </w:pPr>
    </w:p>
    <w:p>
      <w:pPr>
        <w:pStyle w:val="17"/>
        <w:rPr>
          <w:rFonts w:hint="eastAsia" w:ascii="Times New Roman" w:hAnsi="Times New Roman"/>
          <w:color w:val="auto"/>
          <w:sz w:val="28"/>
          <w:szCs w:val="28"/>
          <w:highlight w:val="none"/>
        </w:rPr>
      </w:pPr>
    </w:p>
    <w:p>
      <w:pPr>
        <w:pStyle w:val="17"/>
        <w:rPr>
          <w:rFonts w:hint="eastAsia" w:ascii="Times New Roman" w:hAnsi="Times New Roman"/>
          <w:color w:val="auto"/>
          <w:sz w:val="28"/>
          <w:szCs w:val="28"/>
          <w:highlight w:val="none"/>
        </w:rPr>
      </w:pPr>
    </w:p>
    <w:p>
      <w:pPr>
        <w:pStyle w:val="17"/>
        <w:rPr>
          <w:rFonts w:hint="eastAsia" w:ascii="Times New Roman" w:hAnsi="Times New Roman"/>
          <w:color w:val="auto"/>
          <w:sz w:val="28"/>
          <w:szCs w:val="28"/>
          <w:highlight w:val="none"/>
        </w:rPr>
      </w:pPr>
    </w:p>
    <w:p>
      <w:pPr>
        <w:pStyle w:val="17"/>
        <w:rPr>
          <w:rFonts w:hint="eastAsia" w:ascii="Times New Roman" w:hAnsi="Times New Roman"/>
          <w:color w:val="auto"/>
          <w:sz w:val="28"/>
          <w:szCs w:val="28"/>
          <w:highlight w:val="none"/>
        </w:rPr>
      </w:pPr>
    </w:p>
    <w:p>
      <w:pPr>
        <w:pStyle w:val="17"/>
        <w:rPr>
          <w:rFonts w:hint="eastAsia" w:ascii="Times New Roman" w:hAnsi="Times New Roman"/>
          <w:color w:val="auto"/>
          <w:sz w:val="28"/>
          <w:szCs w:val="28"/>
          <w:highlight w:val="none"/>
        </w:rPr>
      </w:pPr>
    </w:p>
    <w:p>
      <w:pPr>
        <w:pStyle w:val="17"/>
        <w:rPr>
          <w:rFonts w:hint="eastAsia" w:ascii="Times New Roman" w:hAnsi="Times New Roman"/>
          <w:color w:val="auto"/>
          <w:sz w:val="28"/>
          <w:szCs w:val="28"/>
          <w:highlight w:val="none"/>
        </w:rPr>
      </w:pPr>
    </w:p>
    <w:p>
      <w:pPr>
        <w:pStyle w:val="17"/>
        <w:rPr>
          <w:rFonts w:hint="eastAsia" w:ascii="Times New Roman" w:hAnsi="Times New Roman"/>
          <w:color w:val="auto"/>
          <w:sz w:val="28"/>
          <w:szCs w:val="28"/>
          <w:highlight w:val="none"/>
        </w:rPr>
      </w:pPr>
    </w:p>
    <w:p>
      <w:pPr>
        <w:pStyle w:val="17"/>
        <w:rPr>
          <w:rFonts w:hint="eastAsia" w:ascii="Times New Roman" w:hAnsi="Times New Roman"/>
          <w:color w:val="auto"/>
          <w:sz w:val="28"/>
          <w:szCs w:val="28"/>
          <w:highlight w:val="none"/>
        </w:rPr>
      </w:pPr>
    </w:p>
    <w:p>
      <w:pPr>
        <w:pStyle w:val="17"/>
        <w:rPr>
          <w:rFonts w:hint="eastAsia" w:ascii="Times New Roman" w:hAnsi="Times New Roman"/>
          <w:color w:val="auto"/>
          <w:sz w:val="28"/>
          <w:szCs w:val="28"/>
          <w:highlight w:val="none"/>
        </w:rPr>
      </w:pPr>
    </w:p>
    <w:p>
      <w:pPr>
        <w:pStyle w:val="17"/>
        <w:rPr>
          <w:rFonts w:ascii="宋体" w:hAnsi="宋体" w:cs="宋体"/>
          <w:color w:val="auto"/>
          <w:highlight w:val="none"/>
        </w:rPr>
      </w:pPr>
      <w:bookmarkStart w:id="137" w:name="_Toc22612"/>
      <w:r>
        <w:rPr>
          <w:rFonts w:hint="eastAsia" w:ascii="Times New Roman" w:hAnsi="Times New Roman"/>
          <w:color w:val="auto"/>
          <w:sz w:val="28"/>
          <w:szCs w:val="28"/>
          <w:highlight w:val="none"/>
          <w:lang w:eastAsia="zh-CN"/>
        </w:rPr>
        <w:t>八</w:t>
      </w:r>
      <w:r>
        <w:rPr>
          <w:rFonts w:ascii="Times New Roman" w:hAnsi="Times New Roman"/>
          <w:color w:val="auto"/>
          <w:sz w:val="28"/>
          <w:szCs w:val="28"/>
          <w:highlight w:val="none"/>
        </w:rPr>
        <w:t>．</w:t>
      </w:r>
      <w:bookmarkEnd w:id="123"/>
      <w:r>
        <w:rPr>
          <w:rFonts w:hint="eastAsia" w:ascii="宋体" w:hAnsi="宋体" w:cs="宋体"/>
          <w:color w:val="auto"/>
          <w:highlight w:val="none"/>
        </w:rPr>
        <w:t>服务承诺及优惠条件</w:t>
      </w:r>
      <w:bookmarkEnd w:id="137"/>
    </w:p>
    <w:p>
      <w:pPr>
        <w:spacing w:line="360" w:lineRule="exact"/>
        <w:outlineLvl w:val="1"/>
        <w:rPr>
          <w:rFonts w:ascii="宋体" w:cs="宋体"/>
          <w:color w:val="auto"/>
          <w:szCs w:val="21"/>
          <w:highlight w:val="none"/>
        </w:rPr>
      </w:pPr>
    </w:p>
    <w:p>
      <w:pPr>
        <w:tabs>
          <w:tab w:val="right" w:leader="dot" w:pos="8505"/>
        </w:tabs>
        <w:spacing w:line="360" w:lineRule="auto"/>
        <w:ind w:firstLine="480" w:firstLineChars="200"/>
        <w:rPr>
          <w:rFonts w:ascii="宋体" w:cs="宋体"/>
          <w:color w:val="auto"/>
          <w:sz w:val="24"/>
          <w:highlight w:val="none"/>
        </w:rPr>
      </w:pPr>
    </w:p>
    <w:p>
      <w:pPr>
        <w:pStyle w:val="30"/>
        <w:rPr>
          <w:rFonts w:ascii="宋体" w:cs="宋体"/>
          <w:color w:val="auto"/>
          <w:sz w:val="24"/>
          <w:highlight w:val="none"/>
        </w:rPr>
      </w:pPr>
    </w:p>
    <w:p>
      <w:pPr>
        <w:spacing w:line="600" w:lineRule="exact"/>
        <w:rPr>
          <w:rFonts w:hint="eastAsia" w:ascii="宋体" w:hAnsi="宋体" w:cs="宋体"/>
          <w:color w:val="auto"/>
          <w:szCs w:val="21"/>
          <w:highlight w:val="none"/>
        </w:rPr>
      </w:pPr>
      <w:r>
        <w:rPr>
          <w:rFonts w:hint="eastAsia" w:ascii="宋体" w:hAnsi="宋体" w:cs="宋体"/>
          <w:color w:val="auto"/>
          <w:szCs w:val="21"/>
          <w:highlight w:val="none"/>
          <w:lang w:eastAsia="zh-CN"/>
        </w:rPr>
        <w:t>供应商</w:t>
      </w:r>
      <w:r>
        <w:rPr>
          <w:rFonts w:hint="eastAsia" w:ascii="宋体" w:hAnsi="宋体" w:cs="宋体"/>
          <w:color w:val="auto"/>
          <w:szCs w:val="21"/>
          <w:highlight w:val="none"/>
        </w:rPr>
        <w:t>必须提供但不限于提供以下内容：</w:t>
      </w:r>
    </w:p>
    <w:p>
      <w:pPr>
        <w:spacing w:line="60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1、详细说明售后服务的内容、形式、含免费维修时间、解决质量或操作问题的响应时间、解决问题实际、维修单位名称、地点。</w:t>
      </w:r>
    </w:p>
    <w:p>
      <w:pPr>
        <w:spacing w:line="600" w:lineRule="exact"/>
        <w:ind w:firstLine="315" w:firstLineChars="150"/>
        <w:rPr>
          <w:rFonts w:hint="eastAsia" w:ascii="宋体" w:hAnsi="宋体" w:cs="宋体"/>
          <w:color w:val="auto"/>
          <w:szCs w:val="21"/>
          <w:highlight w:val="none"/>
        </w:rPr>
      </w:pPr>
      <w:r>
        <w:rPr>
          <w:rFonts w:hint="eastAsia" w:ascii="宋体" w:hAnsi="宋体" w:cs="宋体"/>
          <w:color w:val="auto"/>
          <w:szCs w:val="21"/>
          <w:highlight w:val="none"/>
        </w:rPr>
        <w:t>2、该项目所提供的其他免费物品或服务。</w:t>
      </w:r>
    </w:p>
    <w:p>
      <w:pPr>
        <w:pStyle w:val="29"/>
        <w:rPr>
          <w:rFonts w:ascii="宋体" w:cs="宋体"/>
          <w:color w:val="auto"/>
          <w:sz w:val="24"/>
          <w:highlight w:val="none"/>
        </w:rPr>
      </w:pPr>
    </w:p>
    <w:p>
      <w:pPr>
        <w:pStyle w:val="8"/>
        <w:rPr>
          <w:rFonts w:ascii="宋体" w:cs="宋体"/>
          <w:color w:val="auto"/>
          <w:sz w:val="24"/>
          <w:highlight w:val="none"/>
        </w:rPr>
      </w:pPr>
    </w:p>
    <w:p>
      <w:pPr>
        <w:pStyle w:val="30"/>
        <w:rPr>
          <w:rFonts w:ascii="宋体" w:cs="宋体"/>
          <w:color w:val="auto"/>
          <w:sz w:val="24"/>
          <w:highlight w:val="none"/>
        </w:rPr>
      </w:pPr>
    </w:p>
    <w:p>
      <w:pPr>
        <w:pStyle w:val="29"/>
        <w:rPr>
          <w:rFonts w:ascii="宋体" w:cs="宋体"/>
          <w:color w:val="auto"/>
          <w:sz w:val="24"/>
          <w:highlight w:val="none"/>
        </w:rPr>
      </w:pPr>
    </w:p>
    <w:p>
      <w:pPr>
        <w:pStyle w:val="8"/>
        <w:rPr>
          <w:rFonts w:ascii="宋体" w:cs="宋体"/>
          <w:color w:val="auto"/>
          <w:sz w:val="24"/>
          <w:highlight w:val="none"/>
        </w:rPr>
      </w:pPr>
    </w:p>
    <w:p>
      <w:pPr>
        <w:pStyle w:val="30"/>
        <w:rPr>
          <w:rFonts w:ascii="宋体" w:cs="宋体"/>
          <w:color w:val="auto"/>
          <w:sz w:val="24"/>
          <w:highlight w:val="none"/>
        </w:rPr>
      </w:pPr>
    </w:p>
    <w:p>
      <w:pPr>
        <w:pStyle w:val="29"/>
        <w:rPr>
          <w:rFonts w:ascii="宋体" w:cs="宋体"/>
          <w:color w:val="auto"/>
          <w:sz w:val="24"/>
          <w:highlight w:val="none"/>
        </w:rPr>
      </w:pPr>
    </w:p>
    <w:p>
      <w:pPr>
        <w:pStyle w:val="8"/>
        <w:rPr>
          <w:rFonts w:ascii="宋体" w:cs="宋体"/>
          <w:color w:val="auto"/>
          <w:sz w:val="24"/>
          <w:highlight w:val="none"/>
        </w:rPr>
      </w:pPr>
    </w:p>
    <w:p>
      <w:pPr>
        <w:pStyle w:val="30"/>
        <w:rPr>
          <w:rFonts w:ascii="宋体" w:cs="宋体"/>
          <w:color w:val="auto"/>
          <w:sz w:val="24"/>
          <w:highlight w:val="none"/>
        </w:rPr>
      </w:pPr>
    </w:p>
    <w:p>
      <w:pPr>
        <w:pStyle w:val="29"/>
        <w:rPr>
          <w:rFonts w:ascii="宋体" w:cs="宋体"/>
          <w:color w:val="auto"/>
          <w:sz w:val="24"/>
          <w:highlight w:val="none"/>
        </w:rPr>
      </w:pPr>
    </w:p>
    <w:p>
      <w:pPr>
        <w:pStyle w:val="8"/>
        <w:rPr>
          <w:rFonts w:ascii="宋体" w:cs="宋体"/>
          <w:color w:val="auto"/>
          <w:sz w:val="24"/>
          <w:highlight w:val="none"/>
        </w:rPr>
      </w:pPr>
    </w:p>
    <w:p>
      <w:pPr>
        <w:pStyle w:val="30"/>
        <w:rPr>
          <w:rFonts w:ascii="宋体" w:cs="宋体"/>
          <w:color w:val="auto"/>
          <w:sz w:val="24"/>
          <w:highlight w:val="none"/>
        </w:rPr>
      </w:pPr>
    </w:p>
    <w:p>
      <w:pPr>
        <w:pStyle w:val="29"/>
        <w:rPr>
          <w:rFonts w:ascii="宋体" w:cs="宋体"/>
          <w:color w:val="auto"/>
          <w:sz w:val="24"/>
          <w:highlight w:val="none"/>
        </w:rPr>
      </w:pPr>
    </w:p>
    <w:p>
      <w:pPr>
        <w:pStyle w:val="8"/>
        <w:rPr>
          <w:rFonts w:ascii="宋体" w:cs="宋体"/>
          <w:color w:val="auto"/>
          <w:sz w:val="24"/>
          <w:highlight w:val="none"/>
        </w:rPr>
      </w:pPr>
    </w:p>
    <w:p>
      <w:pPr>
        <w:pStyle w:val="30"/>
        <w:rPr>
          <w:rFonts w:ascii="宋体" w:cs="宋体"/>
          <w:color w:val="auto"/>
          <w:sz w:val="24"/>
          <w:highlight w:val="none"/>
        </w:rPr>
      </w:pPr>
    </w:p>
    <w:p>
      <w:pPr>
        <w:pStyle w:val="29"/>
        <w:rPr>
          <w:rFonts w:ascii="宋体" w:cs="宋体"/>
          <w:color w:val="auto"/>
          <w:sz w:val="24"/>
          <w:highlight w:val="none"/>
        </w:rPr>
      </w:pPr>
    </w:p>
    <w:p>
      <w:pPr>
        <w:pStyle w:val="8"/>
        <w:rPr>
          <w:rFonts w:ascii="宋体" w:cs="宋体"/>
          <w:color w:val="auto"/>
          <w:sz w:val="24"/>
          <w:highlight w:val="none"/>
        </w:rPr>
      </w:pPr>
    </w:p>
    <w:p>
      <w:pPr>
        <w:pStyle w:val="30"/>
        <w:rPr>
          <w:rFonts w:ascii="宋体" w:cs="宋体"/>
          <w:color w:val="auto"/>
          <w:sz w:val="24"/>
          <w:highlight w:val="none"/>
        </w:rPr>
      </w:pPr>
    </w:p>
    <w:p>
      <w:pPr>
        <w:pStyle w:val="29"/>
        <w:rPr>
          <w:rFonts w:ascii="宋体" w:cs="宋体"/>
          <w:color w:val="auto"/>
          <w:sz w:val="24"/>
          <w:highlight w:val="none"/>
        </w:rPr>
      </w:pPr>
    </w:p>
    <w:p>
      <w:pPr>
        <w:pStyle w:val="8"/>
        <w:rPr>
          <w:color w:val="auto"/>
          <w:highlight w:val="none"/>
        </w:rPr>
      </w:pPr>
    </w:p>
    <w:p>
      <w:pPr>
        <w:spacing w:line="360" w:lineRule="exact"/>
        <w:outlineLvl w:val="1"/>
        <w:rPr>
          <w:rFonts w:ascii="宋体" w:cs="宋体"/>
          <w:color w:val="auto"/>
          <w:szCs w:val="21"/>
          <w:highlight w:val="none"/>
        </w:rPr>
      </w:pPr>
    </w:p>
    <w:p>
      <w:pPr>
        <w:spacing w:line="360" w:lineRule="exact"/>
        <w:outlineLvl w:val="1"/>
        <w:rPr>
          <w:rFonts w:ascii="宋体" w:cs="宋体"/>
          <w:color w:val="auto"/>
          <w:szCs w:val="21"/>
          <w:highlight w:val="none"/>
        </w:rPr>
      </w:pPr>
    </w:p>
    <w:p>
      <w:pPr>
        <w:spacing w:line="360" w:lineRule="exact"/>
        <w:outlineLvl w:val="1"/>
        <w:rPr>
          <w:rFonts w:ascii="宋体" w:cs="宋体"/>
          <w:color w:val="auto"/>
          <w:szCs w:val="21"/>
          <w:highlight w:val="none"/>
        </w:rPr>
      </w:pPr>
    </w:p>
    <w:p>
      <w:pPr>
        <w:pStyle w:val="17"/>
        <w:jc w:val="left"/>
        <w:rPr>
          <w:rFonts w:ascii="宋体" w:cs="宋体"/>
          <w:color w:val="auto"/>
          <w:highlight w:val="none"/>
        </w:rPr>
      </w:pPr>
      <w:bookmarkStart w:id="138" w:name="_Toc26740"/>
      <w:r>
        <w:rPr>
          <w:rFonts w:ascii="宋体" w:hAnsi="宋体" w:cs="宋体"/>
          <w:color w:val="auto"/>
          <w:highlight w:val="none"/>
        </w:rPr>
        <w:t xml:space="preserve">              </w:t>
      </w:r>
    </w:p>
    <w:p>
      <w:pPr>
        <w:pStyle w:val="17"/>
        <w:rPr>
          <w:rFonts w:ascii="宋体" w:cs="宋体"/>
          <w:color w:val="auto"/>
          <w:highlight w:val="none"/>
        </w:rPr>
      </w:pPr>
      <w:bookmarkStart w:id="139" w:name="_Toc8506"/>
      <w:r>
        <w:rPr>
          <w:rFonts w:hint="eastAsia" w:ascii="宋体" w:hAnsi="宋体" w:cs="宋体"/>
          <w:color w:val="auto"/>
          <w:highlight w:val="none"/>
          <w:lang w:eastAsia="zh-CN"/>
        </w:rPr>
        <w:t>九</w:t>
      </w:r>
      <w:r>
        <w:rPr>
          <w:rFonts w:hint="eastAsia" w:ascii="宋体" w:hAnsi="宋体" w:cs="宋体"/>
          <w:color w:val="auto"/>
          <w:highlight w:val="none"/>
        </w:rPr>
        <w:t>、</w:t>
      </w:r>
      <w:bookmarkEnd w:id="138"/>
      <w:r>
        <w:rPr>
          <w:rFonts w:hint="eastAsia" w:ascii="宋体" w:hAnsi="宋体" w:cs="宋体"/>
          <w:color w:val="auto"/>
          <w:highlight w:val="none"/>
          <w:lang w:val="en-US" w:eastAsia="zh-CN"/>
        </w:rPr>
        <w:t>设备</w:t>
      </w:r>
      <w:r>
        <w:rPr>
          <w:rFonts w:hint="eastAsia" w:ascii="宋体" w:hAnsi="宋体" w:cs="宋体"/>
          <w:color w:val="auto"/>
          <w:highlight w:val="none"/>
        </w:rPr>
        <w:t>联网承诺函</w:t>
      </w:r>
      <w:bookmarkEnd w:id="139"/>
    </w:p>
    <w:p>
      <w:pPr>
        <w:pStyle w:val="8"/>
        <w:ind w:firstLine="420" w:firstLineChars="200"/>
        <w:rPr>
          <w:rFonts w:ascii="宋体" w:hAnsi="宋体" w:eastAsia="宋体"/>
          <w:b/>
          <w:color w:val="auto"/>
          <w:sz w:val="28"/>
          <w:szCs w:val="28"/>
          <w:highlight w:val="none"/>
        </w:rPr>
      </w:pPr>
      <w:r>
        <w:rPr>
          <w:rFonts w:hint="eastAsia" w:ascii="宋体" w:hAnsi="宋体" w:eastAsia="宋体" w:cs="宋体"/>
          <w:color w:val="auto"/>
          <w:sz w:val="21"/>
          <w:szCs w:val="20"/>
          <w:highlight w:val="none"/>
          <w:lang w:val="en-US" w:eastAsia="zh-CN"/>
        </w:rPr>
        <w:t>供应商</w:t>
      </w:r>
      <w:r>
        <w:rPr>
          <w:rFonts w:hint="eastAsia" w:ascii="宋体" w:hAnsi="宋体" w:eastAsia="宋体" w:cs="宋体"/>
          <w:color w:val="auto"/>
          <w:sz w:val="21"/>
          <w:szCs w:val="20"/>
          <w:highlight w:val="none"/>
        </w:rPr>
        <w:t>需提供与</w:t>
      </w:r>
      <w:r>
        <w:rPr>
          <w:rFonts w:hint="eastAsia" w:ascii="宋体" w:hAnsi="宋体" w:eastAsia="宋体" w:cs="宋体"/>
          <w:color w:val="auto"/>
          <w:sz w:val="21"/>
          <w:szCs w:val="20"/>
          <w:highlight w:val="none"/>
          <w:lang w:val="en-US" w:eastAsia="zh-CN"/>
        </w:rPr>
        <w:t>河南省司法厅、</w:t>
      </w:r>
      <w:r>
        <w:rPr>
          <w:rFonts w:hint="eastAsia" w:ascii="宋体" w:hAnsi="宋体" w:eastAsia="宋体" w:cs="宋体"/>
          <w:color w:val="auto"/>
          <w:sz w:val="21"/>
          <w:szCs w:val="20"/>
          <w:highlight w:val="none"/>
        </w:rPr>
        <w:t>焦作市</w:t>
      </w:r>
      <w:r>
        <w:rPr>
          <w:rFonts w:hint="eastAsia" w:ascii="宋体" w:hAnsi="宋体" w:eastAsia="宋体" w:cs="宋体"/>
          <w:color w:val="auto"/>
          <w:sz w:val="21"/>
          <w:szCs w:val="20"/>
          <w:highlight w:val="none"/>
          <w:lang w:val="en-US" w:eastAsia="zh-CN"/>
        </w:rPr>
        <w:t>司法局</w:t>
      </w:r>
      <w:r>
        <w:rPr>
          <w:rFonts w:hint="eastAsia" w:ascii="宋体" w:hAnsi="宋体" w:eastAsia="宋体" w:cs="宋体"/>
          <w:color w:val="auto"/>
          <w:sz w:val="21"/>
          <w:szCs w:val="20"/>
          <w:highlight w:val="none"/>
        </w:rPr>
        <w:t>及温县</w:t>
      </w:r>
      <w:r>
        <w:rPr>
          <w:rFonts w:hint="eastAsia" w:ascii="宋体" w:hAnsi="宋体" w:eastAsia="宋体" w:cs="宋体"/>
          <w:color w:val="auto"/>
          <w:sz w:val="21"/>
          <w:szCs w:val="20"/>
          <w:highlight w:val="none"/>
          <w:lang w:val="en-US" w:eastAsia="zh-CN"/>
        </w:rPr>
        <w:t>司法</w:t>
      </w:r>
      <w:r>
        <w:rPr>
          <w:rFonts w:hint="eastAsia" w:ascii="宋体" w:hAnsi="宋体" w:eastAsia="宋体" w:cs="宋体"/>
          <w:color w:val="auto"/>
          <w:sz w:val="21"/>
          <w:szCs w:val="20"/>
          <w:highlight w:val="none"/>
          <w:lang w:eastAsia="zh-CN"/>
        </w:rPr>
        <w:t>局</w:t>
      </w:r>
      <w:r>
        <w:rPr>
          <w:rFonts w:hint="eastAsia" w:ascii="宋体" w:hAnsi="宋体" w:cs="宋体"/>
          <w:color w:val="auto"/>
          <w:sz w:val="21"/>
          <w:szCs w:val="20"/>
          <w:highlight w:val="none"/>
          <w:lang w:val="en-US" w:eastAsia="zh-CN"/>
        </w:rPr>
        <w:t>设备</w:t>
      </w:r>
      <w:r>
        <w:rPr>
          <w:rFonts w:hint="eastAsia" w:ascii="宋体" w:hAnsi="宋体" w:eastAsia="宋体" w:cs="宋体"/>
          <w:color w:val="auto"/>
          <w:sz w:val="21"/>
          <w:szCs w:val="20"/>
          <w:highlight w:val="none"/>
        </w:rPr>
        <w:t>联网承诺函，保证</w:t>
      </w:r>
      <w:r>
        <w:rPr>
          <w:rFonts w:hint="eastAsia" w:ascii="宋体" w:hAnsi="宋体" w:eastAsia="宋体" w:cs="宋体"/>
          <w:color w:val="auto"/>
          <w:sz w:val="21"/>
          <w:szCs w:val="20"/>
          <w:highlight w:val="none"/>
          <w:lang w:val="en-US" w:eastAsia="zh-CN"/>
        </w:rPr>
        <w:t>三方</w:t>
      </w:r>
      <w:r>
        <w:rPr>
          <w:rFonts w:hint="eastAsia" w:ascii="宋体" w:hAnsi="宋体" w:eastAsia="宋体" w:cs="宋体"/>
          <w:color w:val="auto"/>
          <w:sz w:val="21"/>
          <w:szCs w:val="20"/>
          <w:highlight w:val="none"/>
        </w:rPr>
        <w:t>互联互通，无缝兼容，如存在承诺不实，承担相应</w:t>
      </w:r>
      <w:r>
        <w:rPr>
          <w:rFonts w:hint="eastAsia" w:ascii="宋体" w:hAnsi="宋体" w:cs="宋体"/>
          <w:color w:val="auto"/>
          <w:sz w:val="21"/>
          <w:szCs w:val="20"/>
          <w:highlight w:val="none"/>
          <w:lang w:eastAsia="zh-CN"/>
        </w:rPr>
        <w:t>法律</w:t>
      </w:r>
      <w:r>
        <w:rPr>
          <w:rFonts w:hint="eastAsia" w:ascii="宋体" w:hAnsi="宋体" w:eastAsia="宋体" w:cs="宋体"/>
          <w:color w:val="auto"/>
          <w:sz w:val="21"/>
          <w:szCs w:val="20"/>
          <w:highlight w:val="none"/>
        </w:rPr>
        <w:t>责任</w:t>
      </w:r>
      <w:r>
        <w:rPr>
          <w:rFonts w:hint="eastAsia" w:ascii="宋体" w:hAnsi="宋体" w:cs="宋体"/>
          <w:color w:val="auto"/>
          <w:sz w:val="21"/>
          <w:szCs w:val="20"/>
          <w:highlight w:val="none"/>
          <w:lang w:eastAsia="zh-CN"/>
        </w:rPr>
        <w:t>，并自动放弃中标资格</w:t>
      </w:r>
      <w:r>
        <w:rPr>
          <w:rFonts w:hint="eastAsia" w:ascii="宋体" w:hAnsi="宋体" w:eastAsia="宋体" w:cs="宋体"/>
          <w:color w:val="auto"/>
          <w:sz w:val="21"/>
          <w:szCs w:val="20"/>
          <w:highlight w:val="none"/>
        </w:rPr>
        <w:t>。</w:t>
      </w:r>
    </w:p>
    <w:p>
      <w:pPr>
        <w:rPr>
          <w:color w:val="auto"/>
          <w:highlight w:val="none"/>
        </w:rPr>
      </w:pPr>
    </w:p>
    <w:p>
      <w:pPr>
        <w:spacing w:line="600" w:lineRule="exact"/>
        <w:ind w:firstLine="420" w:firstLineChars="200"/>
        <w:rPr>
          <w:rFonts w:ascii="宋体" w:cs="宋体"/>
          <w:color w:val="auto"/>
          <w:szCs w:val="21"/>
          <w:highlight w:val="none"/>
        </w:rPr>
      </w:pPr>
    </w:p>
    <w:p>
      <w:pPr>
        <w:spacing w:line="600" w:lineRule="exact"/>
        <w:ind w:firstLine="420" w:firstLineChars="200"/>
        <w:rPr>
          <w:rFonts w:ascii="宋体" w:cs="宋体"/>
          <w:color w:val="auto"/>
          <w:szCs w:val="21"/>
          <w:highlight w:val="none"/>
        </w:rPr>
      </w:pPr>
    </w:p>
    <w:p>
      <w:pPr>
        <w:spacing w:line="600" w:lineRule="exact"/>
        <w:ind w:firstLine="3780" w:firstLineChars="1800"/>
        <w:rPr>
          <w:rFonts w:ascii="宋体" w:cs="宋体"/>
          <w:color w:val="auto"/>
          <w:szCs w:val="21"/>
          <w:highlight w:val="none"/>
        </w:rPr>
      </w:pPr>
      <w:r>
        <w:rPr>
          <w:rFonts w:hint="eastAsia" w:ascii="宋体" w:hAnsi="宋体" w:cs="宋体"/>
          <w:color w:val="auto"/>
          <w:szCs w:val="21"/>
          <w:highlight w:val="none"/>
        </w:rPr>
        <w:t>供应商（公章）</w:t>
      </w:r>
      <w:r>
        <w:rPr>
          <w:rFonts w:hint="eastAsia" w:ascii="宋体" w:hAnsi="宋体" w:cs="宋体"/>
          <w:color w:val="auto"/>
          <w:szCs w:val="21"/>
          <w:highlight w:val="none"/>
          <w:lang w:eastAsia="zh-CN"/>
        </w:rPr>
        <w:t>：</w:t>
      </w:r>
      <w:r>
        <w:rPr>
          <w:rFonts w:ascii="宋体" w:hAnsi="宋体" w:cs="宋体"/>
          <w:color w:val="auto"/>
          <w:szCs w:val="21"/>
          <w:highlight w:val="none"/>
        </w:rPr>
        <w:t xml:space="preserve">                                      </w:t>
      </w:r>
    </w:p>
    <w:p>
      <w:pPr>
        <w:spacing w:line="600" w:lineRule="exact"/>
        <w:ind w:left="4305" w:hanging="4305" w:hangingChars="2050"/>
        <w:rPr>
          <w:rFonts w:ascii="宋体" w:cs="宋体"/>
          <w:color w:val="auto"/>
          <w:szCs w:val="21"/>
          <w:highlight w:val="none"/>
        </w:rPr>
      </w:pPr>
    </w:p>
    <w:p>
      <w:pPr>
        <w:spacing w:line="600" w:lineRule="exact"/>
        <w:rPr>
          <w:rFonts w:ascii="宋体" w:cs="宋体"/>
          <w:color w:val="auto"/>
          <w:szCs w:val="21"/>
          <w:highlight w:val="none"/>
        </w:rPr>
      </w:pPr>
      <w:r>
        <w:rPr>
          <w:rFonts w:ascii="宋体" w:hAnsi="宋体" w:cs="宋体"/>
          <w:color w:val="auto"/>
          <w:szCs w:val="21"/>
          <w:highlight w:val="none"/>
        </w:rPr>
        <w:t xml:space="preserve">                                                </w:t>
      </w:r>
      <w:r>
        <w:rPr>
          <w:rFonts w:hint="eastAsia" w:ascii="宋体" w:hAnsi="宋体" w:cs="宋体"/>
          <w:color w:val="auto"/>
          <w:szCs w:val="21"/>
          <w:highlight w:val="none"/>
        </w:rPr>
        <w:t>年</w:t>
      </w:r>
      <w:r>
        <w:rPr>
          <w:rFonts w:ascii="宋体" w:hAnsi="宋体" w:cs="宋体"/>
          <w:color w:val="auto"/>
          <w:szCs w:val="21"/>
          <w:highlight w:val="none"/>
        </w:rPr>
        <w:t xml:space="preserve">   </w:t>
      </w:r>
      <w:r>
        <w:rPr>
          <w:rFonts w:hint="eastAsia" w:ascii="宋体" w:hAnsi="宋体" w:cs="宋体"/>
          <w:color w:val="auto"/>
          <w:szCs w:val="21"/>
          <w:highlight w:val="none"/>
        </w:rPr>
        <w:t>月</w:t>
      </w:r>
      <w:r>
        <w:rPr>
          <w:rFonts w:ascii="宋体" w:hAnsi="宋体" w:cs="宋体"/>
          <w:color w:val="auto"/>
          <w:szCs w:val="21"/>
          <w:highlight w:val="none"/>
        </w:rPr>
        <w:t xml:space="preserve">  </w:t>
      </w:r>
      <w:r>
        <w:rPr>
          <w:rFonts w:hint="eastAsia" w:ascii="宋体" w:hAnsi="宋体" w:cs="宋体"/>
          <w:color w:val="auto"/>
          <w:szCs w:val="21"/>
          <w:highlight w:val="none"/>
        </w:rPr>
        <w:t>日</w:t>
      </w:r>
    </w:p>
    <w:p>
      <w:pPr>
        <w:spacing w:line="360" w:lineRule="exact"/>
        <w:rPr>
          <w:rFonts w:ascii="宋体" w:cs="宋体"/>
          <w:color w:val="auto"/>
          <w:szCs w:val="21"/>
          <w:highlight w:val="none"/>
        </w:rPr>
      </w:pPr>
    </w:p>
    <w:p>
      <w:pPr>
        <w:spacing w:line="360" w:lineRule="exact"/>
        <w:jc w:val="center"/>
        <w:rPr>
          <w:rFonts w:ascii="宋体" w:cs="宋体"/>
          <w:b/>
          <w:color w:val="auto"/>
          <w:szCs w:val="21"/>
          <w:highlight w:val="none"/>
        </w:rPr>
      </w:pPr>
    </w:p>
    <w:p>
      <w:pPr>
        <w:spacing w:line="360" w:lineRule="exact"/>
        <w:jc w:val="center"/>
        <w:rPr>
          <w:rFonts w:ascii="宋体" w:cs="宋体"/>
          <w:b/>
          <w:color w:val="auto"/>
          <w:szCs w:val="21"/>
          <w:highlight w:val="none"/>
        </w:rPr>
      </w:pPr>
    </w:p>
    <w:p>
      <w:pPr>
        <w:spacing w:line="360" w:lineRule="exact"/>
        <w:jc w:val="center"/>
        <w:rPr>
          <w:rFonts w:ascii="宋体" w:cs="宋体"/>
          <w:b/>
          <w:color w:val="auto"/>
          <w:szCs w:val="21"/>
          <w:highlight w:val="none"/>
        </w:rPr>
      </w:pPr>
    </w:p>
    <w:p>
      <w:pPr>
        <w:spacing w:line="360" w:lineRule="exact"/>
        <w:jc w:val="center"/>
        <w:rPr>
          <w:rFonts w:ascii="宋体" w:cs="宋体"/>
          <w:b/>
          <w:color w:val="auto"/>
          <w:szCs w:val="21"/>
          <w:highlight w:val="none"/>
        </w:rPr>
      </w:pPr>
    </w:p>
    <w:p>
      <w:pPr>
        <w:spacing w:line="360" w:lineRule="exact"/>
        <w:jc w:val="center"/>
        <w:rPr>
          <w:rFonts w:ascii="宋体" w:cs="宋体"/>
          <w:b/>
          <w:color w:val="auto"/>
          <w:szCs w:val="21"/>
          <w:highlight w:val="none"/>
        </w:rPr>
      </w:pPr>
    </w:p>
    <w:p>
      <w:pPr>
        <w:pStyle w:val="30"/>
        <w:rPr>
          <w:b/>
          <w:color w:val="auto"/>
          <w:szCs w:val="21"/>
          <w:highlight w:val="none"/>
        </w:rPr>
      </w:pPr>
    </w:p>
    <w:p>
      <w:pPr>
        <w:pStyle w:val="30"/>
        <w:rPr>
          <w:b/>
          <w:color w:val="auto"/>
          <w:szCs w:val="21"/>
          <w:highlight w:val="none"/>
        </w:rPr>
      </w:pPr>
    </w:p>
    <w:p>
      <w:pPr>
        <w:pStyle w:val="30"/>
        <w:rPr>
          <w:b/>
          <w:color w:val="auto"/>
          <w:szCs w:val="21"/>
          <w:highlight w:val="none"/>
        </w:rPr>
      </w:pPr>
    </w:p>
    <w:p>
      <w:pPr>
        <w:pStyle w:val="30"/>
        <w:rPr>
          <w:b/>
          <w:color w:val="auto"/>
          <w:szCs w:val="21"/>
          <w:highlight w:val="none"/>
        </w:rPr>
      </w:pPr>
    </w:p>
    <w:p>
      <w:pPr>
        <w:pStyle w:val="30"/>
        <w:rPr>
          <w:b/>
          <w:color w:val="auto"/>
          <w:szCs w:val="21"/>
          <w:highlight w:val="none"/>
        </w:rPr>
      </w:pPr>
    </w:p>
    <w:p>
      <w:pPr>
        <w:pStyle w:val="17"/>
        <w:rPr>
          <w:rFonts w:hint="eastAsia"/>
          <w:b/>
          <w:bCs/>
          <w:color w:val="auto"/>
          <w:sz w:val="32"/>
          <w:szCs w:val="32"/>
          <w:highlight w:val="none"/>
          <w:lang w:eastAsia="zh-CN"/>
        </w:rPr>
      </w:pPr>
      <w:bookmarkStart w:id="140" w:name="_Toc20189"/>
      <w:bookmarkStart w:id="141" w:name="_Toc1842"/>
      <w:bookmarkStart w:id="142" w:name="_Toc24035"/>
      <w:bookmarkStart w:id="143" w:name="OLE_LINK2"/>
    </w:p>
    <w:p>
      <w:pPr>
        <w:pStyle w:val="17"/>
        <w:rPr>
          <w:rFonts w:hint="eastAsia"/>
          <w:b/>
          <w:bCs/>
          <w:color w:val="auto"/>
          <w:sz w:val="32"/>
          <w:szCs w:val="32"/>
          <w:highlight w:val="none"/>
          <w:lang w:eastAsia="zh-CN"/>
        </w:rPr>
      </w:pPr>
    </w:p>
    <w:p>
      <w:pPr>
        <w:pStyle w:val="17"/>
        <w:rPr>
          <w:rFonts w:hint="eastAsia"/>
          <w:b/>
          <w:bCs/>
          <w:color w:val="auto"/>
          <w:sz w:val="32"/>
          <w:szCs w:val="32"/>
          <w:highlight w:val="none"/>
          <w:lang w:eastAsia="zh-CN"/>
        </w:rPr>
      </w:pPr>
    </w:p>
    <w:p>
      <w:pPr>
        <w:pStyle w:val="17"/>
        <w:rPr>
          <w:rFonts w:hint="eastAsia"/>
          <w:b/>
          <w:bCs/>
          <w:color w:val="auto"/>
          <w:sz w:val="32"/>
          <w:szCs w:val="32"/>
          <w:highlight w:val="none"/>
          <w:lang w:eastAsia="zh-CN"/>
        </w:rPr>
      </w:pPr>
    </w:p>
    <w:p>
      <w:pPr>
        <w:pStyle w:val="17"/>
        <w:rPr>
          <w:rFonts w:hint="eastAsia"/>
          <w:b/>
          <w:bCs/>
          <w:color w:val="auto"/>
          <w:sz w:val="32"/>
          <w:szCs w:val="32"/>
          <w:highlight w:val="none"/>
          <w:lang w:eastAsia="zh-CN"/>
        </w:rPr>
      </w:pPr>
    </w:p>
    <w:p>
      <w:pPr>
        <w:pStyle w:val="17"/>
        <w:outlineLvl w:val="1"/>
        <w:rPr>
          <w:b/>
          <w:bCs/>
          <w:color w:val="auto"/>
          <w:sz w:val="32"/>
          <w:szCs w:val="32"/>
          <w:highlight w:val="none"/>
        </w:rPr>
      </w:pPr>
      <w:bookmarkStart w:id="144" w:name="_Toc13896"/>
      <w:r>
        <w:rPr>
          <w:rFonts w:hint="eastAsia"/>
          <w:b/>
          <w:bCs/>
          <w:color w:val="auto"/>
          <w:sz w:val="32"/>
          <w:szCs w:val="32"/>
          <w:highlight w:val="none"/>
          <w:lang w:eastAsia="zh-CN"/>
        </w:rPr>
        <w:t>十</w:t>
      </w:r>
      <w:r>
        <w:rPr>
          <w:rFonts w:hint="default"/>
          <w:b/>
          <w:bCs/>
          <w:color w:val="auto"/>
          <w:sz w:val="32"/>
          <w:szCs w:val="32"/>
          <w:highlight w:val="none"/>
          <w:lang w:val="en-US" w:eastAsia="zh-CN"/>
        </w:rPr>
        <w:t xml:space="preserve"> </w:t>
      </w:r>
      <w:r>
        <w:rPr>
          <w:rFonts w:hint="eastAsia"/>
          <w:b/>
          <w:bCs/>
          <w:color w:val="auto"/>
          <w:sz w:val="32"/>
          <w:szCs w:val="32"/>
          <w:highlight w:val="none"/>
          <w:lang w:eastAsia="zh-CN"/>
        </w:rPr>
        <w:t>、</w:t>
      </w:r>
      <w:r>
        <w:rPr>
          <w:rFonts w:hint="eastAsia"/>
          <w:b/>
          <w:bCs/>
          <w:color w:val="auto"/>
          <w:sz w:val="32"/>
          <w:szCs w:val="32"/>
          <w:highlight w:val="none"/>
        </w:rPr>
        <w:t>资格审查文件</w:t>
      </w:r>
      <w:bookmarkEnd w:id="140"/>
      <w:bookmarkEnd w:id="144"/>
    </w:p>
    <w:p>
      <w:pPr>
        <w:numPr>
          <w:ilvl w:val="0"/>
          <w:numId w:val="18"/>
        </w:numPr>
        <w:spacing w:line="500" w:lineRule="exact"/>
        <w:ind w:firstLine="420" w:firstLineChars="200"/>
        <w:jc w:val="left"/>
        <w:rPr>
          <w:rFonts w:hint="eastAsia" w:ascii="宋体" w:hAnsi="宋体" w:cs="宋体"/>
          <w:color w:val="auto"/>
          <w:kern w:val="0"/>
          <w:szCs w:val="21"/>
          <w:highlight w:val="none"/>
          <w:lang w:eastAsia="zh-CN"/>
        </w:rPr>
      </w:pPr>
      <w:r>
        <w:rPr>
          <w:rFonts w:hint="eastAsia" w:ascii="宋体" w:hAnsi="宋体" w:cs="宋体"/>
          <w:color w:val="auto"/>
          <w:kern w:val="0"/>
          <w:szCs w:val="21"/>
          <w:highlight w:val="none"/>
          <w:lang w:eastAsia="zh-CN"/>
        </w:rPr>
        <w:t>有效的营业执照、温县政府采购供应商资格信用承诺函（格式附后）</w:t>
      </w:r>
    </w:p>
    <w:p>
      <w:pPr>
        <w:numPr>
          <w:ilvl w:val="0"/>
          <w:numId w:val="0"/>
        </w:numPr>
        <w:spacing w:line="500" w:lineRule="exact"/>
        <w:ind w:firstLine="420" w:firstLineChars="200"/>
        <w:jc w:val="left"/>
        <w:rPr>
          <w:rFonts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rPr>
        <w:t>2.投标人必须提供无行贿犯罪记录承诺书(</w:t>
      </w:r>
      <w:r>
        <w:rPr>
          <w:rFonts w:hint="eastAsia" w:ascii="宋体" w:hAnsi="宋体" w:cs="宋体"/>
          <w:color w:val="auto"/>
          <w:szCs w:val="21"/>
          <w:highlight w:val="none"/>
          <w:shd w:val="clear" w:color="auto" w:fill="FFFFFF"/>
          <w:lang w:val="en-US" w:eastAsia="zh-CN"/>
        </w:rPr>
        <w:t>并</w:t>
      </w:r>
      <w:r>
        <w:rPr>
          <w:rFonts w:hint="eastAsia" w:ascii="宋体" w:hAnsi="宋体" w:cs="宋体"/>
          <w:color w:val="auto"/>
          <w:szCs w:val="21"/>
          <w:highlight w:val="none"/>
          <w:shd w:val="clear" w:color="auto" w:fill="FFFFFF"/>
        </w:rPr>
        <w:t>出具由“中国裁判文书网”网站查询近三年来法人、法定代表人、</w:t>
      </w:r>
      <w:r>
        <w:rPr>
          <w:rFonts w:hint="eastAsia" w:ascii="宋体" w:hAnsi="宋体" w:cs="宋体"/>
          <w:color w:val="auto"/>
          <w:szCs w:val="21"/>
          <w:highlight w:val="none"/>
          <w:shd w:val="clear" w:color="auto" w:fill="FFFFFF"/>
          <w:lang w:eastAsia="zh-CN"/>
        </w:rPr>
        <w:t>法定代表人委托人无行贿犯罪记录网页截图加盖企业公章证明</w:t>
      </w:r>
      <w:r>
        <w:rPr>
          <w:rFonts w:hint="eastAsia" w:ascii="宋体" w:hAnsi="宋体" w:cs="宋体"/>
          <w:color w:val="auto"/>
          <w:szCs w:val="21"/>
          <w:highlight w:val="none"/>
          <w:shd w:val="clear" w:color="auto" w:fill="FFFFFF"/>
        </w:rPr>
        <w:t>)；若有行贿犯罪记录则取消其投标资格；</w:t>
      </w:r>
    </w:p>
    <w:p>
      <w:pPr>
        <w:numPr>
          <w:ilvl w:val="0"/>
          <w:numId w:val="0"/>
        </w:numPr>
        <w:spacing w:line="500" w:lineRule="exact"/>
        <w:ind w:firstLine="420" w:firstLineChars="200"/>
        <w:jc w:val="left"/>
        <w:rPr>
          <w:rFonts w:hint="eastAsia" w:ascii="宋体" w:hAnsi="宋体" w:cs="宋体"/>
          <w:color w:val="auto"/>
          <w:szCs w:val="21"/>
          <w:highlight w:val="none"/>
          <w:shd w:val="clear" w:color="auto" w:fill="FFFFFF"/>
        </w:rPr>
      </w:pPr>
      <w:r>
        <w:rPr>
          <w:rFonts w:hint="eastAsia" w:ascii="宋体" w:hAnsi="宋体" w:cs="宋体"/>
          <w:color w:val="auto"/>
          <w:szCs w:val="21"/>
          <w:highlight w:val="none"/>
          <w:shd w:val="clear" w:color="auto" w:fill="FFFFFF"/>
          <w:lang w:val="en-US" w:eastAsia="zh-CN"/>
        </w:rPr>
        <w:t>3</w:t>
      </w:r>
      <w:r>
        <w:rPr>
          <w:rFonts w:hint="eastAsia" w:ascii="宋体" w:hAnsi="宋体" w:cs="宋体"/>
          <w:color w:val="auto"/>
          <w:szCs w:val="21"/>
          <w:highlight w:val="none"/>
          <w:shd w:val="clear" w:color="auto" w:fill="FFFFFF"/>
        </w:rPr>
        <w:t>.根据《关于在政府采购活动中查询及使用信用记录有关问题的通知》(财库[2016]125号)的规定，采购代理机构将通过“信用中国”网（www.creditchina.gov.cn）、中国政府采购网（www.ccgp.gov.cn）等渠道在资格审查环节查询投标人信用记录，被列入失信被执行人、重大税收违法案件当事人名单、政府采购严重违法失信行为记录名单的单位将被拒绝参与本项目政府采购活动；信用信息查询记录和证据将同采购文件等资料一同归档保存。（</w:t>
      </w:r>
      <w:r>
        <w:rPr>
          <w:rFonts w:hint="eastAsia" w:ascii="宋体" w:hAnsi="宋体" w:cs="宋体"/>
          <w:color w:val="auto"/>
          <w:szCs w:val="21"/>
          <w:highlight w:val="none"/>
          <w:shd w:val="clear" w:color="auto" w:fill="FFFFFF"/>
          <w:lang w:eastAsia="zh-CN"/>
        </w:rPr>
        <w:t>投标单位需提供网站查询截图，加盖企业公章，查询时间为招标公告发布之后。</w:t>
      </w:r>
      <w:r>
        <w:rPr>
          <w:rFonts w:hint="eastAsia" w:ascii="宋体" w:hAnsi="宋体" w:cs="宋体"/>
          <w:color w:val="auto"/>
          <w:szCs w:val="21"/>
          <w:highlight w:val="none"/>
          <w:shd w:val="clear" w:color="auto" w:fill="FFFFFF"/>
        </w:rPr>
        <w:t>）；</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jc w:val="left"/>
        <w:textAlignment w:val="auto"/>
        <w:rPr>
          <w:rFonts w:hint="eastAsia" w:ascii="宋体" w:hAnsi="宋体" w:cs="宋体"/>
          <w:bCs/>
          <w:color w:val="auto"/>
          <w:szCs w:val="21"/>
          <w:highlight w:val="none"/>
          <w:lang w:val="en-US" w:eastAsia="zh-CN"/>
        </w:rPr>
      </w:pPr>
      <w:r>
        <w:rPr>
          <w:rFonts w:hint="eastAsia" w:ascii="宋体" w:hAnsi="宋体" w:cs="宋体"/>
          <w:bCs/>
          <w:color w:val="auto"/>
          <w:szCs w:val="21"/>
          <w:highlight w:val="none"/>
          <w:lang w:val="en-US" w:eastAsia="zh-CN"/>
        </w:rPr>
        <w:t>4.供应商须提交具备中国人民银行征信业务备案资质的第三方信用服务机构出具的有效期内信用报告；</w:t>
      </w:r>
    </w:p>
    <w:p>
      <w:pPr>
        <w:keepNext w:val="0"/>
        <w:keepLines w:val="0"/>
        <w:pageBreakBefore w:val="0"/>
        <w:widowControl w:val="0"/>
        <w:kinsoku/>
        <w:wordWrap/>
        <w:overflowPunct/>
        <w:topLinePunct w:val="0"/>
        <w:autoSpaceDE/>
        <w:autoSpaceDN/>
        <w:bidi w:val="0"/>
        <w:adjustRightInd/>
        <w:snapToGrid/>
        <w:spacing w:line="500" w:lineRule="exact"/>
        <w:ind w:left="0" w:leftChars="0" w:firstLine="420" w:firstLineChars="200"/>
        <w:jc w:val="left"/>
        <w:textAlignment w:val="auto"/>
        <w:rPr>
          <w:rFonts w:hint="eastAsia" w:ascii="宋体" w:hAnsi="宋体" w:cs="宋体"/>
          <w:bCs/>
          <w:color w:val="auto"/>
          <w:szCs w:val="21"/>
          <w:highlight w:val="none"/>
          <w:lang w:val="en-US" w:eastAsia="zh-CN"/>
        </w:rPr>
      </w:pPr>
      <w:r>
        <w:rPr>
          <w:rFonts w:hint="eastAsia" w:ascii="宋体" w:hAnsi="宋体" w:cs="宋体"/>
          <w:bCs/>
          <w:color w:val="auto"/>
          <w:szCs w:val="21"/>
          <w:highlight w:val="none"/>
          <w:lang w:val="en-US" w:eastAsia="zh-CN"/>
        </w:rPr>
        <w:t>5.供应商认为有必要提供的其他材料。</w:t>
      </w:r>
    </w:p>
    <w:p>
      <w:pPr>
        <w:spacing w:line="500" w:lineRule="exact"/>
        <w:ind w:left="420" w:leftChars="200"/>
        <w:rPr>
          <w:rFonts w:ascii="宋体" w:hAnsi="宋体" w:cs="宋体"/>
          <w:bCs/>
          <w:color w:val="auto"/>
          <w:szCs w:val="21"/>
          <w:highlight w:val="none"/>
        </w:rPr>
      </w:pP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outlineLvl w:val="9"/>
        <w:rPr>
          <w:rFonts w:hint="eastAsia" w:ascii="宋体" w:hAnsi="宋体" w:cs="宋体"/>
          <w:b/>
          <w:bCs/>
          <w:color w:val="auto"/>
          <w:szCs w:val="21"/>
          <w:highlight w:val="none"/>
          <w:lang w:val="en-US" w:eastAsia="zh-CN"/>
        </w:rPr>
      </w:pPr>
    </w:p>
    <w:p>
      <w:pPr>
        <w:bidi w:val="0"/>
        <w:rPr>
          <w:color w:val="auto"/>
          <w:highlight w:val="none"/>
        </w:rPr>
      </w:pPr>
    </w:p>
    <w:p>
      <w:pPr>
        <w:bidi w:val="0"/>
        <w:outlineLvl w:val="9"/>
        <w:rPr>
          <w:color w:val="auto"/>
          <w:highlight w:val="none"/>
        </w:rPr>
      </w:pPr>
    </w:p>
    <w:p>
      <w:pPr>
        <w:bidi w:val="0"/>
        <w:outlineLvl w:val="9"/>
        <w:rPr>
          <w:color w:val="auto"/>
          <w:highlight w:val="none"/>
        </w:rPr>
      </w:pPr>
    </w:p>
    <w:p>
      <w:pPr>
        <w:outlineLvl w:val="9"/>
        <w:rPr>
          <w:rFonts w:ascii="宋体" w:hAnsi="宋体" w:cs="宋体"/>
          <w:color w:val="auto"/>
          <w:highlight w:val="none"/>
        </w:rPr>
      </w:pPr>
    </w:p>
    <w:p>
      <w:pPr>
        <w:pStyle w:val="23"/>
        <w:outlineLvl w:val="9"/>
        <w:rPr>
          <w:rFonts w:ascii="宋体" w:hAnsi="宋体" w:cs="宋体"/>
          <w:color w:val="auto"/>
          <w:highlight w:val="none"/>
        </w:rPr>
      </w:pPr>
    </w:p>
    <w:p>
      <w:pPr>
        <w:pStyle w:val="24"/>
        <w:outlineLvl w:val="9"/>
        <w:rPr>
          <w:rFonts w:ascii="宋体" w:hAnsi="宋体" w:cs="宋体"/>
          <w:color w:val="auto"/>
          <w:highlight w:val="none"/>
        </w:rPr>
      </w:pPr>
    </w:p>
    <w:p>
      <w:pPr>
        <w:pStyle w:val="24"/>
        <w:outlineLvl w:val="9"/>
        <w:rPr>
          <w:rFonts w:ascii="宋体" w:hAnsi="宋体" w:cs="宋体"/>
          <w:color w:val="auto"/>
          <w:highlight w:val="none"/>
        </w:rPr>
      </w:pPr>
    </w:p>
    <w:p>
      <w:pPr>
        <w:pStyle w:val="24"/>
        <w:outlineLvl w:val="9"/>
        <w:rPr>
          <w:rFonts w:ascii="宋体" w:hAnsi="宋体" w:cs="宋体"/>
          <w:color w:val="auto"/>
          <w:highlight w:val="none"/>
        </w:rPr>
      </w:pPr>
    </w:p>
    <w:p>
      <w:pPr>
        <w:pStyle w:val="24"/>
        <w:outlineLvl w:val="9"/>
        <w:rPr>
          <w:rFonts w:ascii="宋体" w:hAnsi="宋体" w:cs="宋体"/>
          <w:color w:val="auto"/>
          <w:highlight w:val="none"/>
        </w:rPr>
      </w:pPr>
    </w:p>
    <w:p>
      <w:pPr>
        <w:pStyle w:val="24"/>
        <w:outlineLvl w:val="9"/>
        <w:rPr>
          <w:rFonts w:ascii="宋体" w:hAnsi="宋体" w:cs="宋体"/>
          <w:color w:val="auto"/>
          <w:highlight w:val="none"/>
        </w:rPr>
      </w:pPr>
    </w:p>
    <w:p>
      <w:pPr>
        <w:pStyle w:val="24"/>
        <w:outlineLvl w:val="9"/>
        <w:rPr>
          <w:rFonts w:ascii="宋体" w:hAnsi="宋体" w:cs="宋体"/>
          <w:color w:val="auto"/>
          <w:highlight w:val="none"/>
        </w:rPr>
      </w:pPr>
    </w:p>
    <w:p>
      <w:pPr>
        <w:pStyle w:val="24"/>
        <w:outlineLvl w:val="9"/>
        <w:rPr>
          <w:rFonts w:ascii="宋体" w:hAnsi="宋体" w:cs="宋体"/>
          <w:color w:val="auto"/>
          <w:highlight w:val="none"/>
        </w:rPr>
      </w:pPr>
    </w:p>
    <w:p>
      <w:pPr>
        <w:pStyle w:val="24"/>
        <w:outlineLvl w:val="9"/>
        <w:rPr>
          <w:rFonts w:ascii="宋体" w:hAnsi="宋体" w:cs="宋体"/>
          <w:color w:val="auto"/>
          <w:highlight w:val="none"/>
        </w:rPr>
      </w:pPr>
    </w:p>
    <w:p>
      <w:pPr>
        <w:pStyle w:val="24"/>
        <w:outlineLvl w:val="9"/>
        <w:rPr>
          <w:rFonts w:ascii="宋体" w:hAnsi="宋体" w:cs="宋体"/>
          <w:color w:val="auto"/>
          <w:highlight w:val="none"/>
        </w:rPr>
      </w:pPr>
    </w:p>
    <w:p>
      <w:pPr>
        <w:pStyle w:val="24"/>
        <w:outlineLvl w:val="9"/>
        <w:rPr>
          <w:rFonts w:ascii="宋体" w:hAnsi="宋体" w:cs="宋体"/>
          <w:color w:val="auto"/>
          <w:highlight w:val="none"/>
        </w:rPr>
      </w:pPr>
    </w:p>
    <w:p>
      <w:pPr>
        <w:pStyle w:val="17"/>
        <w:ind w:firstLine="2249" w:firstLineChars="700"/>
        <w:jc w:val="both"/>
        <w:rPr>
          <w:rFonts w:hint="eastAsia"/>
          <w:b/>
          <w:bCs/>
          <w:color w:val="auto"/>
          <w:sz w:val="32"/>
          <w:szCs w:val="32"/>
          <w:highlight w:val="none"/>
        </w:rPr>
      </w:pPr>
      <w:bookmarkStart w:id="145" w:name="_Toc32624"/>
    </w:p>
    <w:p>
      <w:pPr>
        <w:pStyle w:val="17"/>
        <w:ind w:firstLine="2249" w:firstLineChars="700"/>
        <w:jc w:val="both"/>
        <w:outlineLvl w:val="1"/>
        <w:rPr>
          <w:b/>
          <w:bCs/>
          <w:color w:val="auto"/>
          <w:sz w:val="32"/>
          <w:szCs w:val="32"/>
          <w:highlight w:val="none"/>
        </w:rPr>
      </w:pPr>
      <w:bookmarkStart w:id="146" w:name="_Toc27597"/>
      <w:r>
        <w:rPr>
          <w:rFonts w:hint="eastAsia"/>
          <w:b/>
          <w:bCs/>
          <w:color w:val="auto"/>
          <w:sz w:val="32"/>
          <w:szCs w:val="32"/>
          <w:highlight w:val="none"/>
        </w:rPr>
        <w:t>十</w:t>
      </w:r>
      <w:r>
        <w:rPr>
          <w:rFonts w:hint="eastAsia"/>
          <w:b/>
          <w:bCs/>
          <w:color w:val="auto"/>
          <w:sz w:val="32"/>
          <w:szCs w:val="32"/>
          <w:highlight w:val="none"/>
          <w:lang w:eastAsia="zh-CN"/>
        </w:rPr>
        <w:t>一</w:t>
      </w:r>
      <w:r>
        <w:rPr>
          <w:rFonts w:hint="eastAsia"/>
          <w:b/>
          <w:bCs/>
          <w:color w:val="auto"/>
          <w:sz w:val="32"/>
          <w:szCs w:val="32"/>
          <w:highlight w:val="none"/>
        </w:rPr>
        <w:t>、</w:t>
      </w:r>
      <w:bookmarkEnd w:id="141"/>
      <w:bookmarkEnd w:id="142"/>
      <w:bookmarkEnd w:id="143"/>
      <w:r>
        <w:rPr>
          <w:rFonts w:hint="eastAsia"/>
          <w:b/>
          <w:bCs/>
          <w:color w:val="auto"/>
          <w:sz w:val="32"/>
          <w:szCs w:val="32"/>
          <w:highlight w:val="none"/>
        </w:rPr>
        <w:t>无行贿犯罪记录承诺书</w:t>
      </w:r>
      <w:bookmarkEnd w:id="145"/>
      <w:bookmarkEnd w:id="146"/>
    </w:p>
    <w:p>
      <w:pPr>
        <w:spacing w:before="312" w:beforeLines="100" w:after="312" w:afterLines="100" w:line="500" w:lineRule="exact"/>
        <w:jc w:val="center"/>
        <w:rPr>
          <w:rFonts w:ascii="宋体" w:hAnsi="宋体"/>
          <w:color w:val="auto"/>
          <w:sz w:val="22"/>
          <w:szCs w:val="22"/>
          <w:highlight w:val="none"/>
        </w:rPr>
      </w:pPr>
      <w:r>
        <w:rPr>
          <w:rFonts w:hint="eastAsia" w:ascii="宋体" w:hAnsi="宋体"/>
          <w:b/>
          <w:bCs/>
          <w:color w:val="auto"/>
          <w:sz w:val="28"/>
          <w:szCs w:val="28"/>
          <w:highlight w:val="none"/>
        </w:rPr>
        <w:t>承诺书</w:t>
      </w:r>
    </w:p>
    <w:p>
      <w:pPr>
        <w:spacing w:after="312" w:afterLines="100" w:line="500" w:lineRule="exact"/>
        <w:rPr>
          <w:rFonts w:ascii="宋体" w:hAnsi="宋体"/>
          <w:color w:val="auto"/>
          <w:sz w:val="22"/>
          <w:szCs w:val="22"/>
          <w:highlight w:val="none"/>
        </w:rPr>
      </w:pPr>
      <w:r>
        <w:rPr>
          <w:rFonts w:hint="eastAsia" w:ascii="宋体" w:hAnsi="宋体"/>
          <w:color w:val="auto"/>
          <w:position w:val="-7"/>
          <w:sz w:val="22"/>
          <w:szCs w:val="22"/>
          <w:highlight w:val="none"/>
        </w:rPr>
        <w:t>————————</w:t>
      </w:r>
      <w:r>
        <w:rPr>
          <w:rFonts w:hint="eastAsia" w:ascii="宋体" w:hAnsi="宋体"/>
          <w:color w:val="auto"/>
          <w:sz w:val="22"/>
          <w:szCs w:val="22"/>
          <w:highlight w:val="none"/>
        </w:rPr>
        <w:t>（招标人名称）：</w:t>
      </w:r>
    </w:p>
    <w:p>
      <w:pPr>
        <w:spacing w:line="500" w:lineRule="exact"/>
        <w:ind w:firstLine="440" w:firstLineChars="200"/>
        <w:rPr>
          <w:rFonts w:ascii="宋体" w:hAnsi="宋体" w:cs="宋体"/>
          <w:color w:val="auto"/>
          <w:sz w:val="22"/>
          <w:szCs w:val="22"/>
          <w:highlight w:val="none"/>
          <w:shd w:val="clear" w:color="auto" w:fill="FFFFFF"/>
        </w:rPr>
      </w:pPr>
      <w:r>
        <w:rPr>
          <w:rFonts w:hint="eastAsia" w:ascii="宋体" w:hAnsi="宋体"/>
          <w:color w:val="auto"/>
          <w:sz w:val="22"/>
          <w:szCs w:val="22"/>
          <w:highlight w:val="none"/>
        </w:rPr>
        <w:t>我方在此声明，我方在</w:t>
      </w:r>
      <w:r>
        <w:rPr>
          <w:rFonts w:hint="eastAsia" w:ascii="宋体" w:hAnsi="宋体"/>
          <w:color w:val="auto"/>
          <w:sz w:val="22"/>
          <w:szCs w:val="22"/>
          <w:highlight w:val="none"/>
          <w:lang w:val="en-US" w:eastAsia="zh-CN"/>
        </w:rPr>
        <w:t xml:space="preserve"> </w:t>
      </w:r>
      <w:r>
        <w:rPr>
          <w:rFonts w:hint="eastAsia" w:ascii="宋体" w:hAnsi="宋体"/>
          <w:color w:val="auto"/>
          <w:sz w:val="22"/>
          <w:szCs w:val="22"/>
          <w:highlight w:val="none"/>
          <w:u w:val="single"/>
          <w:lang w:val="en-US" w:eastAsia="zh-CN"/>
        </w:rPr>
        <w:t xml:space="preserve">          </w:t>
      </w:r>
      <w:r>
        <w:rPr>
          <w:rFonts w:hint="eastAsia" w:ascii="宋体" w:hAnsi="宋体"/>
          <w:color w:val="auto"/>
          <w:sz w:val="22"/>
          <w:szCs w:val="22"/>
          <w:highlight w:val="none"/>
          <w:u w:val="single"/>
        </w:rPr>
        <w:t>（项目名称）</w:t>
      </w:r>
      <w:r>
        <w:rPr>
          <w:rFonts w:hint="eastAsia" w:ascii="宋体" w:hAnsi="宋体"/>
          <w:color w:val="auto"/>
          <w:sz w:val="22"/>
          <w:szCs w:val="22"/>
          <w:highlight w:val="none"/>
        </w:rPr>
        <w:t>招投标过程中所涉及的</w:t>
      </w:r>
      <w:r>
        <w:rPr>
          <w:rFonts w:hint="eastAsia" w:ascii="宋体" w:hAnsi="宋体" w:cs="宋体"/>
          <w:color w:val="auto"/>
          <w:sz w:val="22"/>
          <w:szCs w:val="22"/>
          <w:highlight w:val="none"/>
          <w:shd w:val="clear" w:color="auto" w:fill="FFFFFF"/>
        </w:rPr>
        <w:t>包括法人、法定代表人、法定代表人委托代理人近三年来均无行贿犯罪记录。</w:t>
      </w:r>
    </w:p>
    <w:p>
      <w:pPr>
        <w:spacing w:line="500" w:lineRule="exact"/>
        <w:ind w:firstLine="440" w:firstLineChars="200"/>
        <w:rPr>
          <w:rFonts w:ascii="宋体" w:hAnsi="宋体"/>
          <w:color w:val="auto"/>
          <w:sz w:val="22"/>
          <w:szCs w:val="22"/>
          <w:highlight w:val="none"/>
        </w:rPr>
      </w:pPr>
      <w:r>
        <w:rPr>
          <w:rFonts w:hint="eastAsia" w:ascii="宋体" w:hAnsi="宋体"/>
          <w:color w:val="auto"/>
          <w:sz w:val="22"/>
          <w:szCs w:val="22"/>
          <w:highlight w:val="none"/>
        </w:rPr>
        <w:t>我方保证上述信息的真实和准确，并愿意承担因我方就此弄虚作假所引起的一切法律后果。</w:t>
      </w:r>
    </w:p>
    <w:p>
      <w:pPr>
        <w:spacing w:line="500" w:lineRule="exact"/>
        <w:ind w:firstLine="440" w:firstLineChars="200"/>
        <w:rPr>
          <w:rFonts w:hint="eastAsia" w:ascii="宋体" w:hAnsi="宋体" w:eastAsia="宋体"/>
          <w:color w:val="auto"/>
          <w:sz w:val="22"/>
          <w:szCs w:val="22"/>
          <w:highlight w:val="none"/>
          <w:lang w:eastAsia="zh-CN"/>
        </w:rPr>
      </w:pPr>
      <w:r>
        <w:rPr>
          <w:rFonts w:hint="eastAsia" w:ascii="宋体" w:hAnsi="宋体"/>
          <w:color w:val="auto"/>
          <w:sz w:val="22"/>
          <w:szCs w:val="22"/>
          <w:highlight w:val="none"/>
        </w:rPr>
        <w:t>特此承诺</w:t>
      </w:r>
      <w:r>
        <w:rPr>
          <w:rFonts w:hint="eastAsia" w:ascii="宋体" w:hAnsi="宋体"/>
          <w:color w:val="auto"/>
          <w:sz w:val="22"/>
          <w:szCs w:val="22"/>
          <w:highlight w:val="none"/>
          <w:lang w:eastAsia="zh-CN"/>
        </w:rPr>
        <w:t>。</w:t>
      </w:r>
    </w:p>
    <w:p>
      <w:pPr>
        <w:spacing w:line="500" w:lineRule="exact"/>
        <w:ind w:firstLine="440" w:firstLineChars="200"/>
        <w:rPr>
          <w:rFonts w:ascii="宋体" w:hAnsi="宋体"/>
          <w:color w:val="auto"/>
          <w:sz w:val="22"/>
          <w:szCs w:val="22"/>
          <w:highlight w:val="none"/>
        </w:rPr>
      </w:pPr>
    </w:p>
    <w:p>
      <w:pPr>
        <w:spacing w:line="500" w:lineRule="exact"/>
        <w:jc w:val="left"/>
        <w:rPr>
          <w:rFonts w:ascii="宋体" w:hAnsi="宋体" w:cs="宋体"/>
          <w:color w:val="auto"/>
          <w:sz w:val="22"/>
          <w:szCs w:val="22"/>
          <w:highlight w:val="none"/>
        </w:rPr>
      </w:pPr>
    </w:p>
    <w:p>
      <w:pPr>
        <w:spacing w:line="500" w:lineRule="exact"/>
        <w:jc w:val="left"/>
        <w:rPr>
          <w:rFonts w:ascii="宋体" w:hAnsi="宋体" w:cs="宋体"/>
          <w:color w:val="auto"/>
          <w:sz w:val="22"/>
          <w:szCs w:val="22"/>
          <w:highlight w:val="none"/>
        </w:rPr>
      </w:pPr>
    </w:p>
    <w:p>
      <w:pPr>
        <w:spacing w:line="500" w:lineRule="exact"/>
        <w:ind w:firstLine="4180" w:firstLineChars="1900"/>
        <w:jc w:val="both"/>
        <w:rPr>
          <w:rFonts w:ascii="宋体" w:hAnsi="宋体"/>
          <w:color w:val="auto"/>
          <w:sz w:val="22"/>
          <w:szCs w:val="22"/>
          <w:highlight w:val="none"/>
        </w:rPr>
      </w:pPr>
      <w:r>
        <w:rPr>
          <w:rFonts w:hint="eastAsia" w:ascii="宋体" w:hAnsi="宋体"/>
          <w:color w:val="auto"/>
          <w:sz w:val="22"/>
          <w:szCs w:val="22"/>
          <w:highlight w:val="none"/>
          <w:lang w:eastAsia="zh-CN"/>
        </w:rPr>
        <w:t>供应商名称</w:t>
      </w:r>
      <w:r>
        <w:rPr>
          <w:rFonts w:hint="eastAsia" w:ascii="宋体" w:hAnsi="宋体"/>
          <w:color w:val="auto"/>
          <w:sz w:val="22"/>
          <w:szCs w:val="22"/>
          <w:highlight w:val="none"/>
        </w:rPr>
        <w:t>：</w:t>
      </w:r>
      <w:r>
        <w:rPr>
          <w:rFonts w:hint="eastAsia" w:ascii="宋体" w:hAnsi="宋体"/>
          <w:color w:val="auto"/>
          <w:sz w:val="22"/>
          <w:szCs w:val="22"/>
          <w:highlight w:val="none"/>
          <w:u w:val="single"/>
          <w:lang w:val="en-US" w:eastAsia="zh-CN"/>
        </w:rPr>
        <w:t xml:space="preserve">               </w:t>
      </w:r>
      <w:r>
        <w:rPr>
          <w:rFonts w:hint="eastAsia" w:ascii="宋体" w:hAnsi="宋体"/>
          <w:color w:val="auto"/>
          <w:sz w:val="22"/>
          <w:szCs w:val="22"/>
          <w:highlight w:val="none"/>
        </w:rPr>
        <w:t>（盖单位</w:t>
      </w:r>
      <w:r>
        <w:rPr>
          <w:rFonts w:hint="eastAsia" w:ascii="宋体" w:hAnsi="宋体"/>
          <w:color w:val="auto"/>
          <w:sz w:val="22"/>
          <w:szCs w:val="22"/>
          <w:highlight w:val="none"/>
          <w:lang w:eastAsia="zh-CN"/>
        </w:rPr>
        <w:t>公</w:t>
      </w:r>
      <w:r>
        <w:rPr>
          <w:rFonts w:hint="eastAsia" w:ascii="宋体" w:hAnsi="宋体"/>
          <w:color w:val="auto"/>
          <w:sz w:val="22"/>
          <w:szCs w:val="22"/>
          <w:highlight w:val="none"/>
        </w:rPr>
        <w:t>章）</w:t>
      </w:r>
    </w:p>
    <w:p>
      <w:pPr>
        <w:spacing w:line="500" w:lineRule="exact"/>
        <w:jc w:val="center"/>
        <w:rPr>
          <w:rFonts w:ascii="宋体" w:hAnsi="宋体"/>
          <w:color w:val="auto"/>
          <w:sz w:val="22"/>
          <w:szCs w:val="22"/>
          <w:highlight w:val="none"/>
        </w:rPr>
      </w:pPr>
      <w:r>
        <w:rPr>
          <w:rFonts w:hint="eastAsia" w:ascii="宋体" w:hAnsi="宋体"/>
          <w:color w:val="auto"/>
          <w:sz w:val="22"/>
          <w:szCs w:val="22"/>
          <w:highlight w:val="none"/>
          <w:lang w:val="en-US" w:eastAsia="zh-CN"/>
        </w:rPr>
        <w:t xml:space="preserve">                                   </w:t>
      </w:r>
      <w:r>
        <w:rPr>
          <w:rFonts w:hint="eastAsia" w:ascii="宋体" w:hAnsi="宋体"/>
          <w:color w:val="auto"/>
          <w:sz w:val="22"/>
          <w:szCs w:val="22"/>
          <w:highlight w:val="none"/>
        </w:rPr>
        <w:t>法定代表人或其委托代理人：</w:t>
      </w:r>
      <w:r>
        <w:rPr>
          <w:rFonts w:hint="eastAsia" w:ascii="宋体" w:hAnsi="宋体"/>
          <w:color w:val="auto"/>
          <w:sz w:val="22"/>
          <w:szCs w:val="22"/>
          <w:highlight w:val="none"/>
          <w:u w:val="single"/>
          <w:lang w:val="en-US" w:eastAsia="zh-CN"/>
        </w:rPr>
        <w:t xml:space="preserve">       </w:t>
      </w:r>
      <w:r>
        <w:rPr>
          <w:rFonts w:hint="eastAsia" w:ascii="宋体" w:hAnsi="宋体"/>
          <w:color w:val="auto"/>
          <w:sz w:val="22"/>
          <w:szCs w:val="22"/>
          <w:highlight w:val="none"/>
          <w:u w:val="none"/>
        </w:rPr>
        <w:t>（</w:t>
      </w:r>
      <w:r>
        <w:rPr>
          <w:rFonts w:hint="eastAsia" w:ascii="宋体" w:hAnsi="宋体"/>
          <w:color w:val="auto"/>
          <w:sz w:val="22"/>
          <w:szCs w:val="22"/>
          <w:highlight w:val="none"/>
        </w:rPr>
        <w:t>签字）</w:t>
      </w:r>
    </w:p>
    <w:p>
      <w:pPr>
        <w:pStyle w:val="61"/>
        <w:spacing w:line="500" w:lineRule="exact"/>
        <w:ind w:firstLine="4200" w:firstLineChars="2000"/>
        <w:rPr>
          <w:rFonts w:hint="default" w:ascii="宋体" w:hAnsi="宋体" w:eastAsia="宋体" w:cs="宋体"/>
          <w:color w:val="auto"/>
          <w:szCs w:val="21"/>
          <w:highlight w:val="none"/>
          <w:u w:val="none"/>
          <w:lang w:val="en-US" w:eastAsia="zh-CN"/>
        </w:rPr>
      </w:pPr>
      <w:r>
        <w:rPr>
          <w:rFonts w:hint="eastAsia" w:ascii="宋体" w:hAnsi="宋体" w:cs="宋体"/>
          <w:color w:val="auto"/>
          <w:szCs w:val="21"/>
          <w:highlight w:val="none"/>
          <w:lang w:eastAsia="zh-CN"/>
        </w:rPr>
        <w:t>日</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lang w:eastAsia="zh-CN"/>
        </w:rPr>
        <w:t>期：</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none"/>
          <w:lang w:val="en-US" w:eastAsia="zh-CN"/>
        </w:rPr>
        <w:t xml:space="preserve"> 年</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none"/>
          <w:lang w:val="en-US" w:eastAsia="zh-CN"/>
        </w:rPr>
        <w:t>月</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none"/>
          <w:lang w:val="en-US" w:eastAsia="zh-CN"/>
        </w:rPr>
        <w:t>日</w:t>
      </w:r>
    </w:p>
    <w:p>
      <w:pPr>
        <w:spacing w:line="600" w:lineRule="exact"/>
        <w:ind w:firstLine="420"/>
        <w:rPr>
          <w:rFonts w:ascii="宋体" w:hAnsi="宋体" w:cs="宋体"/>
          <w:color w:val="auto"/>
          <w:kern w:val="0"/>
          <w:szCs w:val="21"/>
          <w:highlight w:val="none"/>
        </w:rPr>
      </w:pPr>
    </w:p>
    <w:p>
      <w:pPr>
        <w:pStyle w:val="28"/>
        <w:rPr>
          <w:color w:val="auto"/>
          <w:highlight w:val="none"/>
        </w:rPr>
      </w:pPr>
    </w:p>
    <w:p>
      <w:pPr>
        <w:pStyle w:val="7"/>
        <w:ind w:firstLine="0"/>
        <w:rPr>
          <w:rFonts w:ascii="宋体" w:hAnsi="宋体" w:cs="宋体"/>
          <w:color w:val="auto"/>
          <w:sz w:val="21"/>
          <w:szCs w:val="21"/>
          <w:highlight w:val="none"/>
        </w:rPr>
      </w:pPr>
    </w:p>
    <w:p>
      <w:pPr>
        <w:pStyle w:val="7"/>
        <w:ind w:firstLine="0"/>
        <w:rPr>
          <w:rFonts w:ascii="宋体" w:hAnsi="宋体" w:cs="宋体"/>
          <w:color w:val="auto"/>
          <w:sz w:val="21"/>
          <w:szCs w:val="21"/>
          <w:highlight w:val="none"/>
        </w:rPr>
      </w:pPr>
    </w:p>
    <w:p>
      <w:pPr>
        <w:pStyle w:val="7"/>
        <w:ind w:firstLine="0"/>
        <w:rPr>
          <w:rFonts w:ascii="宋体" w:hAnsi="宋体" w:cs="宋体"/>
          <w:color w:val="auto"/>
          <w:sz w:val="21"/>
          <w:szCs w:val="21"/>
          <w:highlight w:val="none"/>
        </w:rPr>
      </w:pPr>
    </w:p>
    <w:p>
      <w:pPr>
        <w:pStyle w:val="17"/>
        <w:rPr>
          <w:rFonts w:hint="eastAsia" w:ascii="宋体" w:hAnsi="宋体" w:cs="宋体"/>
          <w:b/>
          <w:color w:val="auto"/>
          <w:kern w:val="0"/>
          <w:sz w:val="32"/>
          <w:szCs w:val="32"/>
          <w:highlight w:val="none"/>
        </w:rPr>
      </w:pPr>
      <w:bookmarkStart w:id="147" w:name="_Toc22418"/>
    </w:p>
    <w:p>
      <w:pPr>
        <w:pStyle w:val="17"/>
        <w:rPr>
          <w:rFonts w:hint="eastAsia" w:ascii="宋体" w:hAnsi="宋体" w:cs="宋体"/>
          <w:b/>
          <w:color w:val="auto"/>
          <w:kern w:val="0"/>
          <w:sz w:val="32"/>
          <w:szCs w:val="32"/>
          <w:highlight w:val="none"/>
        </w:rPr>
      </w:pPr>
    </w:p>
    <w:p>
      <w:pPr>
        <w:pStyle w:val="17"/>
        <w:rPr>
          <w:rFonts w:hint="eastAsia" w:ascii="宋体" w:hAnsi="宋体" w:cs="宋体"/>
          <w:b/>
          <w:color w:val="auto"/>
          <w:kern w:val="0"/>
          <w:sz w:val="32"/>
          <w:szCs w:val="32"/>
          <w:highlight w:val="none"/>
        </w:rPr>
      </w:pPr>
    </w:p>
    <w:p>
      <w:pPr>
        <w:pStyle w:val="17"/>
        <w:rPr>
          <w:rFonts w:hint="eastAsia" w:ascii="宋体" w:hAnsi="宋体" w:cs="宋体"/>
          <w:b/>
          <w:color w:val="auto"/>
          <w:kern w:val="0"/>
          <w:sz w:val="32"/>
          <w:szCs w:val="32"/>
          <w:highlight w:val="none"/>
        </w:rPr>
      </w:pPr>
    </w:p>
    <w:p>
      <w:pPr>
        <w:pStyle w:val="17"/>
        <w:outlineLvl w:val="1"/>
        <w:rPr>
          <w:rFonts w:ascii="宋体" w:hAnsi="宋体"/>
          <w:b/>
          <w:color w:val="auto"/>
          <w:sz w:val="44"/>
          <w:szCs w:val="44"/>
          <w:highlight w:val="none"/>
        </w:rPr>
      </w:pPr>
      <w:bookmarkStart w:id="148" w:name="_Toc24927"/>
      <w:r>
        <w:rPr>
          <w:rFonts w:hint="eastAsia" w:ascii="宋体" w:hAnsi="宋体" w:cs="宋体"/>
          <w:b/>
          <w:color w:val="auto"/>
          <w:kern w:val="0"/>
          <w:sz w:val="32"/>
          <w:szCs w:val="32"/>
          <w:highlight w:val="none"/>
        </w:rPr>
        <w:t>十</w:t>
      </w:r>
      <w:r>
        <w:rPr>
          <w:rFonts w:hint="eastAsia" w:ascii="宋体" w:hAnsi="宋体" w:cs="宋体"/>
          <w:b/>
          <w:color w:val="auto"/>
          <w:kern w:val="0"/>
          <w:sz w:val="32"/>
          <w:szCs w:val="32"/>
          <w:highlight w:val="none"/>
          <w:lang w:eastAsia="zh-CN"/>
        </w:rPr>
        <w:t>二</w:t>
      </w:r>
      <w:r>
        <w:rPr>
          <w:rFonts w:hint="eastAsia" w:ascii="宋体" w:hAnsi="宋体" w:cs="宋体"/>
          <w:b/>
          <w:color w:val="auto"/>
          <w:kern w:val="0"/>
          <w:sz w:val="32"/>
          <w:szCs w:val="32"/>
          <w:highlight w:val="none"/>
        </w:rPr>
        <w:t>、投标承诺函</w:t>
      </w:r>
      <w:bookmarkEnd w:id="147"/>
      <w:bookmarkEnd w:id="148"/>
    </w:p>
    <w:p>
      <w:pPr>
        <w:spacing w:line="600" w:lineRule="exact"/>
        <w:ind w:firstLine="420" w:firstLineChars="200"/>
        <w:rPr>
          <w:rFonts w:hint="eastAsia" w:ascii="宋体" w:hAnsi="宋体"/>
          <w:color w:val="auto"/>
          <w:szCs w:val="21"/>
          <w:highlight w:val="none"/>
        </w:rPr>
      </w:pPr>
    </w:p>
    <w:p>
      <w:pPr>
        <w:spacing w:line="600" w:lineRule="exact"/>
        <w:ind w:firstLine="420" w:firstLineChars="200"/>
        <w:rPr>
          <w:rFonts w:ascii="宋体" w:hAnsi="宋体"/>
          <w:color w:val="auto"/>
          <w:szCs w:val="21"/>
          <w:highlight w:val="none"/>
        </w:rPr>
      </w:pPr>
      <w:r>
        <w:rPr>
          <w:rFonts w:hint="eastAsia" w:ascii="宋体" w:hAnsi="宋体"/>
          <w:color w:val="auto"/>
          <w:szCs w:val="21"/>
          <w:highlight w:val="none"/>
        </w:rPr>
        <w:t>我单位对</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eastAsia="zh-CN"/>
        </w:rPr>
        <w:t>（项目名称）</w:t>
      </w:r>
      <w:r>
        <w:rPr>
          <w:rFonts w:hint="eastAsia" w:ascii="宋体" w:hAnsi="宋体"/>
          <w:color w:val="auto"/>
          <w:szCs w:val="21"/>
          <w:highlight w:val="none"/>
        </w:rPr>
        <w:t>（项目编号</w:t>
      </w:r>
      <w:r>
        <w:rPr>
          <w:rFonts w:hint="eastAsia" w:ascii="宋体" w:hAnsi="宋体"/>
          <w:color w:val="auto"/>
          <w:szCs w:val="21"/>
          <w:highlight w:val="none"/>
          <w:u w:val="single"/>
        </w:rPr>
        <w:t xml:space="preserve">： </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u w:val="single"/>
        </w:rPr>
        <w:t xml:space="preserve"> </w:t>
      </w:r>
      <w:r>
        <w:rPr>
          <w:rFonts w:hint="eastAsia" w:ascii="宋体" w:hAnsi="宋体"/>
          <w:color w:val="auto"/>
          <w:szCs w:val="21"/>
          <w:highlight w:val="none"/>
        </w:rPr>
        <w:t>采购编号：</w:t>
      </w:r>
      <w:r>
        <w:rPr>
          <w:rFonts w:hint="eastAsia" w:ascii="宋体" w:hAnsi="宋体"/>
          <w:color w:val="auto"/>
          <w:szCs w:val="21"/>
          <w:highlight w:val="none"/>
          <w:u w:val="single"/>
          <w:lang w:val="en-US" w:eastAsia="zh-CN"/>
        </w:rPr>
        <w:t xml:space="preserve">         </w:t>
      </w:r>
      <w:r>
        <w:rPr>
          <w:rFonts w:hint="eastAsia" w:ascii="宋体" w:hAnsi="宋体"/>
          <w:color w:val="auto"/>
          <w:szCs w:val="21"/>
          <w:highlight w:val="none"/>
        </w:rPr>
        <w:t>）投标行为做出承诺，保证所提交材料的真实性。</w:t>
      </w:r>
    </w:p>
    <w:p>
      <w:pPr>
        <w:spacing w:line="600" w:lineRule="exact"/>
        <w:ind w:firstLine="420" w:firstLineChars="200"/>
        <w:rPr>
          <w:rFonts w:ascii="宋体" w:hAnsi="宋体"/>
          <w:color w:val="auto"/>
          <w:szCs w:val="21"/>
          <w:highlight w:val="none"/>
        </w:rPr>
      </w:pPr>
      <w:r>
        <w:rPr>
          <w:rFonts w:hint="eastAsia" w:ascii="宋体" w:hAnsi="宋体"/>
          <w:color w:val="auto"/>
          <w:szCs w:val="21"/>
          <w:highlight w:val="none"/>
        </w:rPr>
        <w:t>我单位承诺：</w:t>
      </w:r>
    </w:p>
    <w:p>
      <w:pPr>
        <w:spacing w:line="600" w:lineRule="exact"/>
        <w:ind w:firstLine="420" w:firstLineChars="200"/>
        <w:rPr>
          <w:rFonts w:ascii="宋体" w:hAnsi="宋体"/>
          <w:color w:val="auto"/>
          <w:szCs w:val="21"/>
          <w:highlight w:val="none"/>
        </w:rPr>
      </w:pPr>
      <w:r>
        <w:rPr>
          <w:rFonts w:hint="eastAsia" w:ascii="宋体" w:hAnsi="宋体"/>
          <w:color w:val="auto"/>
          <w:szCs w:val="21"/>
          <w:highlight w:val="none"/>
        </w:rPr>
        <w:t>1、在投标文件递交截止时间后至确定成交人的</w:t>
      </w:r>
      <w:r>
        <w:rPr>
          <w:color w:val="auto"/>
          <w:highlight w:val="none"/>
        </w:rPr>
        <w:fldChar w:fldCharType="begin"/>
      </w:r>
      <w:r>
        <w:rPr>
          <w:color w:val="auto"/>
          <w:highlight w:val="none"/>
        </w:rPr>
        <w:instrText xml:space="preserve">HYPERLINK "https://baike.so.com/doc/5394983-5632135.html" \t "https://baike.so.com/doc/_blank" </w:instrText>
      </w:r>
      <w:r>
        <w:rPr>
          <w:color w:val="auto"/>
          <w:highlight w:val="none"/>
        </w:rPr>
        <w:fldChar w:fldCharType="separate"/>
      </w:r>
      <w:r>
        <w:rPr>
          <w:rFonts w:ascii="宋体" w:hAnsi="宋体"/>
          <w:color w:val="auto"/>
          <w:szCs w:val="21"/>
          <w:highlight w:val="none"/>
        </w:rPr>
        <w:t>投标有效期</w:t>
      </w:r>
      <w:r>
        <w:rPr>
          <w:color w:val="auto"/>
          <w:highlight w:val="none"/>
        </w:rPr>
        <w:fldChar w:fldCharType="end"/>
      </w:r>
      <w:r>
        <w:rPr>
          <w:rFonts w:ascii="宋体" w:hAnsi="宋体"/>
          <w:color w:val="auto"/>
          <w:szCs w:val="21"/>
          <w:highlight w:val="none"/>
        </w:rPr>
        <w:t>内</w:t>
      </w:r>
      <w:r>
        <w:rPr>
          <w:rFonts w:hint="eastAsia" w:ascii="宋体" w:hAnsi="宋体"/>
          <w:color w:val="auto"/>
          <w:szCs w:val="21"/>
          <w:highlight w:val="none"/>
        </w:rPr>
        <w:t>，我单位不得要求退出竞标或者修改投标文件且</w:t>
      </w:r>
      <w:r>
        <w:rPr>
          <w:rFonts w:ascii="宋体" w:hAnsi="宋体"/>
          <w:color w:val="auto"/>
          <w:szCs w:val="21"/>
          <w:highlight w:val="none"/>
        </w:rPr>
        <w:t>对递交的投标文件负责，受其约束。</w:t>
      </w:r>
    </w:p>
    <w:p>
      <w:pPr>
        <w:spacing w:line="600" w:lineRule="exact"/>
        <w:ind w:firstLine="420" w:firstLineChars="200"/>
        <w:rPr>
          <w:rFonts w:ascii="宋体" w:hAnsi="宋体"/>
          <w:color w:val="auto"/>
          <w:szCs w:val="21"/>
          <w:highlight w:val="none"/>
        </w:rPr>
      </w:pPr>
      <w:r>
        <w:rPr>
          <w:rFonts w:hint="eastAsia" w:ascii="宋体" w:hAnsi="宋体"/>
          <w:color w:val="auto"/>
          <w:szCs w:val="21"/>
          <w:highlight w:val="none"/>
        </w:rPr>
        <w:t>2、若我单位中标，在接到中标通知书后，除不可抗力因素外，及时按</w:t>
      </w:r>
      <w:r>
        <w:rPr>
          <w:rFonts w:ascii="宋体" w:hAnsi="宋体"/>
          <w:color w:val="auto"/>
          <w:szCs w:val="21"/>
          <w:highlight w:val="none"/>
        </w:rPr>
        <w:t>规定</w:t>
      </w:r>
      <w:r>
        <w:rPr>
          <w:rFonts w:hint="eastAsia" w:ascii="宋体" w:hAnsi="宋体"/>
          <w:color w:val="auto"/>
          <w:szCs w:val="21"/>
          <w:highlight w:val="none"/>
        </w:rPr>
        <w:t>与采购人</w:t>
      </w:r>
      <w:r>
        <w:rPr>
          <w:rFonts w:ascii="宋体" w:hAnsi="宋体"/>
          <w:color w:val="auto"/>
          <w:szCs w:val="21"/>
          <w:highlight w:val="none"/>
        </w:rPr>
        <w:t>签订合同</w:t>
      </w:r>
      <w:r>
        <w:rPr>
          <w:rFonts w:hint="eastAsia" w:ascii="宋体" w:hAnsi="宋体"/>
          <w:color w:val="auto"/>
          <w:szCs w:val="21"/>
          <w:highlight w:val="none"/>
        </w:rPr>
        <w:t>并认真履约。</w:t>
      </w:r>
    </w:p>
    <w:p>
      <w:pPr>
        <w:spacing w:line="600" w:lineRule="exact"/>
        <w:ind w:firstLine="420" w:firstLineChars="200"/>
        <w:rPr>
          <w:rFonts w:ascii="宋体" w:hAnsi="宋体"/>
          <w:color w:val="auto"/>
          <w:szCs w:val="21"/>
          <w:highlight w:val="none"/>
        </w:rPr>
      </w:pPr>
      <w:r>
        <w:rPr>
          <w:rFonts w:hint="eastAsia" w:ascii="宋体" w:hAnsi="宋体"/>
          <w:color w:val="auto"/>
          <w:szCs w:val="21"/>
          <w:highlight w:val="none"/>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pPr>
        <w:spacing w:line="600" w:lineRule="exact"/>
        <w:ind w:firstLine="420" w:firstLineChars="200"/>
        <w:rPr>
          <w:rFonts w:hint="eastAsia" w:ascii="宋体" w:hAnsi="宋体" w:eastAsia="宋体"/>
          <w:color w:val="auto"/>
          <w:szCs w:val="21"/>
          <w:highlight w:val="none"/>
          <w:lang w:eastAsia="zh-CN"/>
        </w:rPr>
      </w:pPr>
      <w:r>
        <w:rPr>
          <w:rFonts w:hint="eastAsia" w:ascii="宋体" w:hAnsi="宋体"/>
          <w:color w:val="auto"/>
          <w:szCs w:val="21"/>
          <w:highlight w:val="none"/>
        </w:rPr>
        <w:t>4、不存在法律法规规定的其他违法违规行为。</w:t>
      </w:r>
    </w:p>
    <w:p>
      <w:pPr>
        <w:pStyle w:val="24"/>
        <w:rPr>
          <w:rFonts w:hint="eastAsia"/>
          <w:color w:val="auto"/>
          <w:highlight w:val="none"/>
          <w:lang w:eastAsia="zh-CN"/>
        </w:rPr>
      </w:pPr>
    </w:p>
    <w:p>
      <w:pPr>
        <w:spacing w:line="500" w:lineRule="exact"/>
        <w:ind w:firstLine="3990" w:firstLineChars="1900"/>
        <w:jc w:val="both"/>
        <w:rPr>
          <w:rFonts w:hint="eastAsia" w:ascii="宋体" w:hAnsi="宋体"/>
          <w:color w:val="auto"/>
          <w:szCs w:val="21"/>
          <w:highlight w:val="none"/>
        </w:rPr>
      </w:pPr>
      <w:r>
        <w:rPr>
          <w:rFonts w:hint="eastAsia" w:ascii="宋体" w:hAnsi="宋体"/>
          <w:color w:val="auto"/>
          <w:szCs w:val="21"/>
          <w:highlight w:val="none"/>
        </w:rPr>
        <w:t xml:space="preserve"> </w:t>
      </w:r>
    </w:p>
    <w:p>
      <w:pPr>
        <w:spacing w:line="500" w:lineRule="exact"/>
        <w:ind w:firstLine="3990" w:firstLineChars="1900"/>
        <w:jc w:val="both"/>
        <w:rPr>
          <w:rFonts w:hint="eastAsia" w:ascii="宋体" w:hAnsi="宋体"/>
          <w:color w:val="auto"/>
          <w:szCs w:val="21"/>
          <w:highlight w:val="none"/>
        </w:rPr>
      </w:pPr>
    </w:p>
    <w:p>
      <w:pPr>
        <w:spacing w:line="500" w:lineRule="exact"/>
        <w:ind w:firstLine="3990" w:firstLineChars="1900"/>
        <w:jc w:val="both"/>
        <w:rPr>
          <w:rFonts w:hint="eastAsia" w:ascii="宋体" w:hAnsi="宋体"/>
          <w:color w:val="auto"/>
          <w:szCs w:val="21"/>
          <w:highlight w:val="none"/>
        </w:rPr>
      </w:pPr>
    </w:p>
    <w:p>
      <w:pPr>
        <w:spacing w:line="500" w:lineRule="exact"/>
        <w:ind w:firstLine="4180" w:firstLineChars="1900"/>
        <w:jc w:val="both"/>
        <w:rPr>
          <w:rFonts w:ascii="宋体" w:hAnsi="宋体"/>
          <w:color w:val="auto"/>
          <w:sz w:val="22"/>
          <w:szCs w:val="22"/>
          <w:highlight w:val="none"/>
        </w:rPr>
      </w:pPr>
      <w:r>
        <w:rPr>
          <w:rFonts w:hint="eastAsia" w:ascii="宋体" w:hAnsi="宋体"/>
          <w:color w:val="auto"/>
          <w:sz w:val="22"/>
          <w:szCs w:val="22"/>
          <w:highlight w:val="none"/>
          <w:lang w:eastAsia="zh-CN"/>
        </w:rPr>
        <w:t>供应商名称</w:t>
      </w:r>
      <w:r>
        <w:rPr>
          <w:rFonts w:hint="eastAsia" w:ascii="宋体" w:hAnsi="宋体"/>
          <w:color w:val="auto"/>
          <w:sz w:val="22"/>
          <w:szCs w:val="22"/>
          <w:highlight w:val="none"/>
        </w:rPr>
        <w:t>：</w:t>
      </w:r>
      <w:r>
        <w:rPr>
          <w:rFonts w:hint="eastAsia" w:ascii="宋体" w:hAnsi="宋体"/>
          <w:color w:val="auto"/>
          <w:sz w:val="22"/>
          <w:szCs w:val="22"/>
          <w:highlight w:val="none"/>
          <w:u w:val="single"/>
          <w:lang w:val="en-US" w:eastAsia="zh-CN"/>
        </w:rPr>
        <w:t xml:space="preserve">               </w:t>
      </w:r>
      <w:r>
        <w:rPr>
          <w:rFonts w:hint="eastAsia" w:ascii="宋体" w:hAnsi="宋体"/>
          <w:color w:val="auto"/>
          <w:sz w:val="22"/>
          <w:szCs w:val="22"/>
          <w:highlight w:val="none"/>
        </w:rPr>
        <w:t>（盖单位</w:t>
      </w:r>
      <w:r>
        <w:rPr>
          <w:rFonts w:hint="eastAsia" w:ascii="宋体" w:hAnsi="宋体"/>
          <w:color w:val="auto"/>
          <w:sz w:val="22"/>
          <w:szCs w:val="22"/>
          <w:highlight w:val="none"/>
          <w:lang w:eastAsia="zh-CN"/>
        </w:rPr>
        <w:t>公</w:t>
      </w:r>
      <w:r>
        <w:rPr>
          <w:rFonts w:hint="eastAsia" w:ascii="宋体" w:hAnsi="宋体"/>
          <w:color w:val="auto"/>
          <w:sz w:val="22"/>
          <w:szCs w:val="22"/>
          <w:highlight w:val="none"/>
        </w:rPr>
        <w:t>章）</w:t>
      </w:r>
    </w:p>
    <w:p>
      <w:pPr>
        <w:spacing w:line="500" w:lineRule="exact"/>
        <w:jc w:val="center"/>
        <w:rPr>
          <w:rFonts w:ascii="宋体" w:hAnsi="宋体"/>
          <w:color w:val="auto"/>
          <w:sz w:val="22"/>
          <w:szCs w:val="22"/>
          <w:highlight w:val="none"/>
        </w:rPr>
      </w:pPr>
      <w:r>
        <w:rPr>
          <w:rFonts w:hint="eastAsia" w:ascii="宋体" w:hAnsi="宋体"/>
          <w:color w:val="auto"/>
          <w:sz w:val="22"/>
          <w:szCs w:val="22"/>
          <w:highlight w:val="none"/>
          <w:lang w:val="en-US" w:eastAsia="zh-CN"/>
        </w:rPr>
        <w:t xml:space="preserve">                                   </w:t>
      </w:r>
      <w:r>
        <w:rPr>
          <w:rFonts w:hint="eastAsia" w:ascii="宋体" w:hAnsi="宋体"/>
          <w:color w:val="auto"/>
          <w:sz w:val="22"/>
          <w:szCs w:val="22"/>
          <w:highlight w:val="none"/>
        </w:rPr>
        <w:t>法定代表人或其委托代理人：</w:t>
      </w:r>
      <w:r>
        <w:rPr>
          <w:rFonts w:hint="eastAsia" w:ascii="宋体" w:hAnsi="宋体"/>
          <w:color w:val="auto"/>
          <w:sz w:val="22"/>
          <w:szCs w:val="22"/>
          <w:highlight w:val="none"/>
          <w:u w:val="single"/>
          <w:lang w:val="en-US" w:eastAsia="zh-CN"/>
        </w:rPr>
        <w:t xml:space="preserve">       </w:t>
      </w:r>
      <w:r>
        <w:rPr>
          <w:rFonts w:hint="eastAsia" w:ascii="宋体" w:hAnsi="宋体"/>
          <w:color w:val="auto"/>
          <w:sz w:val="22"/>
          <w:szCs w:val="22"/>
          <w:highlight w:val="none"/>
          <w:u w:val="none"/>
        </w:rPr>
        <w:t>（</w:t>
      </w:r>
      <w:r>
        <w:rPr>
          <w:rFonts w:hint="eastAsia" w:ascii="宋体" w:hAnsi="宋体"/>
          <w:color w:val="auto"/>
          <w:sz w:val="22"/>
          <w:szCs w:val="22"/>
          <w:highlight w:val="none"/>
        </w:rPr>
        <w:t>签字）</w:t>
      </w:r>
    </w:p>
    <w:p>
      <w:pPr>
        <w:pStyle w:val="61"/>
        <w:spacing w:line="500" w:lineRule="exact"/>
        <w:ind w:firstLine="4200" w:firstLineChars="2000"/>
        <w:rPr>
          <w:rFonts w:hint="default" w:ascii="宋体" w:hAnsi="宋体" w:eastAsia="宋体" w:cs="宋体"/>
          <w:color w:val="auto"/>
          <w:szCs w:val="21"/>
          <w:highlight w:val="none"/>
          <w:u w:val="none"/>
          <w:lang w:val="en-US" w:eastAsia="zh-CN"/>
        </w:rPr>
      </w:pPr>
      <w:r>
        <w:rPr>
          <w:rFonts w:hint="eastAsia" w:ascii="宋体" w:hAnsi="宋体" w:cs="宋体"/>
          <w:color w:val="auto"/>
          <w:szCs w:val="21"/>
          <w:highlight w:val="none"/>
          <w:lang w:eastAsia="zh-CN"/>
        </w:rPr>
        <w:t>日</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lang w:eastAsia="zh-CN"/>
        </w:rPr>
        <w:t>期：</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none"/>
          <w:lang w:val="en-US" w:eastAsia="zh-CN"/>
        </w:rPr>
        <w:t xml:space="preserve"> 年</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none"/>
          <w:lang w:val="en-US" w:eastAsia="zh-CN"/>
        </w:rPr>
        <w:t>月</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none"/>
          <w:lang w:val="en-US" w:eastAsia="zh-CN"/>
        </w:rPr>
        <w:t>日</w:t>
      </w:r>
    </w:p>
    <w:p>
      <w:pPr>
        <w:pStyle w:val="62"/>
        <w:rPr>
          <w:rFonts w:ascii="宋体" w:hAnsi="宋体"/>
          <w:color w:val="auto"/>
          <w:szCs w:val="21"/>
          <w:highlight w:val="none"/>
        </w:rPr>
      </w:pPr>
    </w:p>
    <w:p>
      <w:pPr>
        <w:spacing w:line="560" w:lineRule="exact"/>
        <w:rPr>
          <w:rFonts w:ascii="仿宋" w:hAnsi="仿宋" w:eastAsia="仿宋" w:cs="仿宋"/>
          <w:color w:val="auto"/>
          <w:szCs w:val="21"/>
          <w:highlight w:val="none"/>
        </w:rPr>
      </w:pPr>
    </w:p>
    <w:p>
      <w:pPr>
        <w:pStyle w:val="7"/>
        <w:ind w:firstLine="0"/>
        <w:jc w:val="center"/>
        <w:rPr>
          <w:rFonts w:hint="eastAsia" w:ascii="宋体" w:hAnsi="宋体" w:cs="宋体"/>
          <w:b/>
          <w:bCs/>
          <w:color w:val="auto"/>
          <w:highlight w:val="none"/>
        </w:rPr>
      </w:pPr>
    </w:p>
    <w:p>
      <w:pPr>
        <w:pStyle w:val="7"/>
        <w:ind w:firstLine="0"/>
        <w:jc w:val="both"/>
        <w:rPr>
          <w:rFonts w:hint="eastAsia" w:ascii="宋体" w:hAnsi="宋体" w:cs="宋体"/>
          <w:b/>
          <w:bCs/>
          <w:color w:val="auto"/>
          <w:highlight w:val="none"/>
        </w:rPr>
      </w:pPr>
    </w:p>
    <w:p>
      <w:pPr>
        <w:pStyle w:val="17"/>
        <w:jc w:val="left"/>
        <w:rPr>
          <w:rFonts w:hint="eastAsia" w:ascii="宋体" w:hAnsi="宋体" w:eastAsia="宋体" w:cs="宋体"/>
          <w:b/>
          <w:bCs/>
          <w:color w:val="auto"/>
          <w:kern w:val="28"/>
          <w:sz w:val="32"/>
          <w:szCs w:val="32"/>
          <w:highlight w:val="none"/>
          <w:lang w:val="en-US" w:eastAsia="zh-CN" w:bidi="ar-SA"/>
        </w:rPr>
      </w:pPr>
      <w:bookmarkStart w:id="149" w:name="_Toc20486"/>
    </w:p>
    <w:p>
      <w:pPr>
        <w:pStyle w:val="17"/>
        <w:jc w:val="left"/>
        <w:rPr>
          <w:rFonts w:hint="eastAsia" w:ascii="宋体" w:hAnsi="宋体" w:eastAsia="宋体" w:cs="宋体"/>
          <w:b/>
          <w:bCs/>
          <w:color w:val="auto"/>
          <w:sz w:val="21"/>
          <w:szCs w:val="21"/>
          <w:highlight w:val="none"/>
          <w:lang w:val="en-US" w:eastAsia="zh-CN"/>
        </w:rPr>
      </w:pPr>
      <w:bookmarkStart w:id="150" w:name="_Toc8628"/>
      <w:r>
        <w:rPr>
          <w:rFonts w:hint="eastAsia" w:ascii="宋体" w:hAnsi="宋体" w:eastAsia="宋体" w:cs="宋体"/>
          <w:b/>
          <w:bCs/>
          <w:color w:val="auto"/>
          <w:kern w:val="28"/>
          <w:sz w:val="32"/>
          <w:szCs w:val="32"/>
          <w:highlight w:val="none"/>
          <w:lang w:val="en-US" w:eastAsia="zh-CN" w:bidi="ar-SA"/>
        </w:rPr>
        <w:t>附件</w:t>
      </w:r>
      <w:r>
        <w:rPr>
          <w:rFonts w:hint="eastAsia" w:ascii="宋体" w:hAnsi="宋体" w:cs="宋体"/>
          <w:b/>
          <w:bCs/>
          <w:color w:val="auto"/>
          <w:sz w:val="21"/>
          <w:szCs w:val="21"/>
          <w:highlight w:val="none"/>
          <w:lang w:val="en-US" w:eastAsia="zh-CN"/>
        </w:rPr>
        <w:t>：</w:t>
      </w:r>
      <w:bookmarkEnd w:id="149"/>
      <w:bookmarkEnd w:id="150"/>
    </w:p>
    <w:p>
      <w:pPr>
        <w:numPr>
          <w:ilvl w:val="0"/>
          <w:numId w:val="0"/>
        </w:numPr>
        <w:spacing w:line="460" w:lineRule="exact"/>
        <w:jc w:val="center"/>
        <w:rPr>
          <w:rFonts w:hint="eastAsia" w:ascii="宋体" w:hAnsi="宋体" w:eastAsia="宋体" w:cs="宋体"/>
          <w:b/>
          <w:bCs/>
          <w:color w:val="auto"/>
          <w:kern w:val="28"/>
          <w:sz w:val="32"/>
          <w:szCs w:val="32"/>
          <w:highlight w:val="none"/>
          <w:lang w:val="en-US" w:eastAsia="zh-CN" w:bidi="ar-SA"/>
        </w:rPr>
      </w:pPr>
      <w:r>
        <w:rPr>
          <w:rFonts w:hint="eastAsia" w:ascii="宋体" w:hAnsi="宋体" w:cs="宋体"/>
          <w:b/>
          <w:bCs/>
          <w:color w:val="auto"/>
          <w:kern w:val="28"/>
          <w:sz w:val="32"/>
          <w:szCs w:val="32"/>
          <w:highlight w:val="none"/>
          <w:lang w:val="en-US" w:eastAsia="zh-CN" w:bidi="ar-SA"/>
        </w:rPr>
        <w:t>一、</w:t>
      </w:r>
      <w:r>
        <w:rPr>
          <w:rFonts w:hint="eastAsia" w:ascii="宋体" w:hAnsi="宋体" w:eastAsia="宋体" w:cs="宋体"/>
          <w:b/>
          <w:bCs/>
          <w:color w:val="auto"/>
          <w:kern w:val="28"/>
          <w:sz w:val="32"/>
          <w:szCs w:val="32"/>
          <w:highlight w:val="none"/>
          <w:lang w:val="en-US" w:eastAsia="zh-CN" w:bidi="ar-SA"/>
        </w:rPr>
        <w:t>参加政府采购活动前三年内，在经营活动中</w:t>
      </w:r>
    </w:p>
    <w:p>
      <w:pPr>
        <w:numPr>
          <w:ilvl w:val="0"/>
          <w:numId w:val="0"/>
        </w:numPr>
        <w:spacing w:line="460" w:lineRule="exact"/>
        <w:jc w:val="center"/>
        <w:rPr>
          <w:rFonts w:hint="eastAsia" w:ascii="宋体" w:hAnsi="宋体" w:eastAsia="宋体" w:cs="宋体"/>
          <w:b/>
          <w:bCs/>
          <w:color w:val="auto"/>
          <w:kern w:val="28"/>
          <w:sz w:val="32"/>
          <w:szCs w:val="32"/>
          <w:highlight w:val="none"/>
          <w:lang w:val="en-US" w:eastAsia="zh-CN" w:bidi="ar-SA"/>
        </w:rPr>
      </w:pPr>
      <w:r>
        <w:rPr>
          <w:rFonts w:hint="eastAsia" w:ascii="宋体" w:hAnsi="宋体" w:eastAsia="宋体" w:cs="宋体"/>
          <w:b/>
          <w:bCs/>
          <w:color w:val="auto"/>
          <w:kern w:val="28"/>
          <w:sz w:val="32"/>
          <w:szCs w:val="32"/>
          <w:highlight w:val="none"/>
          <w:lang w:val="en-US" w:eastAsia="zh-CN" w:bidi="ar-SA"/>
        </w:rPr>
        <w:t>没有重大违法记录声明函</w:t>
      </w:r>
    </w:p>
    <w:p>
      <w:pPr>
        <w:pStyle w:val="4"/>
        <w:keepNext/>
        <w:keepLines/>
        <w:widowControl w:val="0"/>
        <w:numPr>
          <w:ilvl w:val="1"/>
          <w:numId w:val="0"/>
        </w:numPr>
        <w:spacing w:before="260" w:after="260" w:line="416" w:lineRule="atLeast"/>
        <w:jc w:val="both"/>
        <w:outlineLvl w:val="1"/>
        <w:rPr>
          <w:rFonts w:hint="eastAsia"/>
          <w:color w:val="auto"/>
          <w:highlight w:val="none"/>
          <w:lang w:val="en-US" w:eastAsia="zh-CN"/>
        </w:rPr>
      </w:pPr>
    </w:p>
    <w:p>
      <w:pPr>
        <w:spacing w:line="360" w:lineRule="auto"/>
        <w:rPr>
          <w:rFonts w:ascii="宋体" w:hAnsi="宋体" w:cs="Arial"/>
          <w:b/>
          <w:color w:val="auto"/>
          <w:sz w:val="21"/>
          <w:szCs w:val="21"/>
          <w:highlight w:val="none"/>
          <w:u w:val="single"/>
        </w:rPr>
      </w:pPr>
      <w:r>
        <w:rPr>
          <w:rFonts w:ascii="宋体" w:hAnsi="宋体" w:cs="Arial"/>
          <w:b/>
          <w:bCs/>
          <w:color w:val="auto"/>
          <w:sz w:val="21"/>
          <w:szCs w:val="21"/>
          <w:highlight w:val="none"/>
        </w:rPr>
        <w:t>致：</w:t>
      </w:r>
      <w:r>
        <w:rPr>
          <w:rFonts w:hint="eastAsia" w:ascii="宋体" w:hAnsi="宋体" w:cs="Arial"/>
          <w:b/>
          <w:bCs/>
          <w:color w:val="auto"/>
          <w:sz w:val="21"/>
          <w:szCs w:val="21"/>
          <w:highlight w:val="none"/>
          <w:u w:val="single"/>
        </w:rPr>
        <w:t xml:space="preserve">   </w:t>
      </w:r>
      <w:r>
        <w:rPr>
          <w:rFonts w:ascii="宋体" w:hAnsi="宋体" w:cs="Arial"/>
          <w:b/>
          <w:color w:val="auto"/>
          <w:sz w:val="21"/>
          <w:szCs w:val="21"/>
          <w:highlight w:val="none"/>
          <w:u w:val="single"/>
        </w:rPr>
        <w:t xml:space="preserve"> </w:t>
      </w:r>
      <w:r>
        <w:rPr>
          <w:rFonts w:hint="eastAsia" w:ascii="宋体" w:hAnsi="宋体" w:cs="Arial"/>
          <w:b/>
          <w:color w:val="auto"/>
          <w:sz w:val="21"/>
          <w:szCs w:val="21"/>
          <w:highlight w:val="none"/>
          <w:u w:val="single"/>
        </w:rPr>
        <w:t xml:space="preserve">           </w:t>
      </w:r>
      <w:r>
        <w:rPr>
          <w:rFonts w:hint="eastAsia" w:ascii="宋体" w:hAnsi="宋体" w:cs="Arial"/>
          <w:b/>
          <w:color w:val="auto"/>
          <w:sz w:val="21"/>
          <w:szCs w:val="21"/>
          <w:highlight w:val="none"/>
        </w:rPr>
        <w:t>（</w:t>
      </w:r>
      <w:r>
        <w:rPr>
          <w:rFonts w:hint="eastAsia" w:ascii="宋体" w:hAnsi="宋体" w:cs="Arial"/>
          <w:b/>
          <w:color w:val="auto"/>
          <w:sz w:val="21"/>
          <w:szCs w:val="21"/>
          <w:highlight w:val="none"/>
          <w:lang w:val="en-US" w:eastAsia="zh-CN"/>
        </w:rPr>
        <w:t>采购</w:t>
      </w:r>
      <w:r>
        <w:rPr>
          <w:rFonts w:hint="eastAsia" w:ascii="宋体" w:hAnsi="宋体" w:cs="Arial"/>
          <w:b/>
          <w:color w:val="auto"/>
          <w:sz w:val="21"/>
          <w:szCs w:val="21"/>
          <w:highlight w:val="none"/>
        </w:rPr>
        <w:t>人）</w:t>
      </w:r>
    </w:p>
    <w:p>
      <w:pPr>
        <w:pStyle w:val="24"/>
        <w:ind w:firstLine="480"/>
        <w:rPr>
          <w:color w:val="auto"/>
          <w:sz w:val="21"/>
          <w:szCs w:val="21"/>
          <w:highlight w:val="none"/>
        </w:rPr>
      </w:pPr>
    </w:p>
    <w:p>
      <w:pPr>
        <w:spacing w:line="460" w:lineRule="exact"/>
        <w:ind w:firstLine="420" w:firstLineChars="200"/>
        <w:rPr>
          <w:rFonts w:hint="eastAsia" w:ascii="宋体" w:hAnsi="Times New Roman" w:eastAsia="宋体" w:cs="宋体"/>
          <w:color w:val="auto"/>
          <w:kern w:val="0"/>
          <w:sz w:val="21"/>
          <w:szCs w:val="21"/>
          <w:highlight w:val="none"/>
          <w:lang w:val="en-US" w:eastAsia="zh-CN" w:bidi="ar-SA"/>
        </w:rPr>
      </w:pPr>
      <w:r>
        <w:rPr>
          <w:rFonts w:hint="eastAsia" w:ascii="宋体" w:hAnsi="Times New Roman" w:eastAsia="宋体" w:cs="宋体"/>
          <w:color w:val="auto"/>
          <w:kern w:val="0"/>
          <w:sz w:val="21"/>
          <w:szCs w:val="21"/>
          <w:highlight w:val="none"/>
          <w:lang w:val="en-US" w:eastAsia="zh-CN" w:bidi="ar-SA"/>
        </w:rPr>
        <w:t>我公司参加政府采购活动前三年内，在经营活动中没有重大违法记录，特此承诺。</w:t>
      </w:r>
    </w:p>
    <w:p>
      <w:pPr>
        <w:spacing w:line="360" w:lineRule="auto"/>
        <w:ind w:firstLine="420" w:firstLineChars="200"/>
        <w:rPr>
          <w:rFonts w:hint="eastAsia" w:ascii="宋体" w:hAnsi="Times New Roman" w:eastAsia="宋体" w:cs="宋体"/>
          <w:color w:val="auto"/>
          <w:kern w:val="0"/>
          <w:sz w:val="21"/>
          <w:szCs w:val="21"/>
          <w:highlight w:val="none"/>
          <w:lang w:val="en-US" w:eastAsia="zh-CN" w:bidi="ar-SA"/>
        </w:rPr>
      </w:pPr>
      <w:r>
        <w:rPr>
          <w:rFonts w:hint="eastAsia" w:ascii="宋体" w:hAnsi="Times New Roman" w:eastAsia="宋体" w:cs="宋体"/>
          <w:color w:val="auto"/>
          <w:kern w:val="0"/>
          <w:sz w:val="21"/>
          <w:szCs w:val="21"/>
          <w:highlight w:val="none"/>
          <w:lang w:val="en-US" w:eastAsia="zh-CN" w:bidi="ar-SA"/>
        </w:rPr>
        <w:t>若招标采购单位在本项目采购过程中发现我单位近三年内在经营活动中有重大违法记录，我单位将无条件地退出本项目的招标，并承担因此引起的一切后果。</w:t>
      </w:r>
    </w:p>
    <w:p>
      <w:pPr>
        <w:spacing w:line="360" w:lineRule="auto"/>
        <w:ind w:firstLine="480" w:firstLineChars="200"/>
        <w:rPr>
          <w:rFonts w:ascii="宋体" w:hAnsi="宋体"/>
          <w:bCs/>
          <w:color w:val="auto"/>
          <w:sz w:val="24"/>
          <w:szCs w:val="24"/>
          <w:highlight w:val="none"/>
        </w:rPr>
      </w:pPr>
    </w:p>
    <w:p>
      <w:pPr>
        <w:spacing w:line="360" w:lineRule="auto"/>
        <w:ind w:firstLine="480" w:firstLineChars="200"/>
        <w:rPr>
          <w:rFonts w:ascii="宋体" w:hAnsi="宋体"/>
          <w:color w:val="auto"/>
          <w:sz w:val="24"/>
          <w:szCs w:val="24"/>
          <w:highlight w:val="none"/>
        </w:rPr>
      </w:pPr>
    </w:p>
    <w:p>
      <w:pPr>
        <w:pStyle w:val="9"/>
        <w:spacing w:line="420" w:lineRule="exact"/>
        <w:ind w:left="0" w:leftChars="0" w:firstLine="420" w:firstLineChars="200"/>
        <w:rPr>
          <w:rFonts w:ascii="宋体" w:hAnsi="宋体" w:cs="宋体"/>
          <w:color w:val="auto"/>
          <w:szCs w:val="21"/>
          <w:highlight w:val="none"/>
        </w:rPr>
      </w:pPr>
    </w:p>
    <w:p>
      <w:pPr>
        <w:pStyle w:val="9"/>
        <w:spacing w:line="420" w:lineRule="exact"/>
        <w:ind w:left="0" w:leftChars="0" w:firstLine="420" w:firstLineChars="200"/>
        <w:rPr>
          <w:rFonts w:ascii="宋体" w:hAnsi="宋体" w:cs="宋体"/>
          <w:color w:val="auto"/>
          <w:szCs w:val="21"/>
          <w:highlight w:val="none"/>
        </w:rPr>
      </w:pPr>
    </w:p>
    <w:p>
      <w:pPr>
        <w:pStyle w:val="9"/>
        <w:spacing w:line="420" w:lineRule="exact"/>
        <w:ind w:left="0" w:leftChars="0" w:firstLine="420" w:firstLineChars="200"/>
        <w:rPr>
          <w:rFonts w:ascii="宋体" w:hAnsi="宋体" w:cs="宋体"/>
          <w:color w:val="auto"/>
          <w:szCs w:val="21"/>
          <w:highlight w:val="none"/>
        </w:rPr>
      </w:pPr>
    </w:p>
    <w:p>
      <w:pPr>
        <w:pStyle w:val="9"/>
        <w:spacing w:line="420" w:lineRule="exact"/>
        <w:ind w:left="0" w:leftChars="0" w:firstLine="420" w:firstLineChars="200"/>
        <w:rPr>
          <w:rFonts w:ascii="宋体" w:hAnsi="宋体" w:cs="宋体"/>
          <w:color w:val="auto"/>
          <w:szCs w:val="21"/>
          <w:highlight w:val="none"/>
        </w:rPr>
      </w:pPr>
    </w:p>
    <w:p>
      <w:pPr>
        <w:pStyle w:val="9"/>
        <w:spacing w:line="420" w:lineRule="exact"/>
        <w:ind w:left="0" w:leftChars="0" w:firstLine="420" w:firstLineChars="200"/>
        <w:rPr>
          <w:rFonts w:ascii="宋体" w:hAnsi="宋体" w:cs="宋体"/>
          <w:color w:val="auto"/>
          <w:szCs w:val="21"/>
          <w:highlight w:val="none"/>
        </w:rPr>
      </w:pPr>
    </w:p>
    <w:p>
      <w:pPr>
        <w:pStyle w:val="9"/>
        <w:spacing w:line="420" w:lineRule="exact"/>
        <w:ind w:left="0" w:leftChars="0" w:firstLine="420" w:firstLineChars="200"/>
        <w:rPr>
          <w:rFonts w:ascii="宋体" w:hAnsi="宋体" w:cs="宋体"/>
          <w:color w:val="auto"/>
          <w:szCs w:val="21"/>
          <w:highlight w:val="none"/>
        </w:rPr>
      </w:pPr>
    </w:p>
    <w:p>
      <w:pPr>
        <w:pStyle w:val="9"/>
        <w:spacing w:line="420" w:lineRule="exact"/>
        <w:ind w:left="0" w:leftChars="0" w:firstLine="420" w:firstLineChars="200"/>
        <w:rPr>
          <w:rFonts w:ascii="宋体" w:hAnsi="宋体" w:cs="宋体"/>
          <w:color w:val="auto"/>
          <w:szCs w:val="21"/>
          <w:highlight w:val="none"/>
        </w:rPr>
      </w:pPr>
    </w:p>
    <w:p>
      <w:pPr>
        <w:pStyle w:val="9"/>
        <w:spacing w:line="420" w:lineRule="exact"/>
        <w:ind w:left="0" w:leftChars="0" w:firstLine="420" w:firstLineChars="200"/>
        <w:rPr>
          <w:rFonts w:ascii="宋体" w:hAnsi="宋体" w:cs="宋体"/>
          <w:color w:val="auto"/>
          <w:szCs w:val="21"/>
          <w:highlight w:val="none"/>
        </w:rPr>
      </w:pPr>
    </w:p>
    <w:p>
      <w:pPr>
        <w:spacing w:line="500" w:lineRule="exact"/>
        <w:ind w:firstLine="4200" w:firstLineChars="2000"/>
        <w:jc w:val="both"/>
        <w:rPr>
          <w:rFonts w:ascii="宋体" w:hAnsi="宋体"/>
          <w:color w:val="auto"/>
          <w:sz w:val="21"/>
          <w:szCs w:val="21"/>
          <w:highlight w:val="none"/>
        </w:rPr>
      </w:pPr>
      <w:r>
        <w:rPr>
          <w:rFonts w:hint="eastAsia" w:ascii="宋体" w:hAnsi="宋体"/>
          <w:color w:val="auto"/>
          <w:sz w:val="21"/>
          <w:szCs w:val="21"/>
          <w:highlight w:val="none"/>
          <w:lang w:eastAsia="zh-CN"/>
        </w:rPr>
        <w:t>供应商名称</w:t>
      </w:r>
      <w:r>
        <w:rPr>
          <w:rFonts w:hint="eastAsia" w:ascii="宋体" w:hAnsi="宋体"/>
          <w:color w:val="auto"/>
          <w:sz w:val="21"/>
          <w:szCs w:val="21"/>
          <w:highlight w:val="none"/>
        </w:rPr>
        <w:t>：</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rPr>
        <w:t>（盖单位</w:t>
      </w:r>
      <w:r>
        <w:rPr>
          <w:rFonts w:hint="eastAsia" w:ascii="宋体" w:hAnsi="宋体"/>
          <w:color w:val="auto"/>
          <w:sz w:val="21"/>
          <w:szCs w:val="21"/>
          <w:highlight w:val="none"/>
          <w:lang w:eastAsia="zh-CN"/>
        </w:rPr>
        <w:t>公</w:t>
      </w:r>
      <w:r>
        <w:rPr>
          <w:rFonts w:hint="eastAsia" w:ascii="宋体" w:hAnsi="宋体"/>
          <w:color w:val="auto"/>
          <w:sz w:val="21"/>
          <w:szCs w:val="21"/>
          <w:highlight w:val="none"/>
        </w:rPr>
        <w:t>章）</w:t>
      </w:r>
    </w:p>
    <w:p>
      <w:pPr>
        <w:spacing w:line="500" w:lineRule="exact"/>
        <w:jc w:val="center"/>
        <w:rPr>
          <w:rFonts w:ascii="宋体" w:hAnsi="宋体"/>
          <w:color w:val="auto"/>
          <w:sz w:val="21"/>
          <w:szCs w:val="21"/>
          <w:highlight w:val="none"/>
        </w:rPr>
      </w:pPr>
      <w:r>
        <w:rPr>
          <w:rFonts w:hint="eastAsia" w:ascii="宋体" w:hAnsi="宋体"/>
          <w:color w:val="auto"/>
          <w:sz w:val="21"/>
          <w:szCs w:val="21"/>
          <w:highlight w:val="none"/>
          <w:lang w:val="en-US" w:eastAsia="zh-CN"/>
        </w:rPr>
        <w:t xml:space="preserve">                                   </w:t>
      </w:r>
      <w:r>
        <w:rPr>
          <w:rFonts w:hint="eastAsia" w:ascii="宋体" w:hAnsi="宋体"/>
          <w:color w:val="auto"/>
          <w:sz w:val="21"/>
          <w:szCs w:val="21"/>
          <w:highlight w:val="none"/>
        </w:rPr>
        <w:t>法定代表人或其委托代理人：</w:t>
      </w:r>
      <w:r>
        <w:rPr>
          <w:rFonts w:hint="eastAsia" w:ascii="宋体" w:hAnsi="宋体"/>
          <w:color w:val="auto"/>
          <w:sz w:val="21"/>
          <w:szCs w:val="21"/>
          <w:highlight w:val="none"/>
          <w:u w:val="single"/>
          <w:lang w:val="en-US" w:eastAsia="zh-CN"/>
        </w:rPr>
        <w:t xml:space="preserve">       </w:t>
      </w:r>
      <w:r>
        <w:rPr>
          <w:rFonts w:hint="eastAsia" w:ascii="宋体" w:hAnsi="宋体"/>
          <w:color w:val="auto"/>
          <w:sz w:val="21"/>
          <w:szCs w:val="21"/>
          <w:highlight w:val="none"/>
          <w:u w:val="none"/>
        </w:rPr>
        <w:t>（</w:t>
      </w:r>
      <w:r>
        <w:rPr>
          <w:rFonts w:hint="eastAsia" w:ascii="宋体" w:hAnsi="宋体"/>
          <w:color w:val="auto"/>
          <w:sz w:val="21"/>
          <w:szCs w:val="21"/>
          <w:highlight w:val="none"/>
        </w:rPr>
        <w:t>签字）</w:t>
      </w:r>
    </w:p>
    <w:p>
      <w:pPr>
        <w:pStyle w:val="61"/>
        <w:spacing w:line="500" w:lineRule="exact"/>
        <w:ind w:firstLine="4200" w:firstLineChars="2000"/>
        <w:rPr>
          <w:rFonts w:hint="default" w:ascii="宋体" w:hAnsi="宋体" w:eastAsia="宋体" w:cs="宋体"/>
          <w:color w:val="auto"/>
          <w:sz w:val="21"/>
          <w:szCs w:val="21"/>
          <w:highlight w:val="none"/>
          <w:u w:val="none"/>
          <w:lang w:val="en-US" w:eastAsia="zh-CN"/>
        </w:rPr>
      </w:pPr>
      <w:r>
        <w:rPr>
          <w:rFonts w:hint="eastAsia" w:ascii="宋体" w:hAnsi="宋体" w:cs="宋体"/>
          <w:color w:val="auto"/>
          <w:sz w:val="21"/>
          <w:szCs w:val="21"/>
          <w:highlight w:val="none"/>
          <w:lang w:eastAsia="zh-CN"/>
        </w:rPr>
        <w:t>日</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lang w:eastAsia="zh-CN"/>
        </w:rPr>
        <w:t>期：</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none"/>
          <w:lang w:val="en-US" w:eastAsia="zh-CN"/>
        </w:rPr>
        <w:t xml:space="preserve"> 年</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none"/>
          <w:lang w:val="en-US" w:eastAsia="zh-CN"/>
        </w:rPr>
        <w:t>月</w:t>
      </w:r>
      <w:r>
        <w:rPr>
          <w:rFonts w:hint="eastAsia" w:ascii="宋体" w:hAnsi="宋体" w:cs="宋体"/>
          <w:color w:val="auto"/>
          <w:sz w:val="21"/>
          <w:szCs w:val="21"/>
          <w:highlight w:val="none"/>
          <w:u w:val="single"/>
          <w:lang w:val="en-US" w:eastAsia="zh-CN"/>
        </w:rPr>
        <w:t xml:space="preserve">    </w:t>
      </w:r>
      <w:r>
        <w:rPr>
          <w:rFonts w:hint="eastAsia" w:ascii="宋体" w:hAnsi="宋体" w:cs="宋体"/>
          <w:color w:val="auto"/>
          <w:sz w:val="21"/>
          <w:szCs w:val="21"/>
          <w:highlight w:val="none"/>
          <w:u w:val="none"/>
          <w:lang w:val="en-US" w:eastAsia="zh-CN"/>
        </w:rPr>
        <w:t>日</w:t>
      </w:r>
    </w:p>
    <w:p>
      <w:pPr>
        <w:pStyle w:val="17"/>
        <w:jc w:val="both"/>
        <w:rPr>
          <w:rFonts w:hint="eastAsia" w:ascii="宋体" w:hAnsi="宋体" w:cs="宋体"/>
          <w:b/>
          <w:bCs/>
          <w:color w:val="auto"/>
          <w:sz w:val="21"/>
          <w:szCs w:val="21"/>
          <w:highlight w:val="none"/>
        </w:rPr>
      </w:pPr>
    </w:p>
    <w:p>
      <w:pPr>
        <w:overflowPunct w:val="0"/>
        <w:adjustRightInd w:val="0"/>
        <w:snapToGrid w:val="0"/>
        <w:spacing w:line="574" w:lineRule="exact"/>
        <w:jc w:val="center"/>
        <w:rPr>
          <w:rFonts w:hint="eastAsia" w:ascii="宋体" w:hAnsi="宋体" w:eastAsia="宋体" w:cs="宋体"/>
          <w:b/>
          <w:bCs/>
          <w:color w:val="auto"/>
          <w:sz w:val="32"/>
          <w:szCs w:val="48"/>
          <w:highlight w:val="none"/>
          <w:lang w:eastAsia="zh-CN"/>
        </w:rPr>
      </w:pPr>
      <w:bookmarkStart w:id="151" w:name="_Toc26829"/>
    </w:p>
    <w:p>
      <w:pPr>
        <w:overflowPunct w:val="0"/>
        <w:adjustRightInd w:val="0"/>
        <w:snapToGrid w:val="0"/>
        <w:spacing w:line="574" w:lineRule="exact"/>
        <w:jc w:val="center"/>
        <w:rPr>
          <w:rFonts w:hint="eastAsia" w:ascii="宋体" w:hAnsi="宋体" w:eastAsia="宋体" w:cs="宋体"/>
          <w:b/>
          <w:bCs/>
          <w:color w:val="auto"/>
          <w:sz w:val="32"/>
          <w:szCs w:val="48"/>
          <w:highlight w:val="none"/>
          <w:lang w:eastAsia="zh-CN"/>
        </w:rPr>
      </w:pPr>
    </w:p>
    <w:p>
      <w:pPr>
        <w:overflowPunct w:val="0"/>
        <w:adjustRightInd w:val="0"/>
        <w:snapToGrid w:val="0"/>
        <w:spacing w:line="574" w:lineRule="exact"/>
        <w:jc w:val="center"/>
        <w:rPr>
          <w:rFonts w:hint="eastAsia" w:ascii="宋体" w:hAnsi="宋体" w:eastAsia="宋体" w:cs="宋体"/>
          <w:b/>
          <w:bCs/>
          <w:color w:val="auto"/>
          <w:sz w:val="32"/>
          <w:szCs w:val="48"/>
          <w:highlight w:val="none"/>
          <w:lang w:eastAsia="zh-CN"/>
        </w:rPr>
      </w:pPr>
    </w:p>
    <w:p>
      <w:pPr>
        <w:overflowPunct w:val="0"/>
        <w:adjustRightInd w:val="0"/>
        <w:snapToGrid w:val="0"/>
        <w:spacing w:line="574" w:lineRule="exact"/>
        <w:jc w:val="center"/>
        <w:rPr>
          <w:rFonts w:hint="eastAsia" w:ascii="宋体" w:hAnsi="宋体" w:eastAsia="宋体" w:cs="宋体"/>
          <w:b/>
          <w:bCs/>
          <w:color w:val="auto"/>
          <w:sz w:val="32"/>
          <w:szCs w:val="48"/>
          <w:highlight w:val="none"/>
        </w:rPr>
      </w:pPr>
      <w:r>
        <w:rPr>
          <w:rFonts w:hint="eastAsia" w:ascii="宋体" w:hAnsi="宋体" w:eastAsia="宋体" w:cs="宋体"/>
          <w:b/>
          <w:bCs/>
          <w:color w:val="auto"/>
          <w:sz w:val="32"/>
          <w:szCs w:val="48"/>
          <w:highlight w:val="none"/>
          <w:lang w:eastAsia="zh-CN"/>
        </w:rPr>
        <w:t>二、温县</w:t>
      </w:r>
      <w:r>
        <w:rPr>
          <w:rFonts w:hint="eastAsia" w:ascii="宋体" w:hAnsi="宋体" w:eastAsia="宋体" w:cs="宋体"/>
          <w:b/>
          <w:bCs/>
          <w:color w:val="auto"/>
          <w:sz w:val="32"/>
          <w:szCs w:val="48"/>
          <w:highlight w:val="none"/>
        </w:rPr>
        <w:t>政府采购供应商资格信用承诺函</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p>
    <w:p>
      <w:pPr>
        <w:keepNext w:val="0"/>
        <w:keepLines w:val="0"/>
        <w:pageBreakBefore w:val="0"/>
        <w:widowControl w:val="0"/>
        <w:kinsoku/>
        <w:wordWrap/>
        <w:overflowPunct w:val="0"/>
        <w:topLinePunct w:val="0"/>
        <w:autoSpaceDE/>
        <w:autoSpaceDN/>
        <w:bidi w:val="0"/>
        <w:adjustRightInd w:val="0"/>
        <w:snapToGrid w:val="0"/>
        <w:spacing w:line="480" w:lineRule="exact"/>
        <w:ind w:firstLine="420" w:firstLineChars="200"/>
        <w:textAlignment w:val="auto"/>
        <w:rPr>
          <w:rFonts w:hint="eastAsia" w:ascii="宋体" w:hAnsi="宋体" w:eastAsia="宋体" w:cs="宋体"/>
          <w:color w:val="auto"/>
          <w:szCs w:val="32"/>
          <w:highlight w:val="none"/>
          <w:u w:val="none"/>
        </w:rPr>
      </w:pPr>
      <w:r>
        <w:rPr>
          <w:rFonts w:hint="eastAsia" w:ascii="宋体" w:hAnsi="宋体" w:eastAsia="宋体" w:cs="宋体"/>
          <w:color w:val="auto"/>
          <w:szCs w:val="32"/>
          <w:highlight w:val="none"/>
        </w:rPr>
        <w:t>致：</w:t>
      </w:r>
      <w:r>
        <w:rPr>
          <w:rFonts w:hint="eastAsia" w:ascii="宋体" w:hAnsi="宋体" w:eastAsia="宋体" w:cs="宋体"/>
          <w:color w:val="auto"/>
          <w:szCs w:val="32"/>
          <w:highlight w:val="none"/>
          <w:u w:val="single"/>
          <w:lang w:val="en-US" w:eastAsia="zh-CN"/>
        </w:rPr>
        <w:t xml:space="preserve">             </w:t>
      </w:r>
      <w:r>
        <w:rPr>
          <w:rFonts w:hint="eastAsia" w:ascii="宋体" w:hAnsi="宋体" w:cs="宋体"/>
          <w:color w:val="auto"/>
          <w:szCs w:val="32"/>
          <w:highlight w:val="none"/>
          <w:u w:val="single"/>
          <w:lang w:val="en-US" w:eastAsia="zh-CN"/>
        </w:rPr>
        <w:t xml:space="preserve">              </w:t>
      </w:r>
      <w:r>
        <w:rPr>
          <w:rFonts w:hint="eastAsia" w:ascii="宋体" w:hAnsi="宋体" w:eastAsia="宋体" w:cs="宋体"/>
          <w:color w:val="auto"/>
          <w:szCs w:val="32"/>
          <w:highlight w:val="none"/>
          <w:u w:val="none"/>
        </w:rPr>
        <w:t xml:space="preserve">（采购人或采购代理机构） </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    供应商名称：</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rPr>
        <w:t xml:space="preserve">                                  </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    统一社会信用代码：</w:t>
      </w:r>
      <w:r>
        <w:rPr>
          <w:rFonts w:hint="eastAsia" w:ascii="宋体" w:hAnsi="宋体" w:eastAsia="宋体" w:cs="宋体"/>
          <w:color w:val="auto"/>
          <w:szCs w:val="32"/>
          <w:highlight w:val="none"/>
          <w:u w:val="single"/>
        </w:rPr>
        <w:t xml:space="preserve">                                 </w:t>
      </w:r>
      <w:r>
        <w:rPr>
          <w:rFonts w:hint="eastAsia" w:ascii="宋体" w:hAnsi="宋体" w:cs="宋体"/>
          <w:color w:val="auto"/>
          <w:szCs w:val="32"/>
          <w:highlight w:val="none"/>
          <w:u w:val="single"/>
          <w:lang w:val="en-US" w:eastAsia="zh-CN"/>
        </w:rPr>
        <w:t xml:space="preserve">  </w:t>
      </w:r>
      <w:r>
        <w:rPr>
          <w:rFonts w:hint="eastAsia" w:ascii="宋体" w:hAnsi="宋体" w:eastAsia="宋体" w:cs="宋体"/>
          <w:color w:val="auto"/>
          <w:szCs w:val="32"/>
          <w:highlight w:val="none"/>
        </w:rPr>
        <w:t xml:space="preserve">                            </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    供应商地址：</w:t>
      </w:r>
      <w:r>
        <w:rPr>
          <w:rFonts w:hint="eastAsia" w:ascii="宋体" w:hAnsi="宋体" w:eastAsia="宋体" w:cs="宋体"/>
          <w:color w:val="auto"/>
          <w:szCs w:val="32"/>
          <w:highlight w:val="none"/>
          <w:u w:val="single"/>
        </w:rPr>
        <w:t xml:space="preserve">                                         </w:t>
      </w:r>
      <w:r>
        <w:rPr>
          <w:rFonts w:hint="eastAsia" w:ascii="宋体" w:hAnsi="宋体" w:eastAsia="宋体" w:cs="宋体"/>
          <w:color w:val="auto"/>
          <w:szCs w:val="32"/>
          <w:highlight w:val="none"/>
        </w:rPr>
        <w:t xml:space="preserve">                              </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    我单位自愿参加本次政府采购活动，严格遵守《中华人民共和国政府采购法》及相关法律法规，依法诚信经营，无条件遵守本次政府采购活动的各项规定。我单位郑重承诺，本单位符合《中华人民共和国政府采购法》第二十二条规定的条件：</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    1.</w:t>
      </w:r>
      <w:r>
        <w:rPr>
          <w:rFonts w:hint="eastAsia" w:ascii="宋体" w:hAnsi="宋体" w:eastAsia="宋体" w:cs="宋体"/>
          <w:color w:val="auto"/>
          <w:spacing w:val="6"/>
          <w:szCs w:val="32"/>
          <w:highlight w:val="none"/>
        </w:rPr>
        <w:t>我单位具有符合采购文件资格要求独立承担民事责任的能力。</w:t>
      </w:r>
    </w:p>
    <w:p>
      <w:pPr>
        <w:keepNext w:val="0"/>
        <w:keepLines w:val="0"/>
        <w:pageBreakBefore w:val="0"/>
        <w:widowControl w:val="0"/>
        <w:kinsoku/>
        <w:wordWrap/>
        <w:overflowPunct w:val="0"/>
        <w:topLinePunct w:val="0"/>
        <w:autoSpaceDE/>
        <w:autoSpaceDN/>
        <w:bidi w:val="0"/>
        <w:adjustRightInd w:val="0"/>
        <w:snapToGrid w:val="0"/>
        <w:spacing w:line="480" w:lineRule="exact"/>
        <w:ind w:firstLine="420" w:firstLineChars="200"/>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2.我单位具有符合采购文件资格要求的财务状况报告。</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3.我单位具有符合采购文件资格要求的依法缴纳税收和社会保障记录的良好记录。</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4.我单位具有符合采购文件资格要求履行合同所必需的设备和专业技术能力。</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    5.参加政府采购活动前三年内，在经营活动中没有重大违法记录。</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r>
        <w:rPr>
          <w:rFonts w:hint="eastAsia" w:ascii="宋体" w:hAnsi="宋体" w:eastAsia="宋体" w:cs="宋体"/>
          <w:color w:val="auto"/>
          <w:szCs w:val="32"/>
          <w:highlight w:val="none"/>
        </w:rPr>
        <w:t xml:space="preserve"> 　 若我单位承诺不实，自愿承担提供虚假材料谋取中标、成交的法律责任。</w:t>
      </w:r>
    </w:p>
    <w:p>
      <w:pPr>
        <w:keepNext w:val="0"/>
        <w:keepLines w:val="0"/>
        <w:pageBreakBefore w:val="0"/>
        <w:widowControl w:val="0"/>
        <w:kinsoku/>
        <w:wordWrap/>
        <w:overflowPunct w:val="0"/>
        <w:topLinePunct w:val="0"/>
        <w:autoSpaceDE/>
        <w:autoSpaceDN/>
        <w:bidi w:val="0"/>
        <w:adjustRightInd w:val="0"/>
        <w:snapToGrid w:val="0"/>
        <w:spacing w:line="480" w:lineRule="exact"/>
        <w:textAlignment w:val="auto"/>
        <w:rPr>
          <w:rFonts w:hint="eastAsia" w:ascii="宋体" w:hAnsi="宋体" w:eastAsia="宋体" w:cs="宋体"/>
          <w:color w:val="auto"/>
          <w:szCs w:val="32"/>
          <w:highlight w:val="none"/>
        </w:rPr>
      </w:pPr>
    </w:p>
    <w:p>
      <w:pPr>
        <w:spacing w:line="500" w:lineRule="exact"/>
        <w:ind w:firstLine="3990" w:firstLineChars="1900"/>
        <w:jc w:val="both"/>
        <w:rPr>
          <w:rFonts w:ascii="宋体" w:hAnsi="宋体"/>
          <w:color w:val="auto"/>
          <w:sz w:val="22"/>
          <w:szCs w:val="22"/>
          <w:highlight w:val="none"/>
        </w:rPr>
      </w:pPr>
      <w:r>
        <w:rPr>
          <w:rFonts w:hint="eastAsia" w:ascii="宋体" w:hAnsi="宋体" w:eastAsia="宋体" w:cs="宋体"/>
          <w:color w:val="auto"/>
          <w:szCs w:val="32"/>
          <w:highlight w:val="none"/>
        </w:rPr>
        <w:t xml:space="preserve"> </w:t>
      </w:r>
      <w:r>
        <w:rPr>
          <w:rFonts w:hint="eastAsia" w:ascii="宋体" w:hAnsi="宋体"/>
          <w:color w:val="auto"/>
          <w:sz w:val="22"/>
          <w:szCs w:val="22"/>
          <w:highlight w:val="none"/>
          <w:lang w:eastAsia="zh-CN"/>
        </w:rPr>
        <w:t>供应商名称</w:t>
      </w:r>
      <w:r>
        <w:rPr>
          <w:rFonts w:hint="eastAsia" w:ascii="宋体" w:hAnsi="宋体"/>
          <w:color w:val="auto"/>
          <w:sz w:val="22"/>
          <w:szCs w:val="22"/>
          <w:highlight w:val="none"/>
        </w:rPr>
        <w:t>：</w:t>
      </w:r>
      <w:r>
        <w:rPr>
          <w:rFonts w:hint="eastAsia" w:ascii="宋体" w:hAnsi="宋体"/>
          <w:color w:val="auto"/>
          <w:sz w:val="22"/>
          <w:szCs w:val="22"/>
          <w:highlight w:val="none"/>
          <w:u w:val="single"/>
          <w:lang w:val="en-US" w:eastAsia="zh-CN"/>
        </w:rPr>
        <w:t xml:space="preserve">               </w:t>
      </w:r>
      <w:r>
        <w:rPr>
          <w:rFonts w:hint="eastAsia" w:ascii="宋体" w:hAnsi="宋体"/>
          <w:color w:val="auto"/>
          <w:sz w:val="22"/>
          <w:szCs w:val="22"/>
          <w:highlight w:val="none"/>
        </w:rPr>
        <w:t>（盖单位</w:t>
      </w:r>
      <w:r>
        <w:rPr>
          <w:rFonts w:hint="eastAsia" w:ascii="宋体" w:hAnsi="宋体"/>
          <w:color w:val="auto"/>
          <w:sz w:val="22"/>
          <w:szCs w:val="22"/>
          <w:highlight w:val="none"/>
          <w:lang w:eastAsia="zh-CN"/>
        </w:rPr>
        <w:t>公</w:t>
      </w:r>
      <w:r>
        <w:rPr>
          <w:rFonts w:hint="eastAsia" w:ascii="宋体" w:hAnsi="宋体"/>
          <w:color w:val="auto"/>
          <w:sz w:val="22"/>
          <w:szCs w:val="22"/>
          <w:highlight w:val="none"/>
        </w:rPr>
        <w:t>章）</w:t>
      </w:r>
    </w:p>
    <w:p>
      <w:pPr>
        <w:spacing w:line="500" w:lineRule="exact"/>
        <w:jc w:val="center"/>
        <w:rPr>
          <w:rFonts w:ascii="宋体" w:hAnsi="宋体"/>
          <w:color w:val="auto"/>
          <w:sz w:val="22"/>
          <w:szCs w:val="22"/>
          <w:highlight w:val="none"/>
        </w:rPr>
      </w:pPr>
      <w:r>
        <w:rPr>
          <w:rFonts w:hint="eastAsia" w:ascii="宋体" w:hAnsi="宋体"/>
          <w:color w:val="auto"/>
          <w:sz w:val="22"/>
          <w:szCs w:val="22"/>
          <w:highlight w:val="none"/>
          <w:lang w:val="en-US" w:eastAsia="zh-CN"/>
        </w:rPr>
        <w:t xml:space="preserve">                                   </w:t>
      </w:r>
      <w:r>
        <w:rPr>
          <w:rFonts w:hint="eastAsia" w:ascii="宋体" w:hAnsi="宋体"/>
          <w:color w:val="auto"/>
          <w:sz w:val="22"/>
          <w:szCs w:val="22"/>
          <w:highlight w:val="none"/>
        </w:rPr>
        <w:t>法定代表人或其委托代理人：</w:t>
      </w:r>
      <w:r>
        <w:rPr>
          <w:rFonts w:hint="eastAsia" w:ascii="宋体" w:hAnsi="宋体"/>
          <w:color w:val="auto"/>
          <w:sz w:val="22"/>
          <w:szCs w:val="22"/>
          <w:highlight w:val="none"/>
          <w:u w:val="single"/>
          <w:lang w:val="en-US" w:eastAsia="zh-CN"/>
        </w:rPr>
        <w:t xml:space="preserve">       </w:t>
      </w:r>
      <w:r>
        <w:rPr>
          <w:rFonts w:hint="eastAsia" w:ascii="宋体" w:hAnsi="宋体"/>
          <w:color w:val="auto"/>
          <w:sz w:val="22"/>
          <w:szCs w:val="22"/>
          <w:highlight w:val="none"/>
          <w:u w:val="none"/>
        </w:rPr>
        <w:t>（</w:t>
      </w:r>
      <w:r>
        <w:rPr>
          <w:rFonts w:hint="eastAsia" w:ascii="宋体" w:hAnsi="宋体"/>
          <w:color w:val="auto"/>
          <w:sz w:val="22"/>
          <w:szCs w:val="22"/>
          <w:highlight w:val="none"/>
        </w:rPr>
        <w:t>签字）</w:t>
      </w:r>
    </w:p>
    <w:p>
      <w:pPr>
        <w:pStyle w:val="61"/>
        <w:spacing w:line="500" w:lineRule="exact"/>
        <w:ind w:firstLine="4200" w:firstLineChars="2000"/>
        <w:rPr>
          <w:rFonts w:hint="default" w:ascii="宋体" w:hAnsi="宋体" w:eastAsia="宋体" w:cs="宋体"/>
          <w:color w:val="auto"/>
          <w:szCs w:val="21"/>
          <w:highlight w:val="none"/>
          <w:u w:val="none"/>
          <w:lang w:val="en-US" w:eastAsia="zh-CN"/>
        </w:rPr>
      </w:pPr>
      <w:r>
        <w:rPr>
          <w:rFonts w:hint="eastAsia" w:ascii="宋体" w:hAnsi="宋体" w:cs="宋体"/>
          <w:color w:val="auto"/>
          <w:szCs w:val="21"/>
          <w:highlight w:val="none"/>
          <w:lang w:eastAsia="zh-CN"/>
        </w:rPr>
        <w:t>日</w:t>
      </w:r>
      <w:r>
        <w:rPr>
          <w:rFonts w:hint="eastAsia" w:ascii="宋体" w:hAnsi="宋体" w:cs="宋体"/>
          <w:color w:val="auto"/>
          <w:szCs w:val="21"/>
          <w:highlight w:val="none"/>
          <w:lang w:val="en-US" w:eastAsia="zh-CN"/>
        </w:rPr>
        <w:t xml:space="preserve">   </w:t>
      </w:r>
      <w:r>
        <w:rPr>
          <w:rFonts w:hint="eastAsia" w:ascii="宋体" w:hAnsi="宋体" w:cs="宋体"/>
          <w:color w:val="auto"/>
          <w:szCs w:val="21"/>
          <w:highlight w:val="none"/>
          <w:lang w:eastAsia="zh-CN"/>
        </w:rPr>
        <w:t>期：</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none"/>
          <w:lang w:val="en-US" w:eastAsia="zh-CN"/>
        </w:rPr>
        <w:t xml:space="preserve"> 年</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none"/>
          <w:lang w:val="en-US" w:eastAsia="zh-CN"/>
        </w:rPr>
        <w:t>月</w:t>
      </w:r>
      <w:r>
        <w:rPr>
          <w:rFonts w:hint="eastAsia" w:ascii="宋体" w:hAnsi="宋体" w:cs="宋体"/>
          <w:color w:val="auto"/>
          <w:szCs w:val="21"/>
          <w:highlight w:val="none"/>
          <w:u w:val="single"/>
          <w:lang w:val="en-US" w:eastAsia="zh-CN"/>
        </w:rPr>
        <w:t xml:space="preserve">    </w:t>
      </w:r>
      <w:r>
        <w:rPr>
          <w:rFonts w:hint="eastAsia" w:ascii="宋体" w:hAnsi="宋体" w:cs="宋体"/>
          <w:color w:val="auto"/>
          <w:szCs w:val="21"/>
          <w:highlight w:val="none"/>
          <w:u w:val="none"/>
          <w:lang w:val="en-US" w:eastAsia="zh-CN"/>
        </w:rPr>
        <w:t>日</w:t>
      </w:r>
    </w:p>
    <w:p>
      <w:pPr>
        <w:pStyle w:val="17"/>
        <w:jc w:val="both"/>
        <w:rPr>
          <w:rFonts w:hint="eastAsia" w:ascii="宋体" w:hAnsi="宋体" w:cs="宋体"/>
          <w:b/>
          <w:bCs/>
          <w:color w:val="auto"/>
          <w:sz w:val="32"/>
          <w:szCs w:val="32"/>
          <w:highlight w:val="none"/>
        </w:rPr>
      </w:pPr>
    </w:p>
    <w:p>
      <w:pPr>
        <w:keepNext w:val="0"/>
        <w:keepLines w:val="0"/>
        <w:pageBreakBefore w:val="0"/>
        <w:widowControl w:val="0"/>
        <w:kinsoku/>
        <w:wordWrap/>
        <w:overflowPunct w:val="0"/>
        <w:topLinePunct w:val="0"/>
        <w:autoSpaceDE/>
        <w:autoSpaceDN/>
        <w:bidi w:val="0"/>
        <w:adjustRightInd w:val="0"/>
        <w:snapToGrid w:val="0"/>
        <w:spacing w:line="480" w:lineRule="exact"/>
        <w:ind w:firstLine="420"/>
        <w:jc w:val="left"/>
        <w:textAlignment w:val="auto"/>
        <w:rPr>
          <w:rFonts w:hint="eastAsia" w:ascii="宋体" w:hAnsi="宋体" w:eastAsia="宋体" w:cs="宋体"/>
          <w:color w:val="auto"/>
          <w:szCs w:val="32"/>
          <w:highlight w:val="none"/>
        </w:rPr>
      </w:pPr>
      <w:r>
        <w:rPr>
          <w:rFonts w:hint="eastAsia" w:ascii="宋体" w:hAnsi="宋体" w:eastAsia="宋体" w:cs="宋体"/>
          <w:b/>
          <w:bCs/>
          <w:color w:val="auto"/>
          <w:szCs w:val="32"/>
          <w:highlight w:val="none"/>
        </w:rPr>
        <w:t>注：</w:t>
      </w:r>
      <w:r>
        <w:rPr>
          <w:rFonts w:hint="eastAsia" w:ascii="宋体" w:hAnsi="宋体" w:eastAsia="宋体" w:cs="宋体"/>
          <w:color w:val="auto"/>
          <w:szCs w:val="32"/>
          <w:highlight w:val="none"/>
        </w:rPr>
        <w:t>1.供应商须在投标文件中按此模板提供承诺函，未提供视为未实质性响应招标文件要求，按无效投标处理。</w:t>
      </w:r>
    </w:p>
    <w:p>
      <w:pPr>
        <w:keepNext w:val="0"/>
        <w:keepLines w:val="0"/>
        <w:pageBreakBefore w:val="0"/>
        <w:widowControl w:val="0"/>
        <w:kinsoku/>
        <w:wordWrap/>
        <w:overflowPunct w:val="0"/>
        <w:topLinePunct w:val="0"/>
        <w:autoSpaceDE/>
        <w:autoSpaceDN/>
        <w:bidi w:val="0"/>
        <w:adjustRightInd w:val="0"/>
        <w:snapToGrid w:val="0"/>
        <w:spacing w:line="480" w:lineRule="exact"/>
        <w:ind w:firstLine="420"/>
        <w:jc w:val="left"/>
        <w:textAlignment w:val="auto"/>
        <w:rPr>
          <w:rFonts w:hint="eastAsia"/>
          <w:color w:val="auto"/>
          <w:highlight w:val="none"/>
        </w:rPr>
      </w:pPr>
      <w:r>
        <w:rPr>
          <w:rFonts w:hint="eastAsia" w:ascii="宋体" w:hAnsi="宋体" w:cs="宋体"/>
          <w:color w:val="auto"/>
          <w:szCs w:val="32"/>
          <w:highlight w:val="none"/>
          <w:lang w:val="en-US" w:eastAsia="zh-CN"/>
        </w:rPr>
        <w:t>2.</w:t>
      </w:r>
      <w:r>
        <w:rPr>
          <w:rFonts w:hint="eastAsia" w:ascii="宋体" w:hAnsi="宋体" w:eastAsia="宋体" w:cs="宋体"/>
          <w:color w:val="auto"/>
          <w:szCs w:val="32"/>
          <w:highlight w:val="none"/>
        </w:rPr>
        <w:t>供应商的法定代表人（其他组织的为负责人）或者授权代表的签字或盖章应真实、有效，如由授权代表签字或盖章的，应提供“法定代表人授权书”。</w:t>
      </w:r>
    </w:p>
    <w:p>
      <w:pPr>
        <w:pStyle w:val="2"/>
        <w:numPr>
          <w:ilvl w:val="3"/>
          <w:numId w:val="0"/>
        </w:numPr>
        <w:ind w:left="1275" w:leftChars="0"/>
        <w:rPr>
          <w:rFonts w:hint="eastAsia"/>
          <w:color w:val="auto"/>
          <w:highlight w:val="none"/>
        </w:rPr>
      </w:pPr>
    </w:p>
    <w:p>
      <w:pPr>
        <w:pStyle w:val="17"/>
        <w:rPr>
          <w:rFonts w:hint="eastAsia" w:ascii="宋体" w:hAnsi="宋体" w:cs="宋体"/>
          <w:b/>
          <w:bCs/>
          <w:color w:val="auto"/>
          <w:sz w:val="32"/>
          <w:szCs w:val="32"/>
          <w:highlight w:val="none"/>
        </w:rPr>
      </w:pPr>
    </w:p>
    <w:p>
      <w:pPr>
        <w:pStyle w:val="17"/>
        <w:rPr>
          <w:rFonts w:ascii="宋体" w:hAnsi="宋体" w:cs="宋体"/>
          <w:b/>
          <w:bCs/>
          <w:color w:val="auto"/>
          <w:sz w:val="32"/>
          <w:szCs w:val="32"/>
          <w:highlight w:val="none"/>
        </w:rPr>
      </w:pPr>
      <w:bookmarkStart w:id="152" w:name="_Toc4936"/>
      <w:r>
        <w:rPr>
          <w:rFonts w:hint="eastAsia" w:ascii="宋体" w:hAnsi="宋体" w:cs="宋体"/>
          <w:b/>
          <w:bCs/>
          <w:color w:val="auto"/>
          <w:sz w:val="32"/>
          <w:szCs w:val="32"/>
          <w:highlight w:val="none"/>
        </w:rPr>
        <w:t>十</w:t>
      </w:r>
      <w:r>
        <w:rPr>
          <w:rFonts w:hint="eastAsia" w:ascii="宋体" w:hAnsi="宋体" w:cs="宋体"/>
          <w:b/>
          <w:bCs/>
          <w:color w:val="auto"/>
          <w:sz w:val="32"/>
          <w:szCs w:val="32"/>
          <w:highlight w:val="none"/>
          <w:lang w:eastAsia="zh-CN"/>
        </w:rPr>
        <w:t>三</w:t>
      </w:r>
      <w:r>
        <w:rPr>
          <w:rFonts w:hint="eastAsia" w:ascii="宋体" w:hAnsi="宋体" w:cs="宋体"/>
          <w:b/>
          <w:bCs/>
          <w:color w:val="auto"/>
          <w:sz w:val="32"/>
          <w:szCs w:val="32"/>
          <w:highlight w:val="none"/>
        </w:rPr>
        <w:t>、</w:t>
      </w:r>
      <w:r>
        <w:rPr>
          <w:rFonts w:hint="eastAsia" w:ascii="宋体" w:hAnsi="宋体" w:cs="宋体"/>
          <w:b/>
          <w:bCs/>
          <w:color w:val="auto"/>
          <w:sz w:val="32"/>
          <w:szCs w:val="32"/>
          <w:highlight w:val="none"/>
          <w:lang w:eastAsia="zh-CN"/>
        </w:rPr>
        <w:t>供应商</w:t>
      </w:r>
      <w:r>
        <w:rPr>
          <w:rFonts w:hint="eastAsia" w:ascii="宋体" w:hAnsi="宋体" w:cs="宋体"/>
          <w:b/>
          <w:bCs/>
          <w:color w:val="auto"/>
          <w:sz w:val="32"/>
          <w:szCs w:val="32"/>
          <w:highlight w:val="none"/>
        </w:rPr>
        <w:t>认为需要提供的其它资料</w:t>
      </w:r>
      <w:bookmarkEnd w:id="151"/>
      <w:bookmarkEnd w:id="152"/>
    </w:p>
    <w:p>
      <w:pPr>
        <w:pStyle w:val="7"/>
        <w:ind w:firstLine="0"/>
        <w:rPr>
          <w:rFonts w:hint="eastAsia" w:ascii="宋体" w:hAnsi="宋体" w:eastAsia="宋体" w:cs="宋体"/>
          <w:color w:val="auto"/>
          <w:highlight w:val="none"/>
          <w:lang w:eastAsia="zh-CN"/>
        </w:rPr>
      </w:pPr>
    </w:p>
    <w:p>
      <w:pPr>
        <w:rPr>
          <w:color w:val="auto"/>
          <w:highlight w:val="none"/>
        </w:rPr>
      </w:pPr>
    </w:p>
    <w:p>
      <w:pPr>
        <w:rPr>
          <w:color w:val="auto"/>
          <w:highlight w:val="none"/>
        </w:rPr>
      </w:pPr>
    </w:p>
    <w:p>
      <w:pPr>
        <w:pStyle w:val="30"/>
        <w:rPr>
          <w:b/>
          <w:color w:val="auto"/>
          <w:szCs w:val="21"/>
          <w:highlight w:val="none"/>
        </w:rPr>
      </w:pPr>
    </w:p>
    <w:p>
      <w:pPr>
        <w:pStyle w:val="30"/>
        <w:rPr>
          <w:color w:val="auto"/>
          <w:highlight w:val="none"/>
        </w:rPr>
      </w:pPr>
    </w:p>
    <w:p>
      <w:pPr>
        <w:pStyle w:val="17"/>
        <w:rPr>
          <w:rFonts w:hint="eastAsia" w:ascii="宋体" w:hAnsi="宋体" w:cs="宋体"/>
          <w:color w:val="auto"/>
          <w:highlight w:val="none"/>
        </w:rPr>
      </w:pPr>
      <w:bookmarkStart w:id="153" w:name="_Toc20577"/>
    </w:p>
    <w:p>
      <w:pPr>
        <w:pStyle w:val="17"/>
        <w:outlineLvl w:val="9"/>
        <w:rPr>
          <w:rFonts w:hint="eastAsia" w:ascii="宋体" w:hAnsi="宋体" w:cs="宋体"/>
          <w:color w:val="auto"/>
          <w:highlight w:val="none"/>
        </w:rPr>
      </w:pPr>
    </w:p>
    <w:bookmarkEnd w:id="153"/>
    <w:p>
      <w:pPr>
        <w:jc w:val="center"/>
        <w:rPr>
          <w:b/>
          <w:bCs/>
          <w:color w:val="auto"/>
          <w:sz w:val="28"/>
          <w:szCs w:val="28"/>
          <w:highlight w:val="none"/>
        </w:rPr>
      </w:pPr>
    </w:p>
    <w:p>
      <w:pPr>
        <w:jc w:val="center"/>
        <w:rPr>
          <w:b/>
          <w:bCs/>
          <w:color w:val="auto"/>
          <w:sz w:val="28"/>
          <w:szCs w:val="28"/>
          <w:highlight w:val="none"/>
        </w:rPr>
      </w:pPr>
    </w:p>
    <w:p>
      <w:pPr>
        <w:jc w:val="center"/>
        <w:rPr>
          <w:b/>
          <w:bCs/>
          <w:color w:val="auto"/>
          <w:sz w:val="28"/>
          <w:szCs w:val="28"/>
          <w:highlight w:val="none"/>
        </w:rPr>
      </w:pPr>
    </w:p>
    <w:p>
      <w:pPr>
        <w:jc w:val="center"/>
        <w:rPr>
          <w:b/>
          <w:bCs/>
          <w:color w:val="auto"/>
          <w:sz w:val="28"/>
          <w:szCs w:val="28"/>
          <w:highlight w:val="none"/>
        </w:rPr>
      </w:pPr>
    </w:p>
    <w:p>
      <w:pPr>
        <w:jc w:val="center"/>
        <w:rPr>
          <w:b/>
          <w:bCs/>
          <w:color w:val="auto"/>
          <w:sz w:val="28"/>
          <w:szCs w:val="28"/>
          <w:highlight w:val="none"/>
        </w:rPr>
      </w:pPr>
    </w:p>
    <w:p>
      <w:pPr>
        <w:jc w:val="center"/>
        <w:rPr>
          <w:b/>
          <w:bCs/>
          <w:color w:val="auto"/>
          <w:sz w:val="28"/>
          <w:szCs w:val="28"/>
          <w:highlight w:val="none"/>
        </w:rPr>
      </w:pPr>
    </w:p>
    <w:p>
      <w:pPr>
        <w:jc w:val="center"/>
        <w:rPr>
          <w:b/>
          <w:bCs/>
          <w:color w:val="auto"/>
          <w:sz w:val="28"/>
          <w:szCs w:val="28"/>
          <w:highlight w:val="none"/>
        </w:rPr>
      </w:pPr>
    </w:p>
    <w:p>
      <w:pPr>
        <w:jc w:val="center"/>
        <w:rPr>
          <w:b/>
          <w:bCs/>
          <w:color w:val="auto"/>
          <w:sz w:val="28"/>
          <w:szCs w:val="28"/>
          <w:highlight w:val="none"/>
        </w:rPr>
      </w:pPr>
    </w:p>
    <w:p>
      <w:pPr>
        <w:jc w:val="center"/>
        <w:rPr>
          <w:b/>
          <w:bCs/>
          <w:color w:val="auto"/>
          <w:sz w:val="28"/>
          <w:szCs w:val="28"/>
          <w:highlight w:val="none"/>
        </w:rPr>
      </w:pPr>
    </w:p>
    <w:p>
      <w:pPr>
        <w:jc w:val="center"/>
        <w:rPr>
          <w:b/>
          <w:bCs/>
          <w:color w:val="auto"/>
          <w:sz w:val="28"/>
          <w:szCs w:val="28"/>
          <w:highlight w:val="none"/>
        </w:rPr>
      </w:pPr>
    </w:p>
    <w:p>
      <w:pPr>
        <w:jc w:val="center"/>
        <w:rPr>
          <w:b/>
          <w:bCs/>
          <w:color w:val="auto"/>
          <w:sz w:val="28"/>
          <w:szCs w:val="28"/>
          <w:highlight w:val="none"/>
        </w:rPr>
      </w:pPr>
    </w:p>
    <w:p>
      <w:pPr>
        <w:jc w:val="center"/>
        <w:rPr>
          <w:b/>
          <w:bCs/>
          <w:color w:val="auto"/>
          <w:sz w:val="28"/>
          <w:szCs w:val="28"/>
          <w:highlight w:val="none"/>
        </w:rPr>
      </w:pPr>
    </w:p>
    <w:p>
      <w:pPr>
        <w:jc w:val="center"/>
        <w:rPr>
          <w:b/>
          <w:bCs/>
          <w:color w:val="auto"/>
          <w:sz w:val="28"/>
          <w:szCs w:val="28"/>
          <w:highlight w:val="none"/>
        </w:rPr>
      </w:pPr>
    </w:p>
    <w:p>
      <w:pPr>
        <w:jc w:val="center"/>
        <w:rPr>
          <w:b/>
          <w:bCs/>
          <w:color w:val="auto"/>
          <w:sz w:val="28"/>
          <w:szCs w:val="28"/>
          <w:highlight w:val="none"/>
        </w:rPr>
      </w:pPr>
    </w:p>
    <w:p>
      <w:pPr>
        <w:jc w:val="center"/>
        <w:rPr>
          <w:b/>
          <w:bCs/>
          <w:color w:val="auto"/>
          <w:sz w:val="28"/>
          <w:szCs w:val="28"/>
          <w:highlight w:val="none"/>
        </w:rPr>
      </w:pPr>
    </w:p>
    <w:p>
      <w:pPr>
        <w:jc w:val="center"/>
        <w:rPr>
          <w:b/>
          <w:bCs/>
          <w:color w:val="auto"/>
          <w:sz w:val="28"/>
          <w:szCs w:val="28"/>
          <w:highlight w:val="none"/>
        </w:rPr>
      </w:pPr>
    </w:p>
    <w:p>
      <w:pPr>
        <w:jc w:val="both"/>
        <w:rPr>
          <w:b/>
          <w:bCs/>
          <w:color w:val="auto"/>
          <w:sz w:val="28"/>
          <w:szCs w:val="28"/>
          <w:highlight w:val="none"/>
        </w:rPr>
      </w:pPr>
    </w:p>
    <w:p>
      <w:pPr>
        <w:jc w:val="center"/>
        <w:rPr>
          <w:b/>
          <w:bCs/>
          <w:color w:val="auto"/>
          <w:sz w:val="28"/>
          <w:szCs w:val="28"/>
          <w:highlight w:val="none"/>
        </w:rPr>
      </w:pPr>
      <w:r>
        <w:rPr>
          <w:rFonts w:hint="eastAsia"/>
          <w:b/>
          <w:bCs/>
          <w:color w:val="auto"/>
          <w:sz w:val="28"/>
          <w:szCs w:val="28"/>
          <w:highlight w:val="none"/>
        </w:rPr>
        <w:t>最终磋商报价表</w:t>
      </w:r>
    </w:p>
    <w:p>
      <w:pPr>
        <w:spacing w:line="360" w:lineRule="exact"/>
        <w:jc w:val="center"/>
        <w:rPr>
          <w:rFonts w:ascii="宋体" w:cs="宋体"/>
          <w:b/>
          <w:color w:val="auto"/>
          <w:szCs w:val="21"/>
          <w:highlight w:val="none"/>
        </w:rPr>
      </w:pPr>
    </w:p>
    <w:tbl>
      <w:tblPr>
        <w:tblStyle w:val="25"/>
        <w:tblW w:w="9781" w:type="dxa"/>
        <w:jc w:val="center"/>
        <w:tblLayout w:type="fixed"/>
        <w:tblCellMar>
          <w:top w:w="0" w:type="dxa"/>
          <w:left w:w="0" w:type="dxa"/>
          <w:bottom w:w="0" w:type="dxa"/>
          <w:right w:w="0" w:type="dxa"/>
        </w:tblCellMar>
      </w:tblPr>
      <w:tblGrid>
        <w:gridCol w:w="2028"/>
        <w:gridCol w:w="3764"/>
        <w:gridCol w:w="1462"/>
        <w:gridCol w:w="2527"/>
      </w:tblGrid>
      <w:tr>
        <w:tblPrEx>
          <w:tblCellMar>
            <w:top w:w="0" w:type="dxa"/>
            <w:left w:w="0" w:type="dxa"/>
            <w:bottom w:w="0" w:type="dxa"/>
            <w:right w:w="0" w:type="dxa"/>
          </w:tblCellMar>
        </w:tblPrEx>
        <w:trPr>
          <w:cantSplit/>
          <w:trHeight w:val="983"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highlight w:val="none"/>
              </w:rPr>
            </w:pPr>
            <w:r>
              <w:rPr>
                <w:rFonts w:hint="eastAsia" w:ascii="宋体" w:hAnsi="宋体" w:cs="宋体"/>
                <w:color w:val="auto"/>
                <w:szCs w:val="21"/>
                <w:highlight w:val="none"/>
              </w:rPr>
              <w:t>项目名称</w:t>
            </w:r>
          </w:p>
        </w:tc>
        <w:tc>
          <w:tcPr>
            <w:tcW w:w="3764"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highlight w:val="none"/>
              </w:rPr>
            </w:pPr>
          </w:p>
        </w:tc>
        <w:tc>
          <w:tcPr>
            <w:tcW w:w="146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color w:val="auto"/>
                <w:szCs w:val="21"/>
                <w:highlight w:val="none"/>
              </w:rPr>
            </w:pPr>
            <w:r>
              <w:rPr>
                <w:rFonts w:hint="eastAsia" w:ascii="宋体" w:hAnsi="宋体" w:cs="宋体"/>
                <w:color w:val="auto"/>
                <w:szCs w:val="21"/>
                <w:highlight w:val="none"/>
              </w:rPr>
              <w:t>项目编号</w:t>
            </w:r>
          </w:p>
        </w:tc>
        <w:tc>
          <w:tcPr>
            <w:tcW w:w="2527"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color w:val="auto"/>
                <w:szCs w:val="21"/>
                <w:highlight w:val="none"/>
              </w:rPr>
            </w:pPr>
          </w:p>
        </w:tc>
      </w:tr>
      <w:tr>
        <w:tblPrEx>
          <w:tblCellMar>
            <w:top w:w="0" w:type="dxa"/>
            <w:left w:w="0" w:type="dxa"/>
            <w:bottom w:w="0" w:type="dxa"/>
            <w:right w:w="0" w:type="dxa"/>
          </w:tblCellMar>
        </w:tblPrEx>
        <w:trPr>
          <w:cantSplit/>
          <w:trHeight w:val="1537" w:hRule="atLeast"/>
          <w:jc w:val="center"/>
        </w:trPr>
        <w:tc>
          <w:tcPr>
            <w:tcW w:w="2028"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highlight w:val="none"/>
              </w:rPr>
            </w:pPr>
            <w:r>
              <w:rPr>
                <w:rFonts w:hint="eastAsia" w:ascii="宋体" w:hAnsi="宋体" w:cs="宋体"/>
                <w:color w:val="auto"/>
                <w:szCs w:val="21"/>
                <w:highlight w:val="none"/>
              </w:rPr>
              <w:t>磋商报价</w:t>
            </w:r>
            <w:r>
              <w:rPr>
                <w:rFonts w:ascii="宋体" w:hAnsi="宋体" w:cs="宋体"/>
                <w:color w:val="auto"/>
                <w:szCs w:val="21"/>
                <w:highlight w:val="none"/>
              </w:rPr>
              <w:t xml:space="preserve"> </w:t>
            </w:r>
            <w:r>
              <w:rPr>
                <w:rFonts w:hint="eastAsia" w:ascii="宋体" w:hAnsi="宋体" w:cs="宋体"/>
                <w:color w:val="auto"/>
                <w:szCs w:val="21"/>
                <w:highlight w:val="none"/>
              </w:rPr>
              <w:t>（元）</w:t>
            </w:r>
          </w:p>
        </w:tc>
        <w:tc>
          <w:tcPr>
            <w:tcW w:w="7753"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ind w:firstLine="210" w:firstLineChars="100"/>
              <w:rPr>
                <w:rFonts w:ascii="宋体" w:hAnsi="宋体" w:cs="宋体"/>
                <w:color w:val="auto"/>
                <w:szCs w:val="21"/>
                <w:highlight w:val="none"/>
                <w:u w:val="single"/>
              </w:rPr>
            </w:pPr>
            <w:r>
              <w:rPr>
                <w:rFonts w:hint="eastAsia" w:ascii="宋体" w:hAnsi="宋体" w:cs="宋体"/>
                <w:color w:val="auto"/>
                <w:szCs w:val="21"/>
                <w:highlight w:val="none"/>
              </w:rPr>
              <w:t>总报价：人民币大写：</w:t>
            </w:r>
            <w:r>
              <w:rPr>
                <w:rFonts w:ascii="宋体" w:hAnsi="宋体" w:cs="宋体"/>
                <w:color w:val="auto"/>
                <w:szCs w:val="21"/>
                <w:highlight w:val="none"/>
                <w:u w:val="single"/>
              </w:rPr>
              <w:t xml:space="preserve">                 </w:t>
            </w:r>
            <w:r>
              <w:rPr>
                <w:rFonts w:hint="eastAsia" w:ascii="宋体" w:hAnsi="宋体" w:cs="宋体"/>
                <w:color w:val="auto"/>
                <w:szCs w:val="21"/>
                <w:highlight w:val="none"/>
              </w:rPr>
              <w:t>；小写：</w:t>
            </w:r>
            <w:r>
              <w:rPr>
                <w:rFonts w:ascii="宋体" w:hAnsi="宋体" w:cs="宋体"/>
                <w:color w:val="auto"/>
                <w:szCs w:val="21"/>
                <w:highlight w:val="none"/>
                <w:u w:val="single"/>
              </w:rPr>
              <w:t xml:space="preserve">                 </w:t>
            </w:r>
          </w:p>
        </w:tc>
      </w:tr>
      <w:tr>
        <w:tblPrEx>
          <w:tblCellMar>
            <w:top w:w="0" w:type="dxa"/>
            <w:left w:w="0" w:type="dxa"/>
            <w:bottom w:w="0" w:type="dxa"/>
            <w:right w:w="0" w:type="dxa"/>
          </w:tblCellMar>
        </w:tblPrEx>
        <w:trPr>
          <w:cantSplit/>
          <w:trHeight w:val="882"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highlight w:val="none"/>
              </w:rPr>
            </w:pPr>
            <w:r>
              <w:rPr>
                <w:rFonts w:hint="eastAsia" w:ascii="宋体" w:hAnsi="宋体" w:cs="宋体"/>
                <w:color w:val="auto"/>
                <w:szCs w:val="21"/>
                <w:highlight w:val="none"/>
              </w:rPr>
              <w:t>合同履行期限</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highlight w:val="none"/>
              </w:rPr>
            </w:pPr>
          </w:p>
        </w:tc>
      </w:tr>
      <w:tr>
        <w:tblPrEx>
          <w:tblCellMar>
            <w:top w:w="0" w:type="dxa"/>
            <w:left w:w="0" w:type="dxa"/>
            <w:bottom w:w="0" w:type="dxa"/>
            <w:right w:w="0" w:type="dxa"/>
          </w:tblCellMar>
        </w:tblPrEx>
        <w:trPr>
          <w:cantSplit/>
          <w:trHeight w:val="972"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hAnsi="宋体" w:cs="宋体"/>
                <w:color w:val="auto"/>
                <w:szCs w:val="21"/>
                <w:highlight w:val="none"/>
              </w:rPr>
            </w:pPr>
            <w:r>
              <w:rPr>
                <w:rFonts w:hint="eastAsia" w:ascii="宋体" w:hAnsi="宋体" w:cs="宋体"/>
                <w:color w:val="auto"/>
                <w:szCs w:val="21"/>
                <w:highlight w:val="none"/>
              </w:rPr>
              <w:t>质量要求</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highlight w:val="none"/>
              </w:rPr>
            </w:pPr>
          </w:p>
        </w:tc>
      </w:tr>
      <w:tr>
        <w:tblPrEx>
          <w:tblCellMar>
            <w:top w:w="0" w:type="dxa"/>
            <w:left w:w="0" w:type="dxa"/>
            <w:bottom w:w="0" w:type="dxa"/>
            <w:right w:w="0" w:type="dxa"/>
          </w:tblCellMar>
        </w:tblPrEx>
        <w:trPr>
          <w:cantSplit/>
          <w:trHeight w:val="869"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highlight w:val="none"/>
              </w:rPr>
            </w:pPr>
            <w:r>
              <w:rPr>
                <w:rFonts w:hint="eastAsia" w:ascii="宋体" w:hAnsi="宋体" w:eastAsia="宋体" w:cs="宋体"/>
                <w:color w:val="auto"/>
                <w:szCs w:val="21"/>
                <w:highlight w:val="none"/>
              </w:rPr>
              <w:t>磋商有效期</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cs="宋体"/>
                <w:color w:val="auto"/>
                <w:szCs w:val="21"/>
                <w:highlight w:val="none"/>
              </w:rPr>
            </w:pPr>
          </w:p>
        </w:tc>
      </w:tr>
      <w:tr>
        <w:tblPrEx>
          <w:tblCellMar>
            <w:top w:w="0" w:type="dxa"/>
            <w:left w:w="0" w:type="dxa"/>
            <w:bottom w:w="0" w:type="dxa"/>
            <w:right w:w="0" w:type="dxa"/>
          </w:tblCellMar>
        </w:tblPrEx>
        <w:trPr>
          <w:cantSplit/>
          <w:trHeight w:val="989" w:hRule="atLeast"/>
          <w:jc w:val="center"/>
        </w:trPr>
        <w:tc>
          <w:tcPr>
            <w:tcW w:w="2028"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hint="eastAsia"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备注</w:t>
            </w:r>
          </w:p>
        </w:tc>
        <w:tc>
          <w:tcPr>
            <w:tcW w:w="7753"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left"/>
              <w:rPr>
                <w:rFonts w:ascii="宋体" w:cs="宋体"/>
                <w:color w:val="auto"/>
                <w:szCs w:val="21"/>
                <w:highlight w:val="none"/>
              </w:rPr>
            </w:pPr>
          </w:p>
        </w:tc>
      </w:tr>
    </w:tbl>
    <w:p>
      <w:pPr>
        <w:spacing w:line="520" w:lineRule="exact"/>
        <w:rPr>
          <w:rFonts w:ascii="宋体" w:cs="宋体"/>
          <w:color w:val="auto"/>
          <w:szCs w:val="21"/>
          <w:highlight w:val="none"/>
        </w:rPr>
      </w:pPr>
      <w:r>
        <w:rPr>
          <w:rFonts w:ascii="宋体" w:hAnsi="宋体" w:cs="宋体"/>
          <w:color w:val="auto"/>
          <w:szCs w:val="21"/>
          <w:highlight w:val="none"/>
        </w:rPr>
        <w:t xml:space="preserve"> </w:t>
      </w:r>
      <w:r>
        <w:rPr>
          <w:rFonts w:hint="eastAsia" w:ascii="宋体" w:hAnsi="宋体" w:cs="宋体"/>
          <w:color w:val="auto"/>
          <w:szCs w:val="21"/>
          <w:highlight w:val="none"/>
        </w:rPr>
        <w:t>供应商名称（公章）：</w:t>
      </w:r>
    </w:p>
    <w:p>
      <w:pPr>
        <w:spacing w:line="520" w:lineRule="exact"/>
        <w:rPr>
          <w:rFonts w:hint="eastAsia" w:ascii="宋体" w:eastAsia="宋体" w:cs="宋体"/>
          <w:color w:val="auto"/>
          <w:szCs w:val="21"/>
          <w:highlight w:val="none"/>
          <w:lang w:eastAsia="zh-CN"/>
        </w:rPr>
      </w:pPr>
      <w:r>
        <w:rPr>
          <w:rFonts w:ascii="宋体" w:hAnsi="宋体" w:cs="宋体"/>
          <w:color w:val="auto"/>
          <w:szCs w:val="21"/>
          <w:highlight w:val="none"/>
        </w:rPr>
        <w:t xml:space="preserve"> </w:t>
      </w:r>
      <w:r>
        <w:rPr>
          <w:rFonts w:hint="eastAsia" w:ascii="宋体" w:hAnsi="宋体" w:cs="宋体"/>
          <w:color w:val="auto"/>
          <w:szCs w:val="21"/>
          <w:highlight w:val="none"/>
        </w:rPr>
        <w:t>法定代表人或授权委托人签字</w:t>
      </w:r>
      <w:r>
        <w:rPr>
          <w:rFonts w:hint="eastAsia" w:ascii="宋体" w:hAnsi="宋体" w:cs="宋体"/>
          <w:color w:val="auto"/>
          <w:szCs w:val="21"/>
          <w:highlight w:val="none"/>
          <w:lang w:eastAsia="zh-CN"/>
        </w:rPr>
        <w:t>：</w:t>
      </w:r>
    </w:p>
    <w:p>
      <w:pPr>
        <w:spacing w:line="360" w:lineRule="exact"/>
        <w:ind w:left="420" w:leftChars="200"/>
        <w:rPr>
          <w:rFonts w:ascii="宋体" w:cs="宋体"/>
          <w:color w:val="auto"/>
          <w:szCs w:val="21"/>
          <w:highlight w:val="none"/>
        </w:rPr>
      </w:pPr>
    </w:p>
    <w:p>
      <w:pPr>
        <w:spacing w:line="360" w:lineRule="exact"/>
        <w:rPr>
          <w:b/>
          <w:bCs/>
          <w:color w:val="auto"/>
          <w:highlight w:val="none"/>
          <w:u w:val="single"/>
        </w:rPr>
      </w:pPr>
      <w:r>
        <w:rPr>
          <w:rFonts w:ascii="宋体" w:hAnsi="宋体" w:cs="宋体"/>
          <w:color w:val="auto"/>
          <w:szCs w:val="21"/>
          <w:highlight w:val="none"/>
        </w:rPr>
        <w:t xml:space="preserve">                                                          </w:t>
      </w:r>
      <w:r>
        <w:rPr>
          <w:rFonts w:hint="eastAsia" w:ascii="宋体" w:hAnsi="宋体" w:cs="宋体"/>
          <w:color w:val="auto"/>
          <w:szCs w:val="21"/>
          <w:highlight w:val="none"/>
        </w:rPr>
        <w:t>年</w:t>
      </w:r>
      <w:r>
        <w:rPr>
          <w:rFonts w:ascii="宋体" w:hAnsi="宋体" w:cs="宋体"/>
          <w:color w:val="auto"/>
          <w:szCs w:val="21"/>
          <w:highlight w:val="none"/>
        </w:rPr>
        <w:t xml:space="preserve">    </w:t>
      </w:r>
      <w:r>
        <w:rPr>
          <w:rFonts w:hint="eastAsia" w:ascii="宋体" w:hAnsi="宋体" w:cs="宋体"/>
          <w:color w:val="auto"/>
          <w:szCs w:val="21"/>
          <w:highlight w:val="none"/>
        </w:rPr>
        <w:t>月</w:t>
      </w:r>
      <w:r>
        <w:rPr>
          <w:rFonts w:ascii="宋体" w:hAnsi="宋体" w:cs="宋体"/>
          <w:color w:val="auto"/>
          <w:szCs w:val="21"/>
          <w:highlight w:val="none"/>
        </w:rPr>
        <w:t xml:space="preserve"> </w:t>
      </w:r>
      <w:r>
        <w:rPr>
          <w:rFonts w:hint="eastAsia" w:ascii="宋体" w:hAnsi="宋体" w:cs="宋体"/>
          <w:color w:val="auto"/>
          <w:szCs w:val="21"/>
          <w:highlight w:val="none"/>
          <w:lang w:val="en-US" w:eastAsia="zh-CN"/>
        </w:rPr>
        <w:t xml:space="preserve"> </w:t>
      </w:r>
      <w:r>
        <w:rPr>
          <w:rFonts w:ascii="宋体" w:hAnsi="宋体" w:cs="宋体"/>
          <w:color w:val="auto"/>
          <w:szCs w:val="21"/>
          <w:highlight w:val="none"/>
        </w:rPr>
        <w:t xml:space="preserve">  </w:t>
      </w:r>
      <w:r>
        <w:rPr>
          <w:rFonts w:hint="eastAsia" w:ascii="宋体" w:hAnsi="宋体" w:cs="宋体"/>
          <w:color w:val="auto"/>
          <w:szCs w:val="21"/>
          <w:highlight w:val="none"/>
        </w:rPr>
        <w:t>日</w:t>
      </w:r>
    </w:p>
    <w:p>
      <w:pPr>
        <w:keepNext w:val="0"/>
        <w:keepLines w:val="0"/>
        <w:pageBreakBefore w:val="0"/>
        <w:widowControl w:val="0"/>
        <w:kinsoku/>
        <w:wordWrap/>
        <w:overflowPunct/>
        <w:topLinePunct w:val="0"/>
        <w:autoSpaceDE/>
        <w:autoSpaceDN/>
        <w:bidi w:val="0"/>
        <w:adjustRightInd/>
        <w:snapToGrid/>
        <w:spacing w:before="236" w:line="380" w:lineRule="exact"/>
        <w:textAlignment w:val="auto"/>
        <w:rPr>
          <w:rFonts w:hint="eastAsia" w:ascii="宋体" w:hAnsi="宋体" w:eastAsia="宋体" w:cs="宋体"/>
          <w:color w:val="auto"/>
          <w:spacing w:val="2"/>
          <w:sz w:val="21"/>
          <w:szCs w:val="21"/>
          <w:highlight w:val="none"/>
          <w:lang w:val="en-US" w:eastAsia="zh-CN"/>
        </w:rPr>
      </w:pPr>
      <w:r>
        <w:rPr>
          <w:rFonts w:hint="eastAsia" w:ascii="宋体" w:hAnsi="宋体" w:eastAsia="宋体" w:cs="宋体"/>
          <w:color w:val="auto"/>
          <w:spacing w:val="2"/>
          <w:sz w:val="21"/>
          <w:szCs w:val="21"/>
          <w:highlight w:val="none"/>
        </w:rPr>
        <w:t>注：</w:t>
      </w:r>
      <w:r>
        <w:rPr>
          <w:rFonts w:hint="eastAsia" w:ascii="宋体" w:hAnsi="宋体" w:eastAsia="宋体" w:cs="宋体"/>
          <w:color w:val="auto"/>
          <w:spacing w:val="2"/>
          <w:sz w:val="21"/>
          <w:szCs w:val="21"/>
          <w:highlight w:val="none"/>
          <w:lang w:val="en-US" w:eastAsia="zh-CN"/>
        </w:rPr>
        <w:t>1、报价应包括磋商文件所确定的采购范围内的全部费用。</w:t>
      </w:r>
    </w:p>
    <w:p>
      <w:pPr>
        <w:keepNext w:val="0"/>
        <w:keepLines w:val="0"/>
        <w:pageBreakBefore w:val="0"/>
        <w:widowControl w:val="0"/>
        <w:kinsoku/>
        <w:wordWrap/>
        <w:overflowPunct/>
        <w:topLinePunct w:val="0"/>
        <w:autoSpaceDE/>
        <w:autoSpaceDN/>
        <w:bidi w:val="0"/>
        <w:adjustRightInd/>
        <w:snapToGrid/>
        <w:spacing w:before="236" w:line="380" w:lineRule="exact"/>
        <w:ind w:firstLine="428" w:firstLineChars="200"/>
        <w:textAlignment w:val="auto"/>
        <w:rPr>
          <w:color w:val="auto"/>
          <w:highlight w:val="none"/>
        </w:rPr>
      </w:pPr>
      <w:r>
        <w:rPr>
          <w:rFonts w:hint="eastAsia" w:ascii="宋体" w:hAnsi="宋体" w:eastAsia="宋体" w:cs="宋体"/>
          <w:color w:val="auto"/>
          <w:spacing w:val="2"/>
          <w:sz w:val="21"/>
          <w:szCs w:val="21"/>
          <w:highlight w:val="none"/>
          <w:lang w:val="en-US" w:eastAsia="zh-CN"/>
        </w:rPr>
        <w:t>2、</w:t>
      </w:r>
      <w:r>
        <w:rPr>
          <w:rFonts w:hint="eastAsia" w:ascii="宋体" w:hAnsi="宋体" w:eastAsia="宋体" w:cs="宋体"/>
          <w:color w:val="auto"/>
          <w:spacing w:val="2"/>
          <w:sz w:val="21"/>
          <w:szCs w:val="21"/>
          <w:highlight w:val="none"/>
          <w:lang w:val="zh-CN" w:eastAsia="zh-CN"/>
        </w:rPr>
        <w:t>供应商应当对竞争性磋商的最终报价在焦作市公共资源交易平台</w:t>
      </w:r>
      <w:r>
        <w:rPr>
          <w:rFonts w:hint="eastAsia" w:ascii="宋体" w:hAnsi="宋体" w:eastAsia="宋体" w:cs="宋体"/>
          <w:color w:val="auto"/>
          <w:spacing w:val="2"/>
          <w:sz w:val="21"/>
          <w:szCs w:val="21"/>
          <w:highlight w:val="none"/>
          <w:lang w:val="en-US" w:eastAsia="zh-CN"/>
        </w:rPr>
        <w:t>系统</w:t>
      </w:r>
      <w:r>
        <w:rPr>
          <w:rFonts w:hint="eastAsia" w:ascii="宋体" w:hAnsi="宋体" w:eastAsia="宋体" w:cs="宋体"/>
          <w:color w:val="auto"/>
          <w:spacing w:val="2"/>
          <w:sz w:val="21"/>
          <w:szCs w:val="21"/>
          <w:highlight w:val="none"/>
          <w:lang w:val="zh-CN" w:eastAsia="zh-CN"/>
        </w:rPr>
        <w:t>进行</w:t>
      </w:r>
      <w:r>
        <w:rPr>
          <w:rFonts w:hint="eastAsia" w:ascii="宋体" w:hAnsi="宋体" w:eastAsia="宋体" w:cs="宋体"/>
          <w:color w:val="auto"/>
          <w:spacing w:val="2"/>
          <w:sz w:val="21"/>
          <w:szCs w:val="21"/>
          <w:highlight w:val="none"/>
          <w:lang w:val="en-US" w:eastAsia="zh-CN"/>
        </w:rPr>
        <w:t>签章</w:t>
      </w:r>
      <w:r>
        <w:rPr>
          <w:rFonts w:hint="eastAsia" w:ascii="宋体" w:hAnsi="宋体" w:eastAsia="宋体" w:cs="宋体"/>
          <w:color w:val="auto"/>
          <w:spacing w:val="2"/>
          <w:sz w:val="21"/>
          <w:szCs w:val="21"/>
          <w:highlight w:val="none"/>
          <w:lang w:val="zh-CN" w:eastAsia="zh-CN"/>
        </w:rPr>
        <w:t>确认，在规定的时限内</w:t>
      </w:r>
      <w:r>
        <w:rPr>
          <w:rFonts w:hint="eastAsia" w:ascii="宋体" w:hAnsi="宋体" w:eastAsia="宋体" w:cs="宋体"/>
          <w:color w:val="auto"/>
          <w:spacing w:val="2"/>
          <w:sz w:val="21"/>
          <w:szCs w:val="21"/>
          <w:highlight w:val="none"/>
          <w:lang w:val="en-US" w:eastAsia="zh-CN"/>
        </w:rPr>
        <w:t>上传</w:t>
      </w:r>
      <w:r>
        <w:rPr>
          <w:rFonts w:hint="eastAsia" w:ascii="宋体" w:hAnsi="宋体" w:eastAsia="宋体" w:cs="宋体"/>
          <w:color w:val="auto"/>
          <w:spacing w:val="2"/>
          <w:sz w:val="21"/>
          <w:szCs w:val="21"/>
          <w:highlight w:val="none"/>
          <w:lang w:val="zh-CN" w:eastAsia="zh-CN"/>
        </w:rPr>
        <w:t>给竞争性磋商小组，</w:t>
      </w:r>
      <w:r>
        <w:rPr>
          <w:rFonts w:hint="eastAsia" w:ascii="宋体" w:hAnsi="宋体" w:eastAsia="宋体" w:cs="宋体"/>
          <w:color w:val="auto"/>
          <w:spacing w:val="2"/>
          <w:sz w:val="21"/>
          <w:szCs w:val="21"/>
          <w:highlight w:val="none"/>
          <w:lang w:val="en-US" w:eastAsia="zh-CN"/>
        </w:rPr>
        <w:t>未在规定时间提供最后报价，由供应商自行承担相关责任。</w:t>
      </w:r>
    </w:p>
    <w:sectPr>
      <w:headerReference r:id="rId3" w:type="default"/>
      <w:footerReference r:id="rId4" w:type="default"/>
      <w:type w:val="continuous"/>
      <w:pgSz w:w="11906" w:h="16838"/>
      <w:pgMar w:top="1440" w:right="1417" w:bottom="1440" w:left="1417"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Segoe UI Symbol">
    <w:panose1 w:val="020B0502040204020203"/>
    <w:charset w:val="00"/>
    <w:family w:val="swiss"/>
    <w:pitch w:val="default"/>
    <w:sig w:usb0="800001E3" w:usb1="1200FFEF" w:usb2="00040000" w:usb3="04000000" w:csb0="00000001" w:csb1="4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1260" w:firstLineChars="600"/>
      <w:rPr>
        <w:rFonts w:ascii="仿宋_GB2312" w:eastAsia="仿宋_GB2312"/>
        <w:b/>
        <w:color w:val="000000"/>
        <w:sz w:val="32"/>
        <w:szCs w:val="32"/>
        <w:lang w:val="zh-CN"/>
      </w:rPr>
    </w:pPr>
    <w:r>
      <w:t xml:space="preserve">    </w:t>
    </w:r>
    <w:r>
      <w:rPr>
        <w:sz w:val="18"/>
        <w:szCs w:val="18"/>
      </w:rPr>
      <w:t xml:space="preserve"> </w:t>
    </w:r>
    <w:r>
      <w:rPr>
        <w:sz w:val="18"/>
        <w:szCs w:val="18"/>
      </w:rPr>
      <mc:AlternateContent>
        <mc:Choice Requires="wps">
          <w:drawing>
            <wp:anchor distT="0" distB="0" distL="114300" distR="114300" simplePos="0" relativeHeight="251659264" behindDoc="0" locked="0" layoutInCell="1" allowOverlap="1">
              <wp:simplePos x="0" y="0"/>
              <wp:positionH relativeFrom="margin">
                <wp:posOffset>4817745</wp:posOffset>
              </wp:positionH>
              <wp:positionV relativeFrom="paragraph">
                <wp:posOffset>123825</wp:posOffset>
              </wp:positionV>
              <wp:extent cx="103505" cy="139700"/>
              <wp:effectExtent l="0" t="0" r="0" b="0"/>
              <wp:wrapNone/>
              <wp:docPr id="1" name="4097"/>
              <wp:cNvGraphicFramePr/>
              <a:graphic xmlns:a="http://schemas.openxmlformats.org/drawingml/2006/main">
                <a:graphicData uri="http://schemas.microsoft.com/office/word/2010/wordprocessingShape">
                  <wps:wsp>
                    <wps:cNvSpPr txBox="1"/>
                    <wps:spPr>
                      <a:xfrm>
                        <a:off x="0" y="0"/>
                        <a:ext cx="103505" cy="139700"/>
                      </a:xfrm>
                      <a:prstGeom prst="rect">
                        <a:avLst/>
                      </a:prstGeom>
                      <a:noFill/>
                      <a:ln>
                        <a:noFill/>
                      </a:ln>
                    </wps:spPr>
                    <wps:txbx>
                      <w:txbxContent>
                        <w:p>
                          <w:pPr>
                            <w:snapToGrid w:val="0"/>
                            <w:rPr>
                              <w:sz w:val="18"/>
                            </w:rPr>
                          </w:pPr>
                        </w:p>
                      </w:txbxContent>
                    </wps:txbx>
                    <wps:bodyPr wrap="none" lIns="0" tIns="0" rIns="0" bIns="0" upright="1">
                      <a:spAutoFit/>
                    </wps:bodyPr>
                  </wps:wsp>
                </a:graphicData>
              </a:graphic>
            </wp:anchor>
          </w:drawing>
        </mc:Choice>
        <mc:Fallback>
          <w:pict>
            <v:shape id="4097" o:spid="_x0000_s1026" o:spt="202" type="#_x0000_t202" style="position:absolute;left:0pt;margin-left:379.35pt;margin-top:9.75pt;height:11pt;width:8.15pt;mso-position-horizontal-relative:margin;mso-wrap-style:none;z-index:251659264;mso-width-relative:page;mso-height-relative:page;" filled="f" stroked="f" coordsize="21600,21600" o:gfxdata="UEsDBAoAAAAAAIdO4kAAAAAAAAAAAAAAAAAEAAAAZHJzL1BLAwQUAAAACACHTuJAwN8wIdUAAAAJ&#10;AQAADwAAAGRycy9kb3ducmV2LnhtbE2PMU/DMBCFdyT+g3WV2KgTREgIcTpUYmGjICQ2N77GUe1z&#10;FLtp8u85JhhP7+m77zW7xTsx4xSHQArybQYCqQtmoF7B58frfQUiJk1Gu0CoYMUIu/b2ptG1CVd6&#10;x/mQesEQirVWYFMaayljZ9HruA0jEmenMHmd+Jx6aSZ9Zbh38iHLnqTXA/EHq0fcW+zOh4tXUC5f&#10;AceIe/w+zd1kh7Vyb6tSd5s8ewGRcEl/ZfjVZ3Vo2ekYLmSicMwoqpKrHDwXILhQlgWPOyp4zAuQ&#10;bSP/L2h/AFBLAwQUAAAACACHTuJANtinS7wBAACQAwAADgAAAGRycy9lMm9Eb2MueG1srVPBbtsw&#10;DL0P6D8Iui922nVdjTjFiqDDgGIr0O0DFFmKBUiiICqx8/elZCfduksPuzg0ST++98is7kZn2UFF&#10;NOBbvlzUnCkvoTN+1/Lfvx4+fuEMk/CdsOBVy48K+d364sNqCI26hB5spyIjEI/NEFrepxSaqkLZ&#10;KydwAUF5KmqITiR6jbuqi2IgdGery7r+XA0QuxBBKkTKbqYinxHjewBBayPVBuTeKZ8m1KisSCQJ&#10;exOQrwtbrZVMP7VGlZhtOSlN5UlDKN7mZ7VeiWYXReiNnCmI91B4o8kJ42noGWojkmD7aP6BckZG&#10;QNBpIcFVk5DiCKlY1m+8ee5FUEULWY3hbDr+P1j54/AUmenoEjjzwtHCP9W3N9mXIWBD5edADWm8&#10;hzH3zHmkZJY76ujyLwlhVCdXj2dX1ZiYzB/VV9f1NWeSSsur25u6uF69fhwipm8KHMtByyMtrXgp&#10;Do+YaCC1nlryLA8PxtqyOOv/SlBjzlSZ+cQwR2ncjjPtLXRHUjPQvlvu6bw5s9892ZlP4xTEU7A9&#10;BfsQza4nasvCC8PXfSIShVueMMHOg2lRhfJ8VPkS/nwvXa9/pPU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wN8wIdUAAAAJAQAADwAAAAAAAAABACAAAAAiAAAAZHJzL2Rvd25yZXYueG1sUEsBAhQA&#10;FAAAAAgAh07iQDbYp0u8AQAAkAMAAA4AAAAAAAAAAQAgAAAAJAEAAGRycy9lMm9Eb2MueG1sUEsF&#10;BgAAAAAGAAYAWQEAAFIFAAAAAA==&#10;">
              <v:fill on="f" focussize="0,0"/>
              <v:stroke on="f"/>
              <v:imagedata o:title=""/>
              <o:lock v:ext="edit" aspectratio="f"/>
              <v:textbox inset="0mm,0mm,0mm,0mm" style="mso-fit-shape-to-text:t;">
                <w:txbxContent>
                  <w:p>
                    <w:pPr>
                      <w:snapToGrid w:val="0"/>
                      <w:rPr>
                        <w:sz w:val="18"/>
                      </w:rPr>
                    </w:pPr>
                  </w:p>
                </w:txbxContent>
              </v:textbox>
            </v:shape>
          </w:pict>
        </mc:Fallback>
      </mc:AlternateContent>
    </w:r>
  </w:p>
  <w:p>
    <w:pPr>
      <w:pStyle w:val="14"/>
      <w:pBdr>
        <w:top w:val="thickThinSmallGap" w:color="auto" w:sz="24" w:space="1"/>
      </w:pBdr>
      <w:ind w:right="360"/>
    </w:pPr>
    <w:r>
      <w:t xml:space="preserve"> </w:t>
    </w:r>
    <w:r>
      <w:rPr>
        <w:szCs w:val="18"/>
      </w:rPr>
      <mc:AlternateContent>
        <mc:Choice Requires="wps">
          <w:drawing>
            <wp:anchor distT="0" distB="0" distL="114300" distR="114300" simplePos="0" relativeHeight="251659264" behindDoc="0" locked="0" layoutInCell="1" allowOverlap="1">
              <wp:simplePos x="0" y="0"/>
              <wp:positionH relativeFrom="margin">
                <wp:posOffset>4817745</wp:posOffset>
              </wp:positionH>
              <wp:positionV relativeFrom="paragraph">
                <wp:posOffset>123825</wp:posOffset>
              </wp:positionV>
              <wp:extent cx="103505" cy="139700"/>
              <wp:effectExtent l="0" t="0" r="0" b="0"/>
              <wp:wrapNone/>
              <wp:docPr id="2" name="4098"/>
              <wp:cNvGraphicFramePr/>
              <a:graphic xmlns:a="http://schemas.openxmlformats.org/drawingml/2006/main">
                <a:graphicData uri="http://schemas.microsoft.com/office/word/2010/wordprocessingShape">
                  <wps:wsp>
                    <wps:cNvSpPr txBox="1"/>
                    <wps:spPr>
                      <a:xfrm>
                        <a:off x="0" y="0"/>
                        <a:ext cx="103505" cy="139700"/>
                      </a:xfrm>
                      <a:prstGeom prst="rect">
                        <a:avLst/>
                      </a:prstGeom>
                      <a:noFill/>
                      <a:ln>
                        <a:noFill/>
                      </a:ln>
                    </wps:spPr>
                    <wps:txbx>
                      <w:txbxContent>
                        <w:p>
                          <w:pPr>
                            <w:snapToGrid w:val="0"/>
                            <w:rPr>
                              <w:sz w:val="18"/>
                            </w:rPr>
                          </w:pPr>
                        </w:p>
                      </w:txbxContent>
                    </wps:txbx>
                    <wps:bodyPr wrap="none" lIns="0" tIns="0" rIns="0" bIns="0" upright="1">
                      <a:spAutoFit/>
                    </wps:bodyPr>
                  </wps:wsp>
                </a:graphicData>
              </a:graphic>
            </wp:anchor>
          </w:drawing>
        </mc:Choice>
        <mc:Fallback>
          <w:pict>
            <v:shape id="4098" o:spid="_x0000_s1026" o:spt="202" type="#_x0000_t202" style="position:absolute;left:0pt;margin-left:379.35pt;margin-top:9.75pt;height:11pt;width:8.15pt;mso-position-horizontal-relative:margin;mso-wrap-style:none;z-index:251659264;mso-width-relative:page;mso-height-relative:page;" filled="f" stroked="f" coordsize="21600,21600" o:gfxdata="UEsDBAoAAAAAAIdO4kAAAAAAAAAAAAAAAAAEAAAAZHJzL1BLAwQUAAAACACHTuJAwN8wIdUAAAAJ&#10;AQAADwAAAGRycy9kb3ducmV2LnhtbE2PMU/DMBCFdyT+g3WV2KgTREgIcTpUYmGjICQ2N77GUe1z&#10;FLtp8u85JhhP7+m77zW7xTsx4xSHQArybQYCqQtmoF7B58frfQUiJk1Gu0CoYMUIu/b2ptG1CVd6&#10;x/mQesEQirVWYFMaayljZ9HruA0jEmenMHmd+Jx6aSZ9Zbh38iHLnqTXA/EHq0fcW+zOh4tXUC5f&#10;AceIe/w+zd1kh7Vyb6tSd5s8ewGRcEl/ZfjVZ3Vo2ekYLmSicMwoqpKrHDwXILhQlgWPOyp4zAuQ&#10;bSP/L2h/AFBLAwQUAAAACACHTuJAW8PBTL0BAACQAwAADgAAAGRycy9lMm9Eb2MueG1srVNNb9sw&#10;DL0X2H8QdF/kpOvaGnGKDkGHAUNboNsPUGQpFqAviErs/PtRsp1u3aWHXhyapB/fe2TWd4M15Cgj&#10;aO8aulxUlEgnfKvdvqG/fz18vqEEEnctN97Jhp4k0LvNp4t1H2q58p03rYwEQRzUfWhol1KoGQPR&#10;Scth4YN0WFQ+Wp7wNe5ZG3mP6NawVVV9Zb2PbYheSADMbscinRDjewC9UlrIrRcHK10aUaM0PKEk&#10;6HQAuilslZIiPSkFMhHTUFSayhOHYLzLT7ZZ83ofeei0mCjw91B4o8ly7XDoGWrLEyeHqP+DslpE&#10;D16lhfCWjUKKI6hiWb3x5qXjQRYtaDWEs+nwcbDi8fgciW4buqLEcYsL/1Ld3mRf+gA1ll8CNqTh&#10;mx/wWuY8YDLLHVS0+ReFEKyjq6ezq3JIROSPqsur6ooSgaXl5e11VVxnrx+HCOm79JbkoKERl1a8&#10;5MefkJAIts4teZbzD9qYsjjj/klgY86wzHxkmKM07IZJzs63J1TT474b6vC8KTE/HNqZT2MO4hzs&#10;5uAQot53SG1ZeEG4PyQkUbjlCSPsNBgXVShPR5Uv4e/30vX6R9r8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DfMCHVAAAACQEAAA8AAAAAAAAAAQAgAAAAIgAAAGRycy9kb3ducmV2LnhtbFBLAQIU&#10;ABQAAAAIAIdO4kBbw8FMvQEAAJADAAAOAAAAAAAAAAEAIAAAACQBAABkcnMvZTJvRG9jLnhtbFBL&#10;BQYAAAAABgAGAFkBAABTBQAAAAA=&#10;">
              <v:fill on="f" focussize="0,0"/>
              <v:stroke on="f"/>
              <v:imagedata o:title=""/>
              <o:lock v:ext="edit" aspectratio="f"/>
              <v:textbox inset="0mm,0mm,0mm,0mm" style="mso-fit-shape-to-text:t;">
                <w:txbxContent>
                  <w:p>
                    <w:pPr>
                      <w:snapToGrid w:val="0"/>
                      <w:rPr>
                        <w:sz w:val="18"/>
                      </w:rPr>
                    </w:pPr>
                  </w:p>
                </w:txbxContent>
              </v:textbox>
            </v:shape>
          </w:pict>
        </mc:Fallback>
      </mc:AlternateContent>
    </w:r>
    <w:r>
      <w:rPr>
        <w:rFonts w:hint="eastAsia" w:ascii="宋体" w:hAnsi="宋体" w:cs="Times New Roman"/>
        <w:szCs w:val="21"/>
        <w:lang w:val="en-US" w:eastAsia="zh-CN"/>
      </w:rPr>
      <w:t>中瑞建园工程管理有限公司</w:t>
    </w:r>
    <w:r>
      <w:rPr>
        <w:rFonts w:hint="eastAsia" w:ascii="仿宋_GB2312" w:eastAsia="仿宋_GB2312"/>
        <w:b/>
        <w:color w:val="000000"/>
        <w:szCs w:val="18"/>
      </w:rPr>
      <w:t xml:space="preserve">                 </w:t>
    </w:r>
    <w:r>
      <w:rPr>
        <w:rFonts w:ascii="宋体" w:hAnsi="宋体" w:cs="宋体"/>
      </w:rPr>
      <w:fldChar w:fldCharType="begin"/>
    </w:r>
    <w:r>
      <w:rPr>
        <w:rFonts w:ascii="宋体" w:hAnsi="宋体" w:cs="宋体"/>
      </w:rPr>
      <w:instrText xml:space="preserve"> PAGE  \* MERGEFORMAT </w:instrText>
    </w:r>
    <w:r>
      <w:rPr>
        <w:rFonts w:ascii="宋体" w:hAnsi="宋体" w:cs="宋体"/>
      </w:rPr>
      <w:fldChar w:fldCharType="separate"/>
    </w:r>
    <w:r>
      <w:rPr>
        <w:rFonts w:ascii="宋体" w:hAnsi="宋体" w:cs="宋体"/>
      </w:rPr>
      <w:t>- 15 -</w:t>
    </w:r>
    <w:r>
      <w:rPr>
        <w:rFonts w:ascii="宋体" w:hAnsi="宋体" w:cs="宋体"/>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thinThickSmallGap" w:color="auto" w:sz="24" w:space="1"/>
      </w:pBdr>
      <w:ind w:right="32"/>
      <w:jc w:val="right"/>
      <w:rPr>
        <w:bCs/>
      </w:rPr>
    </w:pPr>
    <w:r>
      <w:t xml:space="preserve">                                </w:t>
    </w:r>
    <w:r>
      <w:rPr>
        <w:rFonts w:hint="eastAsia"/>
      </w:rPr>
      <w:t>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1"/>
      <w:numFmt w:val="decimal"/>
      <w:suff w:val="nothing"/>
      <w:lvlText w:val="%1）"/>
      <w:lvlJc w:val="left"/>
    </w:lvl>
  </w:abstractNum>
  <w:abstractNum w:abstractNumId="1">
    <w:nsid w:val="00000001"/>
    <w:multiLevelType w:val="singleLevel"/>
    <w:tmpl w:val="00000001"/>
    <w:lvl w:ilvl="0" w:tentative="0">
      <w:start w:val="1"/>
      <w:numFmt w:val="decimal"/>
      <w:suff w:val="nothing"/>
      <w:lvlText w:val="%1、"/>
      <w:lvlJc w:val="left"/>
    </w:lvl>
  </w:abstractNum>
  <w:abstractNum w:abstractNumId="2">
    <w:nsid w:val="00000002"/>
    <w:multiLevelType w:val="singleLevel"/>
    <w:tmpl w:val="00000002"/>
    <w:lvl w:ilvl="0" w:tentative="0">
      <w:start w:val="2"/>
      <w:numFmt w:val="chineseCounting"/>
      <w:suff w:val="nothing"/>
      <w:lvlText w:val="（%1）"/>
      <w:lvlJc w:val="left"/>
      <w:rPr>
        <w:rFonts w:hint="eastAsia"/>
      </w:rPr>
    </w:lvl>
  </w:abstractNum>
  <w:abstractNum w:abstractNumId="3">
    <w:nsid w:val="00000003"/>
    <w:multiLevelType w:val="singleLevel"/>
    <w:tmpl w:val="00000003"/>
    <w:lvl w:ilvl="0" w:tentative="0">
      <w:start w:val="1"/>
      <w:numFmt w:val="decimal"/>
      <w:suff w:val="nothing"/>
      <w:lvlText w:val="%1、"/>
      <w:lvlJc w:val="left"/>
    </w:lvl>
  </w:abstractNum>
  <w:abstractNum w:abstractNumId="4">
    <w:nsid w:val="00000004"/>
    <w:multiLevelType w:val="singleLevel"/>
    <w:tmpl w:val="00000004"/>
    <w:lvl w:ilvl="0" w:tentative="0">
      <w:start w:val="1"/>
      <w:numFmt w:val="decimal"/>
      <w:suff w:val="nothing"/>
      <w:lvlText w:val="%1、"/>
      <w:lvlJc w:val="left"/>
    </w:lvl>
  </w:abstractNum>
  <w:abstractNum w:abstractNumId="5">
    <w:nsid w:val="00000007"/>
    <w:multiLevelType w:val="singleLevel"/>
    <w:tmpl w:val="00000007"/>
    <w:lvl w:ilvl="0" w:tentative="0">
      <w:start w:val="5"/>
      <w:numFmt w:val="decimal"/>
      <w:suff w:val="nothing"/>
      <w:lvlText w:val="%1）"/>
      <w:lvlJc w:val="left"/>
    </w:lvl>
  </w:abstractNum>
  <w:abstractNum w:abstractNumId="6">
    <w:nsid w:val="00000008"/>
    <w:multiLevelType w:val="singleLevel"/>
    <w:tmpl w:val="00000008"/>
    <w:lvl w:ilvl="0" w:tentative="0">
      <w:start w:val="10"/>
      <w:numFmt w:val="decimal"/>
      <w:suff w:val="nothing"/>
      <w:lvlText w:val="（%1）"/>
      <w:lvlJc w:val="left"/>
    </w:lvl>
  </w:abstractNum>
  <w:abstractNum w:abstractNumId="7">
    <w:nsid w:val="00000009"/>
    <w:multiLevelType w:val="singleLevel"/>
    <w:tmpl w:val="00000009"/>
    <w:lvl w:ilvl="0" w:tentative="0">
      <w:start w:val="1"/>
      <w:numFmt w:val="decimal"/>
      <w:suff w:val="nothing"/>
      <w:lvlText w:val="%1）"/>
      <w:lvlJc w:val="left"/>
    </w:lvl>
  </w:abstractNum>
  <w:abstractNum w:abstractNumId="8">
    <w:nsid w:val="0000000A"/>
    <w:multiLevelType w:val="singleLevel"/>
    <w:tmpl w:val="0000000A"/>
    <w:lvl w:ilvl="0" w:tentative="0">
      <w:start w:val="1"/>
      <w:numFmt w:val="decimal"/>
      <w:suff w:val="nothing"/>
      <w:lvlText w:val="%1、"/>
      <w:lvlJc w:val="left"/>
    </w:lvl>
  </w:abstractNum>
  <w:abstractNum w:abstractNumId="9">
    <w:nsid w:val="0000000C"/>
    <w:multiLevelType w:val="multilevel"/>
    <w:tmpl w:val="0000000C"/>
    <w:lvl w:ilvl="0" w:tentative="0">
      <w:start w:val="4"/>
      <w:numFmt w:val="chineseCounting"/>
      <w:suff w:val="space"/>
      <w:lvlText w:val="第%1章"/>
      <w:lvlJc w:val="left"/>
      <w:rPr>
        <w:rFonts w:hint="eastAsia"/>
      </w:rPr>
    </w:lvl>
    <w:lvl w:ilvl="1" w:tentative="0">
      <w:start w:val="1"/>
      <w:numFmt w:val="chineseCountingThousand"/>
      <w:suff w:val="nothing"/>
      <w:lvlText w:val="%2、"/>
      <w:lvlJc w:val="left"/>
      <w:pPr>
        <w:ind w:left="3" w:firstLine="177"/>
      </w:pPr>
    </w:lvl>
    <w:lvl w:ilvl="2" w:tentative="0">
      <w:start w:val="1"/>
      <w:numFmt w:val="chineseCountingThousand"/>
      <w:suff w:val="nothing"/>
      <w:lvlText w:val="(%3)"/>
      <w:lvlJc w:val="left"/>
      <w:pPr>
        <w:ind w:left="0" w:firstLine="0"/>
      </w:pPr>
      <w:rPr>
        <w:rFonts w:hint="default" w:ascii="Times New Roman" w:hAnsi="Times New Roman" w:eastAsia="宋体"/>
        <w:b/>
        <w:i w:val="0"/>
        <w:spacing w:val="0"/>
        <w:w w:val="100"/>
        <w:position w:val="0"/>
        <w:sz w:val="21"/>
      </w:rPr>
    </w:lvl>
    <w:lvl w:ilvl="3" w:tentative="0">
      <w:start w:val="1"/>
      <w:numFmt w:val="decimal"/>
      <w:suff w:val="nothing"/>
      <w:lvlText w:val="%4、"/>
      <w:lvlJc w:val="left"/>
      <w:pPr>
        <w:ind w:left="0" w:firstLine="0"/>
      </w:pPr>
      <w:rPr>
        <w:rFonts w:hint="eastAsia"/>
      </w:rPr>
    </w:lvl>
    <w:lvl w:ilvl="4" w:tentative="0">
      <w:start w:val="1"/>
      <w:numFmt w:val="upperLetter"/>
      <w:suff w:val="nothing"/>
      <w:lvlText w:val="%5、"/>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abstractNum w:abstractNumId="10">
    <w:nsid w:val="0000000D"/>
    <w:multiLevelType w:val="singleLevel"/>
    <w:tmpl w:val="0000000D"/>
    <w:lvl w:ilvl="0" w:tentative="0">
      <w:start w:val="1"/>
      <w:numFmt w:val="decimal"/>
      <w:lvlText w:val="%1、"/>
      <w:lvlJc w:val="left"/>
      <w:pPr>
        <w:tabs>
          <w:tab w:val="left" w:pos="645"/>
        </w:tabs>
        <w:ind w:left="645" w:hanging="480"/>
      </w:pPr>
      <w:rPr>
        <w:rFonts w:hint="eastAsia"/>
      </w:rPr>
    </w:lvl>
  </w:abstractNum>
  <w:abstractNum w:abstractNumId="11">
    <w:nsid w:val="0000000F"/>
    <w:multiLevelType w:val="multilevel"/>
    <w:tmpl w:val="0000000F"/>
    <w:lvl w:ilvl="0" w:tentative="0">
      <w:start w:val="4"/>
      <w:numFmt w:val="decimal"/>
      <w:suff w:val="nothing"/>
      <w:lvlText w:val="%1."/>
      <w:lvlJc w:val="left"/>
      <w:rPr>
        <w:rFonts w:cs="Times New Roman"/>
      </w:rPr>
    </w:lvl>
    <w:lvl w:ilvl="1" w:tentative="0">
      <w:start w:val="1"/>
      <w:numFmt w:val="decimal"/>
      <w:isLgl/>
      <w:lvlText w:val="%1.%2"/>
      <w:lvlJc w:val="left"/>
      <w:pPr>
        <w:ind w:left="780" w:hanging="360"/>
      </w:pPr>
      <w:rPr>
        <w:rFonts w:hint="default"/>
      </w:rPr>
    </w:lvl>
    <w:lvl w:ilvl="2" w:tentative="0">
      <w:start w:val="1"/>
      <w:numFmt w:val="decimal"/>
      <w:isLgl/>
      <w:lvlText w:val="%1.%2.%3"/>
      <w:lvlJc w:val="left"/>
      <w:pPr>
        <w:ind w:left="1560" w:hanging="720"/>
      </w:pPr>
      <w:rPr>
        <w:rFonts w:hint="default"/>
      </w:rPr>
    </w:lvl>
    <w:lvl w:ilvl="3" w:tentative="0">
      <w:start w:val="1"/>
      <w:numFmt w:val="decimal"/>
      <w:isLgl/>
      <w:lvlText w:val="%1.%2.%3.%4"/>
      <w:lvlJc w:val="left"/>
      <w:pPr>
        <w:ind w:left="2340" w:hanging="1080"/>
      </w:pPr>
      <w:rPr>
        <w:rFonts w:hint="default"/>
      </w:rPr>
    </w:lvl>
    <w:lvl w:ilvl="4" w:tentative="0">
      <w:start w:val="1"/>
      <w:numFmt w:val="decimal"/>
      <w:isLgl/>
      <w:lvlText w:val="%1.%2.%3.%4.%5"/>
      <w:lvlJc w:val="left"/>
      <w:pPr>
        <w:ind w:left="2760" w:hanging="1080"/>
      </w:pPr>
      <w:rPr>
        <w:rFonts w:hint="default"/>
      </w:rPr>
    </w:lvl>
    <w:lvl w:ilvl="5" w:tentative="0">
      <w:start w:val="1"/>
      <w:numFmt w:val="decimal"/>
      <w:isLgl/>
      <w:lvlText w:val="%1.%2.%3.%4.%5.%6"/>
      <w:lvlJc w:val="left"/>
      <w:pPr>
        <w:ind w:left="3540" w:hanging="1440"/>
      </w:pPr>
      <w:rPr>
        <w:rFonts w:hint="default"/>
      </w:rPr>
    </w:lvl>
    <w:lvl w:ilvl="6" w:tentative="0">
      <w:start w:val="1"/>
      <w:numFmt w:val="decimal"/>
      <w:isLgl/>
      <w:lvlText w:val="%1.%2.%3.%4.%5.%6.%7"/>
      <w:lvlJc w:val="left"/>
      <w:pPr>
        <w:ind w:left="3960" w:hanging="1440"/>
      </w:pPr>
      <w:rPr>
        <w:rFonts w:hint="default"/>
      </w:rPr>
    </w:lvl>
    <w:lvl w:ilvl="7" w:tentative="0">
      <w:start w:val="1"/>
      <w:numFmt w:val="decimal"/>
      <w:isLgl/>
      <w:lvlText w:val="%1.%2.%3.%4.%5.%6.%7.%8"/>
      <w:lvlJc w:val="left"/>
      <w:pPr>
        <w:ind w:left="4740" w:hanging="1800"/>
      </w:pPr>
      <w:rPr>
        <w:rFonts w:hint="default"/>
      </w:rPr>
    </w:lvl>
    <w:lvl w:ilvl="8" w:tentative="0">
      <w:start w:val="1"/>
      <w:numFmt w:val="decimal"/>
      <w:isLgl/>
      <w:lvlText w:val="%1.%2.%3.%4.%5.%6.%7.%8.%9"/>
      <w:lvlJc w:val="left"/>
      <w:pPr>
        <w:ind w:left="5160" w:hanging="1800"/>
      </w:pPr>
      <w:rPr>
        <w:rFonts w:hint="default"/>
      </w:rPr>
    </w:lvl>
  </w:abstractNum>
  <w:abstractNum w:abstractNumId="12">
    <w:nsid w:val="00000010"/>
    <w:multiLevelType w:val="multilevel"/>
    <w:tmpl w:val="00000010"/>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3">
    <w:nsid w:val="00000011"/>
    <w:multiLevelType w:val="singleLevel"/>
    <w:tmpl w:val="00000011"/>
    <w:lvl w:ilvl="0" w:tentative="0">
      <w:start w:val="1"/>
      <w:numFmt w:val="decimal"/>
      <w:suff w:val="nothing"/>
      <w:lvlText w:val="%1）"/>
      <w:lvlJc w:val="left"/>
    </w:lvl>
  </w:abstractNum>
  <w:abstractNum w:abstractNumId="14">
    <w:nsid w:val="00000012"/>
    <w:multiLevelType w:val="singleLevel"/>
    <w:tmpl w:val="00000012"/>
    <w:lvl w:ilvl="0" w:tentative="0">
      <w:start w:val="2"/>
      <w:numFmt w:val="decimal"/>
      <w:suff w:val="nothing"/>
      <w:lvlText w:val="%1、"/>
      <w:lvlJc w:val="left"/>
    </w:lvl>
  </w:abstractNum>
  <w:abstractNum w:abstractNumId="15">
    <w:nsid w:val="00000015"/>
    <w:multiLevelType w:val="singleLevel"/>
    <w:tmpl w:val="00000015"/>
    <w:lvl w:ilvl="0" w:tentative="0">
      <w:start w:val="2"/>
      <w:numFmt w:val="decimal"/>
      <w:suff w:val="nothing"/>
      <w:lvlText w:val="（%1）"/>
      <w:lvlJc w:val="left"/>
      <w:rPr>
        <w:rFonts w:cs="Times New Roman"/>
      </w:rPr>
    </w:lvl>
  </w:abstractNum>
  <w:abstractNum w:abstractNumId="16">
    <w:nsid w:val="00000016"/>
    <w:multiLevelType w:val="singleLevel"/>
    <w:tmpl w:val="00000016"/>
    <w:lvl w:ilvl="0" w:tentative="0">
      <w:start w:val="4"/>
      <w:numFmt w:val="decimal"/>
      <w:suff w:val="nothing"/>
      <w:lvlText w:val="%1）"/>
      <w:lvlJc w:val="left"/>
    </w:lvl>
  </w:abstractNum>
  <w:abstractNum w:abstractNumId="17">
    <w:nsid w:val="782AA3F2"/>
    <w:multiLevelType w:val="singleLevel"/>
    <w:tmpl w:val="782AA3F2"/>
    <w:lvl w:ilvl="0" w:tentative="0">
      <w:start w:val="1"/>
      <w:numFmt w:val="chineseCounting"/>
      <w:suff w:val="nothing"/>
      <w:lvlText w:val="%1、"/>
      <w:lvlJc w:val="left"/>
      <w:rPr>
        <w:rFonts w:hint="eastAsia"/>
      </w:rPr>
    </w:lvl>
  </w:abstractNum>
  <w:num w:numId="1">
    <w:abstractNumId w:val="12"/>
  </w:num>
  <w:num w:numId="2">
    <w:abstractNumId w:val="10"/>
  </w:num>
  <w:num w:numId="3">
    <w:abstractNumId w:val="15"/>
  </w:num>
  <w:num w:numId="4">
    <w:abstractNumId w:val="11"/>
  </w:num>
  <w:num w:numId="5">
    <w:abstractNumId w:val="3"/>
  </w:num>
  <w:num w:numId="6">
    <w:abstractNumId w:val="9"/>
  </w:num>
  <w:num w:numId="7">
    <w:abstractNumId w:val="16"/>
  </w:num>
  <w:num w:numId="8">
    <w:abstractNumId w:val="13"/>
  </w:num>
  <w:num w:numId="9">
    <w:abstractNumId w:val="7"/>
  </w:num>
  <w:num w:numId="10">
    <w:abstractNumId w:val="5"/>
  </w:num>
  <w:num w:numId="11">
    <w:abstractNumId w:val="0"/>
  </w:num>
  <w:num w:numId="12">
    <w:abstractNumId w:val="8"/>
  </w:num>
  <w:num w:numId="13">
    <w:abstractNumId w:val="6"/>
  </w:num>
  <w:num w:numId="14">
    <w:abstractNumId w:val="4"/>
  </w:num>
  <w:num w:numId="15">
    <w:abstractNumId w:val="17"/>
  </w:num>
  <w:num w:numId="16">
    <w:abstractNumId w:val="2"/>
  </w:num>
  <w:num w:numId="17">
    <w:abstractNumId w:val="14"/>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NiY2RjNmY4NDYzOGZlOGM5ZjE3MmU5ZmQ4Mjk3NWEifQ=="/>
  </w:docVars>
  <w:rsids>
    <w:rsidRoot w:val="00000000"/>
    <w:rsid w:val="024C2811"/>
    <w:rsid w:val="02C96EFB"/>
    <w:rsid w:val="07633EEC"/>
    <w:rsid w:val="0C0F17D5"/>
    <w:rsid w:val="0CBC390E"/>
    <w:rsid w:val="0DE87F58"/>
    <w:rsid w:val="12FD2AFD"/>
    <w:rsid w:val="140E4B78"/>
    <w:rsid w:val="159D0182"/>
    <w:rsid w:val="1D83508C"/>
    <w:rsid w:val="25E96931"/>
    <w:rsid w:val="26765969"/>
    <w:rsid w:val="2A3768A6"/>
    <w:rsid w:val="2F406403"/>
    <w:rsid w:val="30367FA8"/>
    <w:rsid w:val="305B3197"/>
    <w:rsid w:val="3095513B"/>
    <w:rsid w:val="31F502BB"/>
    <w:rsid w:val="3B9F4A18"/>
    <w:rsid w:val="3C5427CD"/>
    <w:rsid w:val="40BB4C34"/>
    <w:rsid w:val="41C224DA"/>
    <w:rsid w:val="448216AD"/>
    <w:rsid w:val="466C55A8"/>
    <w:rsid w:val="467601EA"/>
    <w:rsid w:val="47BD422C"/>
    <w:rsid w:val="47E03117"/>
    <w:rsid w:val="49F80B44"/>
    <w:rsid w:val="4BEC6106"/>
    <w:rsid w:val="4D4C04F4"/>
    <w:rsid w:val="4F942699"/>
    <w:rsid w:val="505125D8"/>
    <w:rsid w:val="50982C97"/>
    <w:rsid w:val="516A5EA1"/>
    <w:rsid w:val="54FF218F"/>
    <w:rsid w:val="57467FC5"/>
    <w:rsid w:val="58A718A4"/>
    <w:rsid w:val="5944489A"/>
    <w:rsid w:val="5B611161"/>
    <w:rsid w:val="5C523D80"/>
    <w:rsid w:val="60DD4B8C"/>
    <w:rsid w:val="61477935"/>
    <w:rsid w:val="61B85FA8"/>
    <w:rsid w:val="65552E26"/>
    <w:rsid w:val="6ABF2364"/>
    <w:rsid w:val="6F635DE9"/>
    <w:rsid w:val="6F9E73FC"/>
    <w:rsid w:val="72847253"/>
    <w:rsid w:val="731B25B8"/>
    <w:rsid w:val="738C4C71"/>
    <w:rsid w:val="77447980"/>
    <w:rsid w:val="799F6C4C"/>
    <w:rsid w:val="7E6516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0" w:semiHidden="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1" w:semiHidden="0"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99"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99"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35"/>
    <w:qFormat/>
    <w:uiPriority w:val="99"/>
    <w:pPr>
      <w:keepNext/>
      <w:keepLines/>
      <w:spacing w:before="340" w:after="330" w:line="578" w:lineRule="atLeast"/>
      <w:ind w:left="1130" w:firstLine="288"/>
      <w:outlineLvl w:val="0"/>
    </w:pPr>
    <w:rPr>
      <w:b/>
      <w:kern w:val="44"/>
      <w:sz w:val="44"/>
    </w:rPr>
  </w:style>
  <w:style w:type="paragraph" w:styleId="4">
    <w:name w:val="heading 2"/>
    <w:basedOn w:val="1"/>
    <w:next w:val="1"/>
    <w:link w:val="36"/>
    <w:qFormat/>
    <w:uiPriority w:val="99"/>
    <w:pPr>
      <w:keepNext/>
      <w:keepLines/>
      <w:spacing w:before="260" w:after="260" w:line="416" w:lineRule="atLeast"/>
      <w:ind w:left="3" w:firstLine="177"/>
      <w:outlineLvl w:val="1"/>
    </w:pPr>
    <w:rPr>
      <w:rFonts w:ascii="Arial" w:hAnsi="Arial" w:eastAsia="黑体"/>
      <w:b/>
      <w:kern w:val="0"/>
      <w:sz w:val="32"/>
      <w:szCs w:val="20"/>
    </w:rPr>
  </w:style>
  <w:style w:type="paragraph" w:styleId="5">
    <w:name w:val="heading 3"/>
    <w:basedOn w:val="1"/>
    <w:next w:val="1"/>
    <w:link w:val="55"/>
    <w:qFormat/>
    <w:uiPriority w:val="0"/>
    <w:pPr>
      <w:keepNext/>
      <w:keepLines/>
      <w:spacing w:before="260" w:after="260" w:line="416" w:lineRule="auto"/>
      <w:outlineLvl w:val="2"/>
    </w:pPr>
    <w:rPr>
      <w:rFonts w:cs="黑体"/>
      <w:b/>
      <w:bCs/>
      <w:sz w:val="32"/>
      <w:szCs w:val="32"/>
    </w:rPr>
  </w:style>
  <w:style w:type="paragraph" w:styleId="2">
    <w:name w:val="heading 4"/>
    <w:basedOn w:val="1"/>
    <w:next w:val="1"/>
    <w:link w:val="37"/>
    <w:qFormat/>
    <w:uiPriority w:val="99"/>
    <w:pPr>
      <w:keepNext/>
      <w:keepLines/>
      <w:spacing w:line="376" w:lineRule="auto"/>
      <w:outlineLvl w:val="3"/>
    </w:pPr>
    <w:rPr>
      <w:rFonts w:ascii="Arial" w:hAnsi="Arial" w:eastAsia="黑体"/>
      <w:b/>
      <w:bCs/>
      <w:sz w:val="28"/>
      <w:szCs w:val="28"/>
    </w:rPr>
  </w:style>
  <w:style w:type="character" w:default="1" w:styleId="26">
    <w:name w:val="Default Paragraph Font"/>
    <w:qFormat/>
    <w:uiPriority w:val="1"/>
  </w:style>
  <w:style w:type="table" w:default="1" w:styleId="25">
    <w:name w:val="Normal Table"/>
    <w:qFormat/>
    <w:uiPriority w:val="99"/>
    <w:tblPr>
      <w:tblCellMar>
        <w:top w:w="0" w:type="dxa"/>
        <w:left w:w="108" w:type="dxa"/>
        <w:bottom w:w="0" w:type="dxa"/>
        <w:right w:w="108" w:type="dxa"/>
      </w:tblCellMar>
    </w:tblPr>
  </w:style>
  <w:style w:type="paragraph" w:styleId="6">
    <w:name w:val="table of authorities"/>
    <w:basedOn w:val="1"/>
    <w:next w:val="1"/>
    <w:qFormat/>
    <w:uiPriority w:val="99"/>
    <w:pPr>
      <w:ind w:left="420" w:leftChars="200"/>
    </w:pPr>
  </w:style>
  <w:style w:type="paragraph" w:styleId="7">
    <w:name w:val="Normal Indent"/>
    <w:basedOn w:val="1"/>
    <w:qFormat/>
    <w:uiPriority w:val="99"/>
    <w:pPr>
      <w:adjustRightInd w:val="0"/>
      <w:spacing w:line="360" w:lineRule="atLeast"/>
      <w:ind w:firstLine="420"/>
      <w:jc w:val="left"/>
      <w:textAlignment w:val="baseline"/>
    </w:pPr>
    <w:rPr>
      <w:kern w:val="0"/>
      <w:sz w:val="24"/>
    </w:rPr>
  </w:style>
  <w:style w:type="paragraph" w:styleId="8">
    <w:name w:val="Body Text"/>
    <w:basedOn w:val="1"/>
    <w:next w:val="1"/>
    <w:link w:val="53"/>
    <w:qFormat/>
    <w:uiPriority w:val="99"/>
    <w:pPr>
      <w:spacing w:after="120"/>
    </w:pPr>
  </w:style>
  <w:style w:type="paragraph" w:styleId="9">
    <w:name w:val="Body Text Indent"/>
    <w:basedOn w:val="1"/>
    <w:next w:val="10"/>
    <w:link w:val="38"/>
    <w:qFormat/>
    <w:uiPriority w:val="99"/>
    <w:pPr>
      <w:ind w:left="420" w:leftChars="200"/>
    </w:pPr>
  </w:style>
  <w:style w:type="paragraph" w:styleId="10">
    <w:name w:val="envelope return"/>
    <w:basedOn w:val="1"/>
    <w:qFormat/>
    <w:uiPriority w:val="0"/>
    <w:pPr>
      <w:snapToGrid w:val="0"/>
    </w:pPr>
    <w:rPr>
      <w:rFonts w:ascii="Arial" w:hAnsi="Arial"/>
    </w:rPr>
  </w:style>
  <w:style w:type="paragraph" w:styleId="11">
    <w:name w:val="toc 3"/>
    <w:basedOn w:val="1"/>
    <w:next w:val="1"/>
    <w:qFormat/>
    <w:uiPriority w:val="39"/>
    <w:pPr>
      <w:ind w:left="840" w:leftChars="400"/>
    </w:pPr>
  </w:style>
  <w:style w:type="paragraph" w:styleId="12">
    <w:name w:val="Plain Text"/>
    <w:basedOn w:val="1"/>
    <w:next w:val="8"/>
    <w:link w:val="39"/>
    <w:qFormat/>
    <w:uiPriority w:val="99"/>
    <w:rPr>
      <w:rFonts w:ascii="宋体" w:hAnsi="Courier New" w:cs="Courier New"/>
      <w:szCs w:val="21"/>
    </w:rPr>
  </w:style>
  <w:style w:type="paragraph" w:styleId="13">
    <w:name w:val="Balloon Text"/>
    <w:basedOn w:val="1"/>
    <w:link w:val="56"/>
    <w:qFormat/>
    <w:uiPriority w:val="99"/>
    <w:rPr>
      <w:sz w:val="18"/>
      <w:szCs w:val="18"/>
    </w:rPr>
  </w:style>
  <w:style w:type="paragraph" w:styleId="14">
    <w:name w:val="footer"/>
    <w:basedOn w:val="1"/>
    <w:link w:val="40"/>
    <w:qFormat/>
    <w:uiPriority w:val="99"/>
    <w:pPr>
      <w:tabs>
        <w:tab w:val="center" w:pos="4153"/>
        <w:tab w:val="right" w:pos="8306"/>
      </w:tabs>
      <w:snapToGrid w:val="0"/>
      <w:jc w:val="left"/>
    </w:pPr>
    <w:rPr>
      <w:sz w:val="18"/>
    </w:rPr>
  </w:style>
  <w:style w:type="paragraph" w:styleId="15">
    <w:name w:val="header"/>
    <w:basedOn w:val="1"/>
    <w:link w:val="4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6">
    <w:name w:val="toc 1"/>
    <w:basedOn w:val="1"/>
    <w:next w:val="1"/>
    <w:qFormat/>
    <w:uiPriority w:val="39"/>
  </w:style>
  <w:style w:type="paragraph" w:styleId="17">
    <w:name w:val="Subtitle"/>
    <w:basedOn w:val="1"/>
    <w:next w:val="1"/>
    <w:link w:val="42"/>
    <w:qFormat/>
    <w:uiPriority w:val="99"/>
    <w:pPr>
      <w:spacing w:before="240" w:after="60" w:line="312" w:lineRule="auto"/>
      <w:jc w:val="center"/>
      <w:outlineLvl w:val="1"/>
    </w:pPr>
    <w:rPr>
      <w:rFonts w:ascii="Cambria" w:hAnsi="Cambria"/>
      <w:b/>
      <w:bCs/>
      <w:kern w:val="28"/>
      <w:sz w:val="32"/>
      <w:szCs w:val="32"/>
    </w:rPr>
  </w:style>
  <w:style w:type="paragraph" w:styleId="18">
    <w:name w:val="toc 2"/>
    <w:basedOn w:val="1"/>
    <w:next w:val="1"/>
    <w:qFormat/>
    <w:uiPriority w:val="39"/>
    <w:pPr>
      <w:ind w:left="420" w:leftChars="200"/>
    </w:pPr>
  </w:style>
  <w:style w:type="paragraph" w:styleId="19">
    <w:name w:val="Body Text 2"/>
    <w:basedOn w:val="1"/>
    <w:next w:val="8"/>
    <w:link w:val="43"/>
    <w:qFormat/>
    <w:uiPriority w:val="99"/>
    <w:pPr>
      <w:spacing w:line="480" w:lineRule="auto"/>
    </w:pPr>
  </w:style>
  <w:style w:type="paragraph" w:styleId="20">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Arial" w:hAnsi="Arial"/>
      <w:sz w:val="24"/>
    </w:rPr>
  </w:style>
  <w:style w:type="paragraph" w:styleId="21">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44"/>
    <w:qFormat/>
    <w:uiPriority w:val="99"/>
    <w:pPr>
      <w:spacing w:before="240" w:after="60"/>
      <w:jc w:val="center"/>
      <w:outlineLvl w:val="0"/>
    </w:pPr>
    <w:rPr>
      <w:rFonts w:ascii="Cambria" w:hAnsi="Cambria"/>
      <w:b/>
      <w:bCs/>
      <w:sz w:val="32"/>
      <w:szCs w:val="32"/>
    </w:rPr>
  </w:style>
  <w:style w:type="paragraph" w:styleId="23">
    <w:name w:val="Body Text First Indent"/>
    <w:basedOn w:val="8"/>
    <w:next w:val="24"/>
    <w:link w:val="54"/>
    <w:qFormat/>
    <w:uiPriority w:val="99"/>
    <w:pPr>
      <w:ind w:firstLine="420" w:firstLineChars="100"/>
    </w:pPr>
  </w:style>
  <w:style w:type="paragraph" w:styleId="24">
    <w:name w:val="Body Text First Indent 2"/>
    <w:basedOn w:val="9"/>
    <w:next w:val="1"/>
    <w:qFormat/>
    <w:uiPriority w:val="99"/>
    <w:pPr>
      <w:ind w:firstLine="420" w:firstLineChars="200"/>
    </w:pPr>
  </w:style>
  <w:style w:type="character" w:styleId="27">
    <w:name w:val="Hyperlink"/>
    <w:basedOn w:val="26"/>
    <w:qFormat/>
    <w:uiPriority w:val="99"/>
    <w:rPr>
      <w:color w:val="0000FF"/>
      <w:u w:val="single"/>
    </w:rPr>
  </w:style>
  <w:style w:type="paragraph" w:customStyle="1" w:styleId="28">
    <w:name w:val="Body Text 21"/>
    <w:basedOn w:val="1"/>
    <w:qFormat/>
    <w:uiPriority w:val="0"/>
    <w:pPr>
      <w:spacing w:line="480" w:lineRule="auto"/>
    </w:pPr>
    <w:rPr>
      <w:sz w:val="20"/>
    </w:rPr>
  </w:style>
  <w:style w:type="paragraph" w:customStyle="1" w:styleId="29">
    <w:name w:val="表格文字"/>
    <w:basedOn w:val="1"/>
    <w:next w:val="8"/>
    <w:qFormat/>
    <w:uiPriority w:val="99"/>
    <w:pPr>
      <w:adjustRightInd w:val="0"/>
      <w:spacing w:line="420" w:lineRule="atLeast"/>
      <w:jc w:val="left"/>
      <w:textAlignment w:val="baseline"/>
    </w:pPr>
    <w:rPr>
      <w:rFonts w:ascii="Times New Roman" w:hAnsi="Times New Roman"/>
      <w:szCs w:val="20"/>
    </w:rPr>
  </w:style>
  <w:style w:type="paragraph" w:customStyle="1" w:styleId="30">
    <w:name w:val="Default"/>
    <w:basedOn w:val="1"/>
    <w:next w:val="29"/>
    <w:qFormat/>
    <w:uiPriority w:val="0"/>
    <w:pPr>
      <w:autoSpaceDE w:val="0"/>
      <w:autoSpaceDN w:val="0"/>
      <w:adjustRightInd w:val="0"/>
      <w:jc w:val="left"/>
    </w:pPr>
    <w:rPr>
      <w:rFonts w:ascii="宋体" w:hAnsi="Times New Roman" w:cs="宋体"/>
      <w:color w:val="000000"/>
      <w:kern w:val="0"/>
      <w:sz w:val="24"/>
      <w:szCs w:val="24"/>
    </w:rPr>
  </w:style>
  <w:style w:type="paragraph" w:customStyle="1" w:styleId="31">
    <w:name w:val="文档正文5"/>
    <w:basedOn w:val="7"/>
    <w:qFormat/>
    <w:uiPriority w:val="0"/>
    <w:pPr>
      <w:autoSpaceDE w:val="0"/>
      <w:autoSpaceDN w:val="0"/>
      <w:snapToGrid w:val="0"/>
      <w:spacing w:line="440" w:lineRule="exact"/>
      <w:ind w:firstLine="505"/>
    </w:pPr>
    <w:rPr>
      <w:spacing w:val="4"/>
      <w:sz w:val="24"/>
    </w:rPr>
  </w:style>
  <w:style w:type="paragraph" w:customStyle="1" w:styleId="32">
    <w:name w:val="p0"/>
    <w:basedOn w:val="1"/>
    <w:qFormat/>
    <w:uiPriority w:val="99"/>
    <w:pPr>
      <w:widowControl/>
      <w:snapToGrid w:val="0"/>
    </w:pPr>
    <w:rPr>
      <w:szCs w:val="24"/>
    </w:rPr>
  </w:style>
  <w:style w:type="paragraph" w:customStyle="1" w:styleId="33">
    <w:name w:val="文档正文"/>
    <w:basedOn w:val="1"/>
    <w:qFormat/>
    <w:uiPriority w:val="99"/>
    <w:pPr>
      <w:adjustRightInd w:val="0"/>
      <w:spacing w:line="480" w:lineRule="atLeast"/>
      <w:ind w:firstLine="567"/>
    </w:pPr>
    <w:rPr>
      <w:rFonts w:ascii="仿宋_GB2312" w:hAnsi="Times New Roman" w:eastAsia="仿宋_GB2312"/>
      <w:kern w:val="0"/>
      <w:sz w:val="28"/>
      <w:szCs w:val="20"/>
    </w:rPr>
  </w:style>
  <w:style w:type="paragraph" w:customStyle="1" w:styleId="34">
    <w:name w:val="列出段落1"/>
    <w:basedOn w:val="1"/>
    <w:qFormat/>
    <w:uiPriority w:val="99"/>
    <w:pPr>
      <w:ind w:firstLine="420" w:firstLineChars="200"/>
    </w:pPr>
  </w:style>
  <w:style w:type="character" w:customStyle="1" w:styleId="35">
    <w:name w:val="标题 1 Char"/>
    <w:basedOn w:val="26"/>
    <w:link w:val="3"/>
    <w:qFormat/>
    <w:uiPriority w:val="99"/>
    <w:rPr>
      <w:rFonts w:ascii="Calibri" w:hAnsi="Calibri" w:cs="Times New Roman"/>
      <w:b/>
      <w:bCs/>
      <w:kern w:val="44"/>
      <w:sz w:val="44"/>
      <w:szCs w:val="44"/>
    </w:rPr>
  </w:style>
  <w:style w:type="character" w:customStyle="1" w:styleId="36">
    <w:name w:val="标题 2 Char"/>
    <w:basedOn w:val="26"/>
    <w:link w:val="4"/>
    <w:qFormat/>
    <w:uiPriority w:val="99"/>
    <w:rPr>
      <w:rFonts w:ascii="Arial" w:hAnsi="Arial" w:eastAsia="黑体" w:cs="Times New Roman"/>
      <w:b/>
      <w:kern w:val="0"/>
      <w:sz w:val="32"/>
    </w:rPr>
  </w:style>
  <w:style w:type="character" w:customStyle="1" w:styleId="37">
    <w:name w:val="标题 4 Char"/>
    <w:basedOn w:val="26"/>
    <w:link w:val="2"/>
    <w:qFormat/>
    <w:uiPriority w:val="99"/>
    <w:rPr>
      <w:rFonts w:ascii="Cambria" w:hAnsi="Cambria" w:eastAsia="宋体" w:cs="Times New Roman"/>
      <w:b/>
      <w:bCs/>
      <w:sz w:val="28"/>
      <w:szCs w:val="28"/>
    </w:rPr>
  </w:style>
  <w:style w:type="character" w:customStyle="1" w:styleId="38">
    <w:name w:val="正文文本缩进 Char"/>
    <w:basedOn w:val="26"/>
    <w:link w:val="9"/>
    <w:qFormat/>
    <w:uiPriority w:val="99"/>
    <w:rPr>
      <w:rFonts w:ascii="Calibri" w:hAnsi="Calibri" w:cs="Times New Roman"/>
    </w:rPr>
  </w:style>
  <w:style w:type="character" w:customStyle="1" w:styleId="39">
    <w:name w:val="纯文本 Char"/>
    <w:basedOn w:val="26"/>
    <w:link w:val="12"/>
    <w:qFormat/>
    <w:uiPriority w:val="99"/>
    <w:rPr>
      <w:rFonts w:ascii="宋体" w:hAnsi="Courier New" w:cs="Courier New"/>
      <w:sz w:val="21"/>
      <w:szCs w:val="21"/>
    </w:rPr>
  </w:style>
  <w:style w:type="character" w:customStyle="1" w:styleId="40">
    <w:name w:val="页脚 Char"/>
    <w:basedOn w:val="26"/>
    <w:link w:val="14"/>
    <w:qFormat/>
    <w:uiPriority w:val="99"/>
    <w:rPr>
      <w:rFonts w:ascii="Calibri" w:hAnsi="Calibri" w:cs="Times New Roman"/>
      <w:sz w:val="18"/>
      <w:szCs w:val="18"/>
    </w:rPr>
  </w:style>
  <w:style w:type="character" w:customStyle="1" w:styleId="41">
    <w:name w:val="页眉 Char"/>
    <w:basedOn w:val="26"/>
    <w:link w:val="15"/>
    <w:qFormat/>
    <w:uiPriority w:val="99"/>
    <w:rPr>
      <w:rFonts w:ascii="Calibri" w:hAnsi="Calibri" w:cs="Times New Roman"/>
      <w:sz w:val="18"/>
      <w:szCs w:val="18"/>
    </w:rPr>
  </w:style>
  <w:style w:type="character" w:customStyle="1" w:styleId="42">
    <w:name w:val="副标题 Char"/>
    <w:basedOn w:val="26"/>
    <w:link w:val="17"/>
    <w:qFormat/>
    <w:uiPriority w:val="99"/>
    <w:rPr>
      <w:rFonts w:ascii="Cambria" w:hAnsi="Cambria" w:cs="Times New Roman"/>
      <w:b/>
      <w:bCs/>
      <w:kern w:val="28"/>
      <w:sz w:val="32"/>
      <w:szCs w:val="32"/>
    </w:rPr>
  </w:style>
  <w:style w:type="character" w:customStyle="1" w:styleId="43">
    <w:name w:val="正文文本 2 Char"/>
    <w:basedOn w:val="26"/>
    <w:link w:val="19"/>
    <w:qFormat/>
    <w:uiPriority w:val="99"/>
    <w:rPr>
      <w:rFonts w:ascii="Calibri" w:hAnsi="Calibri" w:cs="Times New Roman"/>
    </w:rPr>
  </w:style>
  <w:style w:type="character" w:customStyle="1" w:styleId="44">
    <w:name w:val="标题 Char"/>
    <w:basedOn w:val="26"/>
    <w:link w:val="22"/>
    <w:qFormat/>
    <w:uiPriority w:val="99"/>
    <w:rPr>
      <w:rFonts w:ascii="Cambria" w:hAnsi="Cambria" w:cs="Times New Roman"/>
      <w:b/>
      <w:bCs/>
      <w:sz w:val="32"/>
      <w:szCs w:val="32"/>
    </w:rPr>
  </w:style>
  <w:style w:type="character" w:customStyle="1" w:styleId="45">
    <w:name w:val="font31"/>
    <w:basedOn w:val="26"/>
    <w:qFormat/>
    <w:uiPriority w:val="99"/>
    <w:rPr>
      <w:rFonts w:ascii="宋体" w:hAnsi="宋体" w:eastAsia="宋体" w:cs="宋体"/>
      <w:color w:val="FF0000"/>
      <w:sz w:val="20"/>
      <w:szCs w:val="20"/>
      <w:u w:val="none"/>
    </w:rPr>
  </w:style>
  <w:style w:type="character" w:customStyle="1" w:styleId="46">
    <w:name w:val="font41"/>
    <w:basedOn w:val="26"/>
    <w:qFormat/>
    <w:uiPriority w:val="99"/>
    <w:rPr>
      <w:rFonts w:ascii="宋体" w:hAnsi="宋体" w:eastAsia="宋体" w:cs="宋体"/>
      <w:color w:val="000000"/>
      <w:sz w:val="18"/>
      <w:szCs w:val="18"/>
      <w:u w:val="none"/>
    </w:rPr>
  </w:style>
  <w:style w:type="character" w:customStyle="1" w:styleId="47">
    <w:name w:val="font11"/>
    <w:basedOn w:val="26"/>
    <w:qFormat/>
    <w:uiPriority w:val="99"/>
    <w:rPr>
      <w:rFonts w:ascii="宋体" w:hAnsi="宋体" w:eastAsia="宋体" w:cs="宋体"/>
      <w:color w:val="000000"/>
      <w:sz w:val="21"/>
      <w:szCs w:val="21"/>
      <w:u w:val="none"/>
    </w:rPr>
  </w:style>
  <w:style w:type="character" w:customStyle="1" w:styleId="48">
    <w:name w:val="font01"/>
    <w:basedOn w:val="26"/>
    <w:qFormat/>
    <w:uiPriority w:val="99"/>
    <w:rPr>
      <w:rFonts w:ascii="宋体" w:hAnsi="宋体" w:eastAsia="宋体" w:cs="宋体"/>
      <w:color w:val="000000"/>
      <w:sz w:val="24"/>
      <w:szCs w:val="24"/>
      <w:u w:val="none"/>
    </w:rPr>
  </w:style>
  <w:style w:type="character" w:customStyle="1" w:styleId="49">
    <w:name w:val="font81"/>
    <w:basedOn w:val="26"/>
    <w:qFormat/>
    <w:uiPriority w:val="99"/>
    <w:rPr>
      <w:rFonts w:ascii="宋体" w:hAnsi="宋体" w:eastAsia="宋体" w:cs="宋体"/>
      <w:color w:val="000000"/>
      <w:sz w:val="20"/>
      <w:szCs w:val="20"/>
      <w:u w:val="none"/>
    </w:rPr>
  </w:style>
  <w:style w:type="character" w:customStyle="1" w:styleId="50">
    <w:name w:val="font91"/>
    <w:basedOn w:val="26"/>
    <w:qFormat/>
    <w:uiPriority w:val="99"/>
    <w:rPr>
      <w:rFonts w:ascii="宋体" w:hAnsi="宋体" w:eastAsia="宋体" w:cs="宋体"/>
      <w:color w:val="000000"/>
      <w:sz w:val="52"/>
      <w:szCs w:val="52"/>
      <w:u w:val="none"/>
    </w:rPr>
  </w:style>
  <w:style w:type="character" w:customStyle="1" w:styleId="51">
    <w:name w:val="font51"/>
    <w:basedOn w:val="26"/>
    <w:qFormat/>
    <w:uiPriority w:val="99"/>
    <w:rPr>
      <w:rFonts w:ascii="宋体" w:hAnsi="宋体" w:eastAsia="宋体" w:cs="宋体"/>
      <w:b/>
      <w:color w:val="000000"/>
      <w:sz w:val="20"/>
      <w:szCs w:val="20"/>
      <w:u w:val="none"/>
    </w:rPr>
  </w:style>
  <w:style w:type="character" w:customStyle="1" w:styleId="52">
    <w:name w:val="font61"/>
    <w:basedOn w:val="26"/>
    <w:qFormat/>
    <w:uiPriority w:val="99"/>
    <w:rPr>
      <w:rFonts w:ascii="宋体" w:hAnsi="宋体" w:eastAsia="宋体" w:cs="宋体"/>
      <w:b/>
      <w:color w:val="000000"/>
      <w:sz w:val="52"/>
      <w:szCs w:val="52"/>
      <w:u w:val="none"/>
    </w:rPr>
  </w:style>
  <w:style w:type="character" w:customStyle="1" w:styleId="53">
    <w:name w:val="正文文本 Char"/>
    <w:basedOn w:val="26"/>
    <w:link w:val="8"/>
    <w:qFormat/>
    <w:uiPriority w:val="99"/>
    <w:rPr>
      <w:rFonts w:ascii="Calibri" w:hAnsi="Calibri"/>
      <w:kern w:val="2"/>
      <w:sz w:val="21"/>
      <w:szCs w:val="22"/>
    </w:rPr>
  </w:style>
  <w:style w:type="character" w:customStyle="1" w:styleId="54">
    <w:name w:val="正文首行缩进 Char"/>
    <w:basedOn w:val="53"/>
    <w:link w:val="23"/>
    <w:qFormat/>
    <w:uiPriority w:val="99"/>
    <w:rPr>
      <w:rFonts w:ascii="Calibri" w:hAnsi="Calibri"/>
      <w:kern w:val="2"/>
      <w:sz w:val="21"/>
      <w:szCs w:val="22"/>
    </w:rPr>
  </w:style>
  <w:style w:type="character" w:customStyle="1" w:styleId="55">
    <w:name w:val="标题 3 Char"/>
    <w:basedOn w:val="26"/>
    <w:link w:val="5"/>
    <w:qFormat/>
    <w:uiPriority w:val="0"/>
    <w:rPr>
      <w:rFonts w:ascii="Calibri" w:hAnsi="Calibri" w:eastAsia="宋体" w:cs="黑体"/>
      <w:b/>
      <w:bCs/>
      <w:kern w:val="2"/>
      <w:sz w:val="32"/>
      <w:szCs w:val="32"/>
    </w:rPr>
  </w:style>
  <w:style w:type="character" w:customStyle="1" w:styleId="56">
    <w:name w:val="批注框文本 Char"/>
    <w:basedOn w:val="26"/>
    <w:link w:val="13"/>
    <w:qFormat/>
    <w:uiPriority w:val="99"/>
    <w:rPr>
      <w:rFonts w:ascii="Calibri" w:hAnsi="Calibri"/>
      <w:kern w:val="2"/>
      <w:sz w:val="18"/>
      <w:szCs w:val="18"/>
    </w:rPr>
  </w:style>
  <w:style w:type="table" w:customStyle="1" w:styleId="57">
    <w:name w:val="Table Normal1"/>
    <w:qFormat/>
    <w:uiPriority w:val="0"/>
    <w:tblPr>
      <w:tblCellMar>
        <w:top w:w="0" w:type="dxa"/>
        <w:left w:w="0" w:type="dxa"/>
        <w:bottom w:w="0" w:type="dxa"/>
        <w:right w:w="0" w:type="dxa"/>
      </w:tblCellMar>
    </w:tblPr>
  </w:style>
  <w:style w:type="paragraph" w:customStyle="1" w:styleId="58">
    <w:name w:val="段"/>
    <w:next w:val="1"/>
    <w:qFormat/>
    <w:uiPriority w:val="0"/>
    <w:pPr>
      <w:autoSpaceDE w:val="0"/>
      <w:autoSpaceDN w:val="0"/>
      <w:adjustRightInd w:val="0"/>
      <w:snapToGrid w:val="0"/>
      <w:spacing w:line="360" w:lineRule="auto"/>
      <w:ind w:firstLine="200" w:firstLineChars="200"/>
      <w:jc w:val="both"/>
    </w:pPr>
    <w:rPr>
      <w:rFonts w:ascii="宋体" w:hAnsi="Calibri" w:eastAsia="宋体" w:cs="Times New Roman"/>
      <w:sz w:val="24"/>
      <w:szCs w:val="22"/>
      <w:lang w:val="en-US" w:eastAsia="zh-CN" w:bidi="ar-SA"/>
    </w:rPr>
  </w:style>
  <w:style w:type="paragraph" w:customStyle="1" w:styleId="59">
    <w:name w:val="列表 21"/>
    <w:basedOn w:val="1"/>
    <w:qFormat/>
    <w:uiPriority w:val="0"/>
    <w:pPr>
      <w:suppressAutoHyphens/>
      <w:ind w:left="100" w:hanging="200"/>
    </w:pPr>
    <w:rPr>
      <w:kern w:val="1"/>
    </w:rPr>
  </w:style>
  <w:style w:type="paragraph" w:customStyle="1" w:styleId="60">
    <w:name w:val="报告正文"/>
    <w:basedOn w:val="1"/>
    <w:qFormat/>
    <w:uiPriority w:val="0"/>
    <w:rPr>
      <w:rFonts w:ascii="宋体" w:hAnsi="宋体"/>
      <w:sz w:val="28"/>
    </w:rPr>
  </w:style>
  <w:style w:type="paragraph" w:customStyle="1" w:styleId="61">
    <w:name w:val="正文_13_0"/>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62">
    <w:name w:val="无间隔1"/>
    <w:basedOn w:val="1"/>
    <w:qFormat/>
    <w:uiPriority w:val="1"/>
    <w:rPr>
      <w:rFonts w:ascii="等线" w:hAnsi="等线" w:eastAsia="等线"/>
      <w:szCs w:val="22"/>
    </w:rPr>
  </w:style>
  <w:style w:type="paragraph" w:styleId="63">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72</Pages>
  <Words>43096</Words>
  <Characters>47378</Characters>
  <Paragraphs>1863</Paragraphs>
  <TotalTime>30</TotalTime>
  <ScaleCrop>false</ScaleCrop>
  <LinksUpToDate>false</LinksUpToDate>
  <CharactersWithSpaces>51296</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2018-03-30T07:17:00Z</dcterms:created>
  <dc:creator>Administrator</dc:creator>
  <cp:lastModifiedBy>刘林</cp:lastModifiedBy>
  <cp:lastPrinted>2022-05-31T02:06:00Z</cp:lastPrinted>
  <dcterms:modified xsi:type="dcterms:W3CDTF">2022-05-31T02:31:43Z</dcterms:modified>
  <dc:title>温县产业新城PPP项目咨询服务机构采购项目</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0C86D3A1CF704DDC82D85E69B4124799</vt:lpwstr>
  </property>
</Properties>
</file>