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00" w:lineRule="auto"/>
        <w:jc w:val="center"/>
        <w:rPr>
          <w:rFonts w:hint="eastAsia" w:ascii="宋体" w:hAnsi="宋体" w:eastAsia="宋体" w:cs="宋体"/>
          <w:b/>
          <w:bCs/>
          <w:sz w:val="52"/>
          <w:szCs w:val="52"/>
          <w:lang w:val="en-US" w:eastAsia="zh-CN"/>
        </w:rPr>
      </w:pPr>
      <w:bookmarkStart w:id="0" w:name="_Toc17028"/>
      <w:bookmarkStart w:id="1" w:name="_Toc421284735"/>
      <w:bookmarkStart w:id="2" w:name="_Toc21446"/>
    </w:p>
    <w:p>
      <w:pPr>
        <w:widowControl/>
        <w:spacing w:before="100" w:beforeAutospacing="1" w:after="100" w:afterAutospacing="1" w:line="300" w:lineRule="auto"/>
        <w:jc w:val="center"/>
        <w:rPr>
          <w:rFonts w:hint="eastAsia" w:ascii="宋体" w:hAnsi="宋体" w:eastAsia="宋体" w:cs="宋体"/>
          <w:b/>
          <w:bCs/>
          <w:sz w:val="18"/>
          <w:szCs w:val="18"/>
          <w:lang w:eastAsia="zh-CN"/>
        </w:rPr>
      </w:pPr>
      <w:r>
        <w:rPr>
          <w:rFonts w:hint="eastAsia" w:ascii="宋体" w:hAnsi="宋体" w:cs="宋体"/>
          <w:b/>
          <w:bCs/>
          <w:sz w:val="52"/>
          <w:szCs w:val="52"/>
          <w:lang w:eastAsia="zh-CN"/>
        </w:rPr>
        <w:t>温县残疾人康复中心项目电梯采购安装</w:t>
      </w:r>
    </w:p>
    <w:p>
      <w:pPr>
        <w:pStyle w:val="41"/>
        <w:rPr>
          <w:color w:val="auto"/>
        </w:rPr>
      </w:pPr>
    </w:p>
    <w:p>
      <w:pPr>
        <w:widowControl/>
        <w:spacing w:before="100" w:beforeAutospacing="1" w:after="100" w:afterAutospacing="1" w:line="300" w:lineRule="auto"/>
        <w:jc w:val="center"/>
        <w:rPr>
          <w:rFonts w:ascii="宋体" w:hAnsi="宋体" w:cs="宋体"/>
          <w:b/>
          <w:bCs/>
          <w:sz w:val="24"/>
          <w:szCs w:val="24"/>
        </w:rPr>
      </w:pPr>
      <w:r>
        <w:rPr>
          <w:rStyle w:val="71"/>
          <w:rFonts w:hint="eastAsia" w:ascii="宋体" w:hAnsi="宋体" w:cs="宋体"/>
          <w:sz w:val="96"/>
          <w:szCs w:val="96"/>
        </w:rPr>
        <w:t>招 标 文 件</w:t>
      </w:r>
      <w:bookmarkEnd w:id="0"/>
      <w:bookmarkEnd w:id="1"/>
      <w:bookmarkEnd w:id="2"/>
    </w:p>
    <w:p>
      <w:pPr>
        <w:spacing w:line="360" w:lineRule="auto"/>
        <w:jc w:val="center"/>
        <w:rPr>
          <w:rFonts w:ascii="宋体" w:hAnsi="宋体" w:cs="宋体"/>
          <w:sz w:val="24"/>
          <w:szCs w:val="24"/>
        </w:rPr>
      </w:pPr>
    </w:p>
    <w:p>
      <w:pPr>
        <w:pStyle w:val="2"/>
      </w:pPr>
    </w:p>
    <w:p>
      <w:pPr>
        <w:spacing w:line="360" w:lineRule="auto"/>
        <w:jc w:val="center"/>
        <w:rPr>
          <w:rFonts w:hint="eastAsia" w:ascii="宋体" w:hAnsi="宋体" w:eastAsia="宋体" w:cs="宋体"/>
          <w:b/>
          <w:bCs/>
          <w:sz w:val="24"/>
          <w:szCs w:val="24"/>
          <w:lang w:eastAsia="zh-CN"/>
        </w:rPr>
      </w:pPr>
      <w:r>
        <w:rPr>
          <w:rFonts w:hint="eastAsia" w:ascii="宋体" w:hAnsi="宋体" w:cs="宋体"/>
          <w:b/>
          <w:bCs/>
          <w:sz w:val="24"/>
          <w:szCs w:val="24"/>
        </w:rPr>
        <w:t>项目编号：</w:t>
      </w:r>
      <w:r>
        <w:rPr>
          <w:rFonts w:hint="eastAsia" w:ascii="宋体" w:hAnsi="宋体" w:cs="宋体"/>
          <w:b/>
          <w:bCs/>
          <w:sz w:val="24"/>
          <w:szCs w:val="24"/>
          <w:lang w:eastAsia="zh-CN"/>
        </w:rPr>
        <w:t>温交易</w:t>
      </w:r>
      <w:r>
        <w:rPr>
          <w:rFonts w:hint="eastAsia" w:ascii="宋体" w:hAnsi="宋体" w:cs="宋体"/>
          <w:b/>
          <w:bCs/>
          <w:sz w:val="24"/>
          <w:szCs w:val="24"/>
        </w:rPr>
        <w:t>【</w:t>
      </w:r>
      <w:r>
        <w:rPr>
          <w:rFonts w:hint="eastAsia" w:ascii="宋体" w:hAnsi="宋体" w:cs="宋体"/>
          <w:b/>
          <w:bCs/>
          <w:sz w:val="24"/>
          <w:szCs w:val="24"/>
          <w:lang w:eastAsia="zh-CN"/>
        </w:rPr>
        <w:t>2021</w:t>
      </w:r>
      <w:r>
        <w:rPr>
          <w:rFonts w:hint="eastAsia" w:ascii="宋体" w:hAnsi="宋体" w:cs="宋体"/>
          <w:b/>
          <w:bCs/>
          <w:sz w:val="24"/>
          <w:szCs w:val="24"/>
        </w:rPr>
        <w:t>】</w:t>
      </w:r>
      <w:r>
        <w:rPr>
          <w:rFonts w:hint="eastAsia" w:ascii="宋体" w:hAnsi="宋体" w:cs="宋体"/>
          <w:b/>
          <w:bCs/>
          <w:sz w:val="24"/>
          <w:szCs w:val="24"/>
          <w:lang w:eastAsia="zh-CN"/>
        </w:rPr>
        <w:t>-117号</w:t>
      </w:r>
    </w:p>
    <w:p>
      <w:pPr>
        <w:spacing w:line="360" w:lineRule="auto"/>
        <w:jc w:val="center"/>
        <w:rPr>
          <w:rFonts w:ascii="宋体" w:hAnsi="宋体" w:cs="宋体"/>
          <w:b/>
          <w:bCs/>
          <w:sz w:val="36"/>
          <w:szCs w:val="36"/>
        </w:rPr>
      </w:pPr>
      <w:r>
        <w:rPr>
          <w:rFonts w:hint="eastAsia" w:ascii="仿宋_GB2312" w:hAnsi="宋体" w:eastAsia="仿宋_GB2312"/>
          <w:b/>
          <w:bCs/>
          <w:sz w:val="28"/>
          <w:szCs w:val="28"/>
        </w:rPr>
        <w:drawing>
          <wp:anchor distT="0" distB="0" distL="114300" distR="114300" simplePos="0" relativeHeight="251662336" behindDoc="0" locked="0" layoutInCell="1" allowOverlap="1">
            <wp:simplePos x="0" y="0"/>
            <wp:positionH relativeFrom="column">
              <wp:posOffset>9032240</wp:posOffset>
            </wp:positionH>
            <wp:positionV relativeFrom="paragraph">
              <wp:posOffset>711200</wp:posOffset>
            </wp:positionV>
            <wp:extent cx="1979930" cy="1711960"/>
            <wp:effectExtent l="0" t="0" r="1270" b="2540"/>
            <wp:wrapNone/>
            <wp:docPr id="1" name="图片 2" descr="宏业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宏业招标"/>
                    <pic:cNvPicPr>
                      <a:picLocks noChangeAspect="1"/>
                    </pic:cNvPicPr>
                  </pic:nvPicPr>
                  <pic:blipFill>
                    <a:blip r:embed="rId6" cstate="print"/>
                    <a:stretch>
                      <a:fillRect/>
                    </a:stretch>
                  </pic:blipFill>
                  <pic:spPr>
                    <a:xfrm>
                      <a:off x="0" y="0"/>
                      <a:ext cx="1979930" cy="1711960"/>
                    </a:xfrm>
                    <a:prstGeom prst="rect">
                      <a:avLst/>
                    </a:prstGeom>
                    <a:noFill/>
                    <a:ln w="9525">
                      <a:noFill/>
                    </a:ln>
                  </pic:spPr>
                </pic:pic>
              </a:graphicData>
            </a:graphic>
          </wp:anchor>
        </w:drawing>
      </w:r>
      <w:r>
        <w:rPr>
          <w:rFonts w:hint="eastAsia" w:ascii="仿宋_GB2312" w:hAnsi="宋体" w:eastAsia="仿宋_GB2312"/>
          <w:b/>
          <w:bCs/>
          <w:sz w:val="28"/>
          <w:szCs w:val="28"/>
        </w:rPr>
        <w:drawing>
          <wp:anchor distT="0" distB="0" distL="114300" distR="114300" simplePos="0" relativeHeight="251663360" behindDoc="0" locked="0" layoutInCell="1" allowOverlap="1">
            <wp:simplePos x="0" y="0"/>
            <wp:positionH relativeFrom="column">
              <wp:posOffset>9184640</wp:posOffset>
            </wp:positionH>
            <wp:positionV relativeFrom="paragraph">
              <wp:posOffset>863600</wp:posOffset>
            </wp:positionV>
            <wp:extent cx="1979930" cy="1711960"/>
            <wp:effectExtent l="0" t="0" r="1270" b="2540"/>
            <wp:wrapNone/>
            <wp:docPr id="2" name="图片 2" descr="宏业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宏业招标"/>
                    <pic:cNvPicPr>
                      <a:picLocks noChangeAspect="1"/>
                    </pic:cNvPicPr>
                  </pic:nvPicPr>
                  <pic:blipFill>
                    <a:blip r:embed="rId6" cstate="print"/>
                    <a:stretch>
                      <a:fillRect/>
                    </a:stretch>
                  </pic:blipFill>
                  <pic:spPr>
                    <a:xfrm>
                      <a:off x="0" y="0"/>
                      <a:ext cx="1979930" cy="1711960"/>
                    </a:xfrm>
                    <a:prstGeom prst="rect">
                      <a:avLst/>
                    </a:prstGeom>
                    <a:noFill/>
                    <a:ln w="9525">
                      <a:noFill/>
                    </a:ln>
                  </pic:spPr>
                </pic:pic>
              </a:graphicData>
            </a:graphic>
          </wp:anchor>
        </w:drawing>
      </w:r>
      <w:r>
        <w:rPr>
          <w:rFonts w:hint="eastAsia" w:ascii="宋体" w:hAnsi="宋体" w:cs="宋体"/>
          <w:b/>
          <w:bCs/>
          <w:sz w:val="24"/>
          <w:szCs w:val="24"/>
        </w:rPr>
        <w:t>采购编号：温政采【2021】</w:t>
      </w:r>
      <w:r>
        <w:rPr>
          <w:rFonts w:hint="eastAsia" w:ascii="宋体" w:hAnsi="宋体" w:cs="宋体"/>
          <w:b/>
          <w:bCs/>
          <w:sz w:val="24"/>
          <w:szCs w:val="24"/>
          <w:lang w:val="en-US" w:eastAsia="zh-CN"/>
        </w:rPr>
        <w:t>107</w:t>
      </w:r>
      <w:r>
        <w:rPr>
          <w:rFonts w:hint="eastAsia" w:ascii="宋体" w:hAnsi="宋体" w:cs="宋体"/>
          <w:b/>
          <w:bCs/>
          <w:sz w:val="24"/>
          <w:szCs w:val="24"/>
        </w:rPr>
        <w:t>号</w:t>
      </w:r>
    </w:p>
    <w:p>
      <w:pPr>
        <w:jc w:val="center"/>
        <w:rPr>
          <w:rFonts w:ascii="宋体" w:hAnsi="宋体" w:cs="宋体"/>
          <w:b/>
          <w:sz w:val="36"/>
          <w:szCs w:val="36"/>
        </w:rPr>
      </w:pPr>
    </w:p>
    <w:p>
      <w:pPr>
        <w:jc w:val="center"/>
        <w:rPr>
          <w:rFonts w:ascii="宋体" w:hAnsi="宋体" w:cs="宋体"/>
          <w:b/>
          <w:sz w:val="36"/>
          <w:szCs w:val="36"/>
        </w:rPr>
      </w:pPr>
      <w:r>
        <w:rPr>
          <w:rFonts w:hint="eastAsia" w:ascii="新宋体" w:hAnsi="新宋体" w:eastAsia="新宋体"/>
          <w:spacing w:val="20"/>
          <w:u w:val="single"/>
        </w:rPr>
        <w:drawing>
          <wp:anchor distT="0" distB="0" distL="114300" distR="114300" simplePos="0" relativeHeight="251665408" behindDoc="0" locked="0" layoutInCell="1" allowOverlap="1">
            <wp:simplePos x="0" y="0"/>
            <wp:positionH relativeFrom="column">
              <wp:posOffset>1875155</wp:posOffset>
            </wp:positionH>
            <wp:positionV relativeFrom="paragraph">
              <wp:posOffset>34290</wp:posOffset>
            </wp:positionV>
            <wp:extent cx="2550160" cy="2066925"/>
            <wp:effectExtent l="0" t="0" r="2540" b="9525"/>
            <wp:wrapSquare wrapText="bothSides"/>
            <wp:docPr id="4" name="图片 2"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标志"/>
                    <pic:cNvPicPr>
                      <a:picLocks noChangeAspect="1"/>
                    </pic:cNvPicPr>
                  </pic:nvPicPr>
                  <pic:blipFill>
                    <a:blip r:embed="rId7"/>
                    <a:stretch>
                      <a:fillRect/>
                    </a:stretch>
                  </pic:blipFill>
                  <pic:spPr>
                    <a:xfrm>
                      <a:off x="0" y="0"/>
                      <a:ext cx="2550160" cy="2066925"/>
                    </a:xfrm>
                    <a:prstGeom prst="rect">
                      <a:avLst/>
                    </a:prstGeom>
                    <a:noFill/>
                    <a:ln w="9525">
                      <a:noFill/>
                    </a:ln>
                  </pic:spPr>
                </pic:pic>
              </a:graphicData>
            </a:graphic>
          </wp:anchor>
        </w:drawing>
      </w: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rPr>
          <w:rFonts w:ascii="宋体" w:hAnsi="宋体" w:cs="宋体"/>
          <w:b/>
          <w:sz w:val="36"/>
          <w:szCs w:val="36"/>
        </w:rPr>
      </w:pPr>
    </w:p>
    <w:p>
      <w:pPr>
        <w:jc w:val="center"/>
        <w:rPr>
          <w:rFonts w:ascii="宋体" w:hAnsi="宋体" w:cs="宋体"/>
          <w:b/>
          <w:sz w:val="36"/>
          <w:szCs w:val="36"/>
        </w:rPr>
      </w:pPr>
    </w:p>
    <w:p>
      <w:pPr>
        <w:pStyle w:val="41"/>
        <w:rPr>
          <w:color w:val="auto"/>
        </w:rPr>
      </w:pPr>
    </w:p>
    <w:p>
      <w:pPr>
        <w:ind w:firstLine="1280" w:firstLineChars="400"/>
        <w:rPr>
          <w:rFonts w:hint="eastAsia" w:ascii="宋体" w:hAnsi="宋体" w:eastAsia="宋体" w:cs="宋体"/>
          <w:b/>
          <w:spacing w:val="60"/>
          <w:sz w:val="32"/>
          <w:szCs w:val="32"/>
          <w:lang w:val="zh-CN" w:eastAsia="zh-CN"/>
        </w:rPr>
      </w:pPr>
      <w:r>
        <w:rPr>
          <w:rFonts w:hint="eastAsia" w:ascii="仿宋_GB2312" w:hAnsi="宋体" w:eastAsia="仿宋_GB2312"/>
          <w:b/>
          <w:sz w:val="32"/>
          <w:szCs w:val="32"/>
        </w:rPr>
        <w:drawing>
          <wp:anchor distT="0" distB="0" distL="114300" distR="114300" simplePos="0" relativeHeight="251664384" behindDoc="0" locked="0" layoutInCell="1" allowOverlap="1">
            <wp:simplePos x="0" y="0"/>
            <wp:positionH relativeFrom="column">
              <wp:posOffset>9337040</wp:posOffset>
            </wp:positionH>
            <wp:positionV relativeFrom="paragraph">
              <wp:posOffset>718820</wp:posOffset>
            </wp:positionV>
            <wp:extent cx="1979930" cy="1711960"/>
            <wp:effectExtent l="0" t="0" r="1270" b="2540"/>
            <wp:wrapNone/>
            <wp:docPr id="3" name="图片 2" descr="宏业招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宏业招标"/>
                    <pic:cNvPicPr>
                      <a:picLocks noChangeAspect="1"/>
                    </pic:cNvPicPr>
                  </pic:nvPicPr>
                  <pic:blipFill>
                    <a:blip r:embed="rId6" cstate="print"/>
                    <a:stretch>
                      <a:fillRect/>
                    </a:stretch>
                  </pic:blipFill>
                  <pic:spPr>
                    <a:xfrm>
                      <a:off x="0" y="0"/>
                      <a:ext cx="1979930" cy="1711960"/>
                    </a:xfrm>
                    <a:prstGeom prst="rect">
                      <a:avLst/>
                    </a:prstGeom>
                    <a:noFill/>
                    <a:ln w="9525">
                      <a:noFill/>
                    </a:ln>
                  </pic:spPr>
                </pic:pic>
              </a:graphicData>
            </a:graphic>
          </wp:anchor>
        </w:drawing>
      </w:r>
      <w:r>
        <w:rPr>
          <w:rFonts w:hint="eastAsia" w:ascii="宋体" w:hAnsi="宋体" w:cs="宋体"/>
          <w:b/>
          <w:sz w:val="32"/>
          <w:szCs w:val="32"/>
        </w:rPr>
        <w:t>采购单位：</w:t>
      </w:r>
      <w:r>
        <w:rPr>
          <w:rFonts w:hint="eastAsia" w:ascii="宋体" w:hAnsi="宋体" w:cs="宋体"/>
          <w:b/>
          <w:sz w:val="32"/>
          <w:szCs w:val="32"/>
          <w:lang w:eastAsia="zh-CN"/>
        </w:rPr>
        <w:t>温县人民医院</w:t>
      </w:r>
    </w:p>
    <w:p>
      <w:pPr>
        <w:ind w:firstLine="1280" w:firstLineChars="400"/>
        <w:rPr>
          <w:rFonts w:hint="eastAsia" w:ascii="宋体" w:hAnsi="宋体" w:eastAsia="宋体" w:cs="宋体"/>
          <w:b/>
          <w:spacing w:val="-24"/>
          <w:sz w:val="32"/>
          <w:szCs w:val="32"/>
          <w:lang w:eastAsia="zh-CN"/>
        </w:rPr>
      </w:pPr>
      <w:r>
        <w:rPr>
          <w:rFonts w:hint="eastAsia" w:ascii="宋体" w:hAnsi="宋体" w:cs="宋体"/>
          <w:b/>
          <w:sz w:val="32"/>
          <w:szCs w:val="32"/>
        </w:rPr>
        <w:t>代理机构</w:t>
      </w:r>
      <w:r>
        <w:rPr>
          <w:rFonts w:hint="eastAsia" w:ascii="宋体" w:hAnsi="宋体" w:cs="宋体"/>
          <w:b/>
          <w:spacing w:val="-24"/>
          <w:sz w:val="32"/>
          <w:szCs w:val="32"/>
        </w:rPr>
        <w:t>：</w:t>
      </w:r>
      <w:r>
        <w:rPr>
          <w:rFonts w:hint="eastAsia" w:ascii="宋体" w:hAnsi="宋体" w:cs="宋体"/>
          <w:b/>
          <w:spacing w:val="-24"/>
          <w:sz w:val="32"/>
          <w:szCs w:val="32"/>
          <w:lang w:eastAsia="zh-CN"/>
        </w:rPr>
        <w:t>河南省中安民诚工程咨询有限公司</w:t>
      </w:r>
    </w:p>
    <w:p>
      <w:pPr>
        <w:jc w:val="center"/>
        <w:rPr>
          <w:rFonts w:ascii="宋体" w:hAnsi="宋体" w:cs="宋体"/>
          <w:b/>
          <w:sz w:val="32"/>
          <w:szCs w:val="32"/>
        </w:rPr>
      </w:pPr>
      <w:r>
        <w:rPr>
          <w:rFonts w:hint="eastAsia" w:ascii="宋体" w:hAnsi="宋体" w:cs="宋体"/>
          <w:b/>
          <w:sz w:val="32"/>
          <w:szCs w:val="32"/>
        </w:rPr>
        <w:t>二○二一年</w:t>
      </w:r>
      <w:r>
        <w:rPr>
          <w:rFonts w:hint="eastAsia" w:ascii="宋体" w:hAnsi="宋体" w:cs="宋体"/>
          <w:b/>
          <w:sz w:val="32"/>
          <w:szCs w:val="32"/>
          <w:lang w:eastAsia="zh-CN"/>
        </w:rPr>
        <w:t>七</w:t>
      </w:r>
      <w:r>
        <w:rPr>
          <w:rFonts w:hint="eastAsia" w:ascii="宋体" w:hAnsi="宋体" w:cs="宋体"/>
          <w:b/>
          <w:sz w:val="32"/>
          <w:szCs w:val="32"/>
        </w:rPr>
        <w:t>月</w:t>
      </w:r>
    </w:p>
    <w:p>
      <w:pPr>
        <w:spacing w:line="600" w:lineRule="auto"/>
        <w:rPr>
          <w:rFonts w:ascii="黑体" w:hAnsi="宋体" w:eastAsia="黑体"/>
          <w:b/>
          <w:bCs/>
          <w:sz w:val="44"/>
          <w:szCs w:val="44"/>
        </w:rPr>
      </w:pPr>
    </w:p>
    <w:p>
      <w:pPr>
        <w:spacing w:line="480" w:lineRule="auto"/>
        <w:jc w:val="center"/>
        <w:rPr>
          <w:rFonts w:ascii="宋体" w:hAnsi="宋体" w:cs="宋体"/>
          <w:sz w:val="24"/>
          <w:szCs w:val="24"/>
        </w:rPr>
      </w:pPr>
      <w:r>
        <w:rPr>
          <w:rFonts w:hint="eastAsia" w:ascii="宋体" w:hAnsi="宋体"/>
          <w:b/>
          <w:kern w:val="44"/>
          <w:sz w:val="32"/>
          <w:szCs w:val="32"/>
          <w:lang w:val="zh-CN"/>
        </w:rPr>
        <w:t>目录</w:t>
      </w:r>
      <w:r>
        <w:rPr>
          <w:rFonts w:ascii="宋体" w:hAnsi="宋体"/>
        </w:rPr>
        <w:fldChar w:fldCharType="begin"/>
      </w:r>
      <w:r>
        <w:rPr>
          <w:rFonts w:ascii="宋体" w:hAnsi="宋体"/>
        </w:rPr>
        <w:instrText xml:space="preserve"> TOC \o "1-3" \h \z \u </w:instrText>
      </w:r>
      <w:r>
        <w:rPr>
          <w:rFonts w:ascii="宋体" w:hAnsi="宋体"/>
        </w:rPr>
        <w:fldChar w:fldCharType="separate"/>
      </w:r>
    </w:p>
    <w:p>
      <w:pPr>
        <w:pStyle w:val="23"/>
        <w:tabs>
          <w:tab w:val="right" w:leader="dot" w:pos="9662"/>
        </w:tabs>
        <w:spacing w:line="480" w:lineRule="auto"/>
        <w:rPr>
          <w:rFonts w:ascii="宋体" w:hAnsi="宋体"/>
          <w:b/>
          <w:bCs/>
          <w:sz w:val="24"/>
          <w:szCs w:val="24"/>
        </w:rPr>
      </w:pPr>
      <w:r>
        <w:fldChar w:fldCharType="begin"/>
      </w:r>
      <w:r>
        <w:instrText xml:space="preserve"> HYPERLINK \l "_Toc4421" </w:instrText>
      </w:r>
      <w:r>
        <w:fldChar w:fldCharType="separate"/>
      </w:r>
      <w:r>
        <w:rPr>
          <w:rFonts w:hint="eastAsia" w:ascii="宋体" w:hAnsi="宋体"/>
          <w:b/>
          <w:bCs/>
          <w:kern w:val="44"/>
          <w:sz w:val="24"/>
          <w:szCs w:val="24"/>
        </w:rPr>
        <w:t>第一章招标公告</w:t>
      </w:r>
      <w:r>
        <w:rPr>
          <w:rFonts w:ascii="宋体" w:hAnsi="宋体"/>
          <w:b/>
          <w:bCs/>
          <w:sz w:val="24"/>
          <w:szCs w:val="24"/>
        </w:rPr>
        <w:tab/>
      </w:r>
      <w:r>
        <w:rPr>
          <w:rFonts w:hint="eastAsia" w:ascii="宋体" w:hAnsi="宋体"/>
          <w:b/>
          <w:bCs/>
          <w:sz w:val="24"/>
          <w:szCs w:val="24"/>
          <w:lang w:val="en-US" w:eastAsia="zh-CN"/>
        </w:rPr>
        <w:t>3</w:t>
      </w:r>
      <w:r>
        <w:rPr>
          <w:rFonts w:ascii="宋体" w:hAnsi="宋体"/>
          <w:b/>
          <w:bCs/>
          <w:sz w:val="24"/>
          <w:szCs w:val="24"/>
        </w:rPr>
        <w:fldChar w:fldCharType="end"/>
      </w:r>
    </w:p>
    <w:p>
      <w:pPr>
        <w:pStyle w:val="23"/>
        <w:tabs>
          <w:tab w:val="right" w:leader="dot" w:pos="9662"/>
        </w:tabs>
        <w:spacing w:line="480" w:lineRule="auto"/>
        <w:rPr>
          <w:rFonts w:ascii="宋体" w:hAnsi="宋体"/>
          <w:b/>
          <w:bCs/>
          <w:sz w:val="24"/>
          <w:szCs w:val="24"/>
        </w:rPr>
      </w:pPr>
      <w:r>
        <w:fldChar w:fldCharType="begin"/>
      </w:r>
      <w:r>
        <w:instrText xml:space="preserve"> HYPERLINK \l "_Toc9174" </w:instrText>
      </w:r>
      <w:r>
        <w:fldChar w:fldCharType="separate"/>
      </w:r>
      <w:r>
        <w:rPr>
          <w:rFonts w:hint="eastAsia" w:ascii="宋体" w:hAnsi="宋体" w:cs="宋体"/>
          <w:b/>
          <w:bCs/>
          <w:kern w:val="44"/>
          <w:sz w:val="24"/>
          <w:szCs w:val="24"/>
        </w:rPr>
        <w:t>第二章投标人须知</w:t>
      </w:r>
      <w:r>
        <w:rPr>
          <w:rFonts w:ascii="宋体" w:hAnsi="宋体"/>
          <w:b/>
          <w:bCs/>
          <w:sz w:val="24"/>
          <w:szCs w:val="24"/>
        </w:rPr>
        <w:tab/>
      </w:r>
      <w:r>
        <w:rPr>
          <w:rFonts w:hint="eastAsia" w:ascii="宋体" w:hAnsi="宋体"/>
          <w:b/>
          <w:bCs/>
          <w:sz w:val="24"/>
          <w:szCs w:val="24"/>
        </w:rPr>
        <w:t>6</w:t>
      </w:r>
      <w:r>
        <w:rPr>
          <w:rFonts w:hint="eastAsia" w:ascii="宋体" w:hAnsi="宋体"/>
          <w:b/>
          <w:bCs/>
          <w:sz w:val="24"/>
          <w:szCs w:val="24"/>
        </w:rPr>
        <w:fldChar w:fldCharType="end"/>
      </w:r>
    </w:p>
    <w:p>
      <w:pPr>
        <w:pStyle w:val="23"/>
        <w:tabs>
          <w:tab w:val="right" w:leader="dot" w:pos="9662"/>
        </w:tabs>
        <w:spacing w:line="480" w:lineRule="auto"/>
        <w:rPr>
          <w:rFonts w:hint="eastAsia" w:ascii="宋体" w:hAnsi="宋体" w:eastAsia="宋体"/>
          <w:b/>
          <w:bCs/>
          <w:sz w:val="24"/>
          <w:szCs w:val="24"/>
          <w:lang w:val="en-US" w:eastAsia="zh-CN"/>
        </w:rPr>
      </w:pPr>
      <w:r>
        <w:fldChar w:fldCharType="begin"/>
      </w:r>
      <w:r>
        <w:instrText xml:space="preserve"> HYPERLINK \l "_Toc22488" </w:instrText>
      </w:r>
      <w:r>
        <w:fldChar w:fldCharType="separate"/>
      </w:r>
      <w:r>
        <w:rPr>
          <w:rFonts w:hint="eastAsia" w:ascii="宋体" w:hAnsi="宋体" w:cs="宋体"/>
          <w:b/>
          <w:bCs/>
          <w:sz w:val="24"/>
          <w:szCs w:val="24"/>
        </w:rPr>
        <w:t>第三章评标标准和评标方法</w:t>
      </w:r>
      <w:r>
        <w:rPr>
          <w:rFonts w:ascii="宋体" w:hAnsi="宋体"/>
          <w:b/>
          <w:bCs/>
          <w:sz w:val="24"/>
          <w:szCs w:val="24"/>
        </w:rPr>
        <w:tab/>
      </w:r>
      <w:r>
        <w:rPr>
          <w:rFonts w:hint="eastAsia" w:ascii="宋体" w:hAnsi="宋体"/>
          <w:b/>
          <w:bCs/>
          <w:sz w:val="24"/>
          <w:szCs w:val="24"/>
          <w:lang w:val="en-US" w:eastAsia="zh-CN"/>
        </w:rPr>
        <w:t>1</w:t>
      </w:r>
      <w:r>
        <w:rPr>
          <w:rFonts w:ascii="宋体" w:hAnsi="宋体"/>
          <w:b/>
          <w:bCs/>
          <w:sz w:val="24"/>
          <w:szCs w:val="24"/>
        </w:rPr>
        <w:fldChar w:fldCharType="end"/>
      </w:r>
      <w:r>
        <w:rPr>
          <w:rFonts w:hint="eastAsia" w:ascii="宋体" w:hAnsi="宋体"/>
          <w:b/>
          <w:bCs/>
          <w:sz w:val="24"/>
          <w:szCs w:val="24"/>
          <w:lang w:val="en-US" w:eastAsia="zh-CN"/>
        </w:rPr>
        <w:t>9</w:t>
      </w:r>
    </w:p>
    <w:p>
      <w:pPr>
        <w:pStyle w:val="23"/>
        <w:tabs>
          <w:tab w:val="right" w:leader="dot" w:pos="9662"/>
        </w:tabs>
        <w:spacing w:line="480" w:lineRule="auto"/>
        <w:rPr>
          <w:rFonts w:ascii="宋体" w:hAnsi="宋体"/>
          <w:b/>
          <w:bCs/>
          <w:sz w:val="24"/>
          <w:szCs w:val="24"/>
        </w:rPr>
      </w:pPr>
      <w:r>
        <w:fldChar w:fldCharType="begin"/>
      </w:r>
      <w:r>
        <w:instrText xml:space="preserve"> HYPERLINK \l "_Toc13342" </w:instrText>
      </w:r>
      <w:r>
        <w:fldChar w:fldCharType="separate"/>
      </w:r>
      <w:r>
        <w:rPr>
          <w:rFonts w:hint="eastAsia" w:ascii="宋体" w:hAnsi="宋体" w:cs="宋体"/>
          <w:b/>
          <w:bCs/>
          <w:sz w:val="24"/>
          <w:szCs w:val="24"/>
        </w:rPr>
        <w:t>第四章招标项目技术参数</w:t>
      </w:r>
      <w:r>
        <w:rPr>
          <w:rFonts w:ascii="宋体" w:hAnsi="宋体"/>
          <w:b/>
          <w:bCs/>
          <w:sz w:val="24"/>
          <w:szCs w:val="24"/>
        </w:rPr>
        <w:tab/>
      </w:r>
      <w:r>
        <w:rPr>
          <w:rFonts w:ascii="宋体" w:hAnsi="宋体"/>
          <w:b/>
          <w:bCs/>
          <w:sz w:val="24"/>
          <w:szCs w:val="24"/>
        </w:rPr>
        <w:fldChar w:fldCharType="end"/>
      </w:r>
      <w:r>
        <w:rPr>
          <w:rFonts w:hint="eastAsia" w:ascii="宋体" w:hAnsi="宋体"/>
          <w:b/>
          <w:bCs/>
          <w:sz w:val="24"/>
          <w:szCs w:val="24"/>
        </w:rPr>
        <w:t>24</w:t>
      </w:r>
    </w:p>
    <w:p>
      <w:pPr>
        <w:pStyle w:val="23"/>
        <w:tabs>
          <w:tab w:val="right" w:leader="dot" w:pos="9662"/>
        </w:tabs>
        <w:spacing w:line="480" w:lineRule="auto"/>
        <w:rPr>
          <w:rFonts w:ascii="宋体" w:hAnsi="宋体"/>
          <w:b/>
          <w:bCs/>
          <w:sz w:val="24"/>
          <w:szCs w:val="24"/>
        </w:rPr>
      </w:pPr>
      <w:r>
        <w:fldChar w:fldCharType="begin"/>
      </w:r>
      <w:r>
        <w:instrText xml:space="preserve"> HYPERLINK \l "_Toc10615" </w:instrText>
      </w:r>
      <w:r>
        <w:fldChar w:fldCharType="separate"/>
      </w:r>
      <w:r>
        <w:rPr>
          <w:rFonts w:hint="eastAsia" w:ascii="宋体" w:hAnsi="宋体" w:cs="宋体"/>
          <w:b/>
          <w:bCs/>
          <w:sz w:val="24"/>
          <w:szCs w:val="24"/>
        </w:rPr>
        <w:t>第五章合同签订及条款</w:t>
      </w:r>
      <w:r>
        <w:rPr>
          <w:rFonts w:ascii="宋体" w:hAnsi="宋体"/>
          <w:b/>
          <w:bCs/>
          <w:sz w:val="24"/>
          <w:szCs w:val="24"/>
        </w:rPr>
        <w:tab/>
      </w:r>
      <w:r>
        <w:rPr>
          <w:rFonts w:hint="eastAsia" w:ascii="宋体" w:hAnsi="宋体"/>
          <w:b/>
          <w:bCs/>
          <w:sz w:val="24"/>
          <w:szCs w:val="24"/>
        </w:rPr>
        <w:t>30</w:t>
      </w:r>
      <w:r>
        <w:rPr>
          <w:rFonts w:hint="eastAsia" w:ascii="宋体" w:hAnsi="宋体"/>
          <w:b/>
          <w:bCs/>
          <w:sz w:val="24"/>
          <w:szCs w:val="24"/>
        </w:rPr>
        <w:fldChar w:fldCharType="end"/>
      </w:r>
    </w:p>
    <w:p>
      <w:pPr>
        <w:pStyle w:val="23"/>
        <w:tabs>
          <w:tab w:val="right" w:leader="dot" w:pos="9662"/>
        </w:tabs>
        <w:spacing w:line="480" w:lineRule="auto"/>
        <w:rPr>
          <w:rFonts w:ascii="宋体" w:hAnsi="宋体"/>
          <w:b/>
          <w:bCs/>
        </w:rPr>
      </w:pPr>
      <w:r>
        <w:fldChar w:fldCharType="begin"/>
      </w:r>
      <w:r>
        <w:instrText xml:space="preserve"> HYPERLINK \l "_Toc13535" </w:instrText>
      </w:r>
      <w:r>
        <w:fldChar w:fldCharType="separate"/>
      </w:r>
      <w:r>
        <w:rPr>
          <w:rFonts w:hint="eastAsia" w:ascii="宋体" w:hAnsi="宋体" w:cs="宋体"/>
          <w:b/>
          <w:bCs/>
          <w:sz w:val="24"/>
          <w:szCs w:val="24"/>
        </w:rPr>
        <w:t>第六章投标文件格式</w:t>
      </w:r>
      <w:r>
        <w:rPr>
          <w:rFonts w:ascii="宋体" w:hAnsi="宋体"/>
          <w:b/>
          <w:bCs/>
          <w:sz w:val="24"/>
          <w:szCs w:val="24"/>
        </w:rPr>
        <w:tab/>
      </w:r>
      <w:r>
        <w:rPr>
          <w:rFonts w:hint="eastAsia" w:ascii="宋体" w:hAnsi="宋体"/>
          <w:b/>
          <w:bCs/>
          <w:sz w:val="24"/>
          <w:szCs w:val="24"/>
        </w:rPr>
        <w:t>3</w:t>
      </w:r>
      <w:r>
        <w:rPr>
          <w:rFonts w:hint="eastAsia" w:ascii="宋体" w:hAnsi="宋体"/>
          <w:b/>
          <w:bCs/>
          <w:sz w:val="24"/>
          <w:szCs w:val="24"/>
        </w:rPr>
        <w:fldChar w:fldCharType="end"/>
      </w:r>
      <w:r>
        <w:rPr>
          <w:rFonts w:hint="eastAsia" w:asciiTheme="minorEastAsia" w:hAnsiTheme="minorEastAsia" w:eastAsiaTheme="minorEastAsia"/>
          <w:b/>
          <w:sz w:val="24"/>
          <w:szCs w:val="24"/>
        </w:rPr>
        <w:t>5</w:t>
      </w:r>
    </w:p>
    <w:p>
      <w:pPr>
        <w:pStyle w:val="25"/>
        <w:tabs>
          <w:tab w:val="right" w:leader="dot" w:pos="9662"/>
        </w:tabs>
        <w:rPr>
          <w:rFonts w:ascii="宋体" w:hAnsi="宋体"/>
        </w:rPr>
      </w:pPr>
    </w:p>
    <w:p>
      <w:pPr>
        <w:spacing w:line="600" w:lineRule="auto"/>
        <w:jc w:val="center"/>
        <w:rPr>
          <w:rFonts w:ascii="宋体" w:cs="宋体"/>
        </w:rPr>
      </w:pPr>
      <w:r>
        <w:rPr>
          <w:rFonts w:ascii="宋体" w:hAnsi="宋体"/>
        </w:rPr>
        <w:fldChar w:fldCharType="end"/>
      </w:r>
    </w:p>
    <w:p>
      <w:pPr>
        <w:pStyle w:val="27"/>
        <w:jc w:val="both"/>
        <w:rPr>
          <w:kern w:val="44"/>
        </w:rPr>
      </w:pPr>
    </w:p>
    <w:p/>
    <w:p>
      <w:pPr>
        <w:pStyle w:val="41"/>
        <w:rPr>
          <w:color w:val="auto"/>
        </w:rPr>
      </w:pPr>
    </w:p>
    <w:p>
      <w:pPr>
        <w:pStyle w:val="41"/>
        <w:rPr>
          <w:color w:val="auto"/>
        </w:rPr>
      </w:pPr>
    </w:p>
    <w:p>
      <w:pPr>
        <w:pStyle w:val="41"/>
        <w:rPr>
          <w:color w:val="auto"/>
        </w:rPr>
      </w:pPr>
    </w:p>
    <w:p>
      <w:pPr>
        <w:pStyle w:val="41"/>
        <w:rPr>
          <w:color w:val="auto"/>
        </w:rPr>
      </w:pPr>
    </w:p>
    <w:p>
      <w:pPr>
        <w:pStyle w:val="41"/>
        <w:rPr>
          <w:color w:val="auto"/>
        </w:rPr>
      </w:pPr>
    </w:p>
    <w:p>
      <w:pPr>
        <w:pStyle w:val="41"/>
        <w:rPr>
          <w:color w:val="auto"/>
        </w:rPr>
      </w:pPr>
    </w:p>
    <w:p>
      <w:pPr>
        <w:pStyle w:val="41"/>
        <w:rPr>
          <w:color w:val="auto"/>
        </w:rPr>
      </w:pPr>
    </w:p>
    <w:p>
      <w:pPr>
        <w:pStyle w:val="41"/>
        <w:rPr>
          <w:color w:val="auto"/>
        </w:rPr>
      </w:pPr>
    </w:p>
    <w:p>
      <w:pPr>
        <w:pStyle w:val="41"/>
        <w:rPr>
          <w:color w:val="auto"/>
        </w:rPr>
      </w:pPr>
    </w:p>
    <w:p>
      <w:pPr>
        <w:pStyle w:val="41"/>
        <w:rPr>
          <w:color w:val="auto"/>
        </w:rPr>
      </w:pPr>
    </w:p>
    <w:p>
      <w:pPr>
        <w:widowControl/>
        <w:jc w:val="left"/>
        <w:rPr>
          <w:rFonts w:ascii="Cambria" w:hAnsi="Cambria"/>
          <w:b/>
          <w:kern w:val="44"/>
          <w:sz w:val="32"/>
        </w:rPr>
      </w:pPr>
      <w:bookmarkStart w:id="3" w:name="_Toc17534"/>
      <w:bookmarkStart w:id="4" w:name="_Toc13793"/>
      <w:bookmarkStart w:id="5" w:name="_Toc17637"/>
      <w:r>
        <w:rPr>
          <w:kern w:val="44"/>
        </w:rPr>
        <w:br w:type="page"/>
      </w:r>
    </w:p>
    <w:p>
      <w:pPr>
        <w:spacing w:line="440" w:lineRule="exact"/>
        <w:ind w:firstLine="560" w:firstLineChars="20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第一章  招标公告</w:t>
      </w:r>
      <w:bookmarkEnd w:id="3"/>
      <w:bookmarkEnd w:id="4"/>
      <w:bookmarkEnd w:id="5"/>
    </w:p>
    <w:p>
      <w:pPr>
        <w:spacing w:line="440" w:lineRule="exact"/>
        <w:ind w:firstLine="560" w:firstLineChars="20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温县残疾人康复中心项目电梯采购安装</w:t>
      </w:r>
      <w:r>
        <w:rPr>
          <w:rFonts w:asciiTheme="majorEastAsia" w:hAnsiTheme="majorEastAsia" w:eastAsiaTheme="majorEastAsia"/>
          <w:b/>
          <w:sz w:val="28"/>
          <w:szCs w:val="28"/>
        </w:rPr>
        <w:t>招标公告</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项目概况:</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lang w:eastAsia="zh-CN"/>
        </w:rPr>
        <w:t>温县残疾人康复中心项目电梯采购安装</w:t>
      </w:r>
      <w:r>
        <w:rPr>
          <w:rFonts w:hint="eastAsia" w:asciiTheme="majorEastAsia" w:hAnsiTheme="majorEastAsia" w:eastAsiaTheme="majorEastAsia"/>
          <w:sz w:val="24"/>
          <w:szCs w:val="24"/>
        </w:rPr>
        <w:t>的潜在投标人应在焦作市公共资源交易中心网站会员系统获取招标文件，并于2021年</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25</w:t>
      </w:r>
      <w:r>
        <w:rPr>
          <w:rFonts w:hint="eastAsia" w:asciiTheme="majorEastAsia" w:hAnsiTheme="majorEastAsia" w:eastAsiaTheme="majorEastAsia"/>
          <w:sz w:val="24"/>
          <w:szCs w:val="24"/>
        </w:rPr>
        <w:t>日9时00分（北京时间）前递交投标文件。</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一、项目基本情况:</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1.项目编号：</w:t>
      </w:r>
      <w:r>
        <w:rPr>
          <w:rFonts w:hint="eastAsia" w:asciiTheme="majorEastAsia" w:hAnsiTheme="majorEastAsia" w:eastAsiaTheme="majorEastAsia"/>
          <w:sz w:val="24"/>
          <w:szCs w:val="24"/>
          <w:lang w:eastAsia="zh-CN"/>
        </w:rPr>
        <w:t>温交易［2021］-117号</w:t>
      </w:r>
      <w:r>
        <w:rPr>
          <w:rFonts w:hint="eastAsia" w:asciiTheme="majorEastAsia" w:hAnsiTheme="majorEastAsia" w:eastAsiaTheme="majorEastAsia"/>
          <w:sz w:val="24"/>
          <w:szCs w:val="24"/>
        </w:rPr>
        <w:t>     采购编号：温政采</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2021</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107</w:t>
      </w:r>
      <w:r>
        <w:rPr>
          <w:rFonts w:hint="eastAsia" w:asciiTheme="majorEastAsia" w:hAnsiTheme="majorEastAsia" w:eastAsiaTheme="majorEastAsia"/>
          <w:sz w:val="24"/>
          <w:szCs w:val="24"/>
        </w:rPr>
        <w:t>号</w:t>
      </w:r>
    </w:p>
    <w:p>
      <w:pPr>
        <w:spacing w:line="440" w:lineRule="exact"/>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2.项目名称：</w:t>
      </w:r>
      <w:r>
        <w:rPr>
          <w:rFonts w:hint="eastAsia" w:asciiTheme="majorEastAsia" w:hAnsiTheme="majorEastAsia" w:eastAsiaTheme="majorEastAsia"/>
          <w:sz w:val="24"/>
          <w:szCs w:val="24"/>
          <w:lang w:eastAsia="zh-CN"/>
        </w:rPr>
        <w:t>温县残疾人康复中心项目电梯采购安装</w:t>
      </w:r>
      <w:bookmarkStart w:id="332" w:name="_GoBack"/>
      <w:bookmarkEnd w:id="332"/>
    </w:p>
    <w:p>
      <w:pPr>
        <w:spacing w:line="440" w:lineRule="exact"/>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3.预算金额：</w:t>
      </w:r>
      <w:r>
        <w:rPr>
          <w:rFonts w:hint="eastAsia" w:asciiTheme="majorEastAsia" w:hAnsiTheme="majorEastAsia" w:eastAsiaTheme="majorEastAsia"/>
          <w:sz w:val="24"/>
          <w:szCs w:val="24"/>
          <w:lang w:eastAsia="zh-CN"/>
        </w:rPr>
        <w:t>1870000元</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4.采购内容：</w:t>
      </w:r>
      <w:r>
        <w:rPr>
          <w:rFonts w:hint="eastAsia" w:asciiTheme="majorEastAsia" w:hAnsiTheme="majorEastAsia" w:eastAsiaTheme="majorEastAsia"/>
          <w:sz w:val="24"/>
          <w:szCs w:val="24"/>
          <w:lang w:eastAsia="zh-CN"/>
        </w:rPr>
        <w:t>医用电梯四部</w:t>
      </w:r>
      <w:r>
        <w:rPr>
          <w:rFonts w:hint="eastAsia" w:asciiTheme="majorEastAsia" w:hAnsiTheme="majorEastAsia" w:eastAsiaTheme="majorEastAsia"/>
          <w:sz w:val="24"/>
          <w:szCs w:val="24"/>
        </w:rPr>
        <w:t>（具体内容详见招标文件第四章招标项目技术参数要求）</w:t>
      </w:r>
    </w:p>
    <w:p>
      <w:pPr>
        <w:spacing w:line="440" w:lineRule="exact"/>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5.资金来源：</w:t>
      </w:r>
      <w:r>
        <w:rPr>
          <w:rFonts w:hint="eastAsia" w:asciiTheme="majorEastAsia" w:hAnsiTheme="majorEastAsia" w:eastAsiaTheme="majorEastAsia"/>
          <w:sz w:val="24"/>
          <w:szCs w:val="24"/>
          <w:lang w:eastAsia="zh-CN"/>
        </w:rPr>
        <w:t>自筹资金</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6.质量要求：合格</w:t>
      </w:r>
    </w:p>
    <w:p>
      <w:pPr>
        <w:spacing w:line="440" w:lineRule="exact"/>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7.合同履行期限：</w:t>
      </w:r>
      <w:r>
        <w:rPr>
          <w:rFonts w:hint="eastAsia" w:asciiTheme="majorEastAsia" w:hAnsiTheme="majorEastAsia" w:eastAsiaTheme="majorEastAsia"/>
          <w:sz w:val="24"/>
          <w:szCs w:val="24"/>
          <w:lang w:eastAsia="zh-CN"/>
        </w:rPr>
        <w:t>45日历天</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8.本项目不接受联合体投标</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二、申请人的资格要求：</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1.满足《中华人民共和国政府采购法》第二十二条规定：</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1.1具有独立承担民事责任的能力；</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1.2具有良好的商业信誉和健全的财务会计制度；</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1.3具有履行合同所必需的设备和专业技术能力；</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1.4有依法缴纳税收和社会保障资金的良好记录；</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1.5参加政府采购活动前三年内，在经营活动中没有重大违法记录；</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1.6法律、行政法规规定的其他条件；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2.落实政府采购政策需满足的资格要求：本项目执行促进中小企业发展政策（监狱企业、残疾人福利性企业视同小微企业）等政府采购政策；</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3.本项目的特定资格要求：</w:t>
      </w:r>
    </w:p>
    <w:p>
      <w:pPr>
        <w:spacing w:line="440" w:lineRule="exact"/>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3.1制造商:所投设备制造商须具备特种设备(电梯)制造许可证A级资质、特种设备(电梯)安装改造维修许可证B级及以上资质或</w:t>
      </w:r>
      <w:r>
        <w:rPr>
          <w:rFonts w:hint="eastAsia" w:asciiTheme="majorEastAsia" w:hAnsiTheme="majorEastAsia" w:eastAsiaTheme="majorEastAsia"/>
          <w:sz w:val="24"/>
          <w:szCs w:val="24"/>
          <w:lang w:eastAsia="zh-CN"/>
        </w:rPr>
        <w:t>新版中华人民共和国特种设备生产许可证；</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经销商:供应商若为经销商需具备特种设备(电梯)安装维修许可证B级及以上资质或</w:t>
      </w:r>
      <w:r>
        <w:rPr>
          <w:rFonts w:hint="eastAsia" w:asciiTheme="majorEastAsia" w:hAnsiTheme="majorEastAsia" w:eastAsiaTheme="majorEastAsia"/>
          <w:sz w:val="24"/>
          <w:szCs w:val="24"/>
          <w:lang w:eastAsia="zh-CN"/>
        </w:rPr>
        <w:t>新版中华人民共和国特种设备生产许可证</w:t>
      </w:r>
      <w:r>
        <w:rPr>
          <w:rFonts w:hint="eastAsia" w:asciiTheme="majorEastAsia" w:hAnsiTheme="majorEastAsia" w:eastAsiaTheme="majorEastAsia"/>
          <w:sz w:val="24"/>
          <w:szCs w:val="24"/>
        </w:rPr>
        <w:t>，同时所投品牌制造商须具备特种设备(电梯)制造许可证A级资质或</w:t>
      </w:r>
      <w:r>
        <w:rPr>
          <w:rFonts w:hint="eastAsia" w:asciiTheme="majorEastAsia" w:hAnsiTheme="majorEastAsia" w:eastAsiaTheme="majorEastAsia"/>
          <w:sz w:val="24"/>
          <w:szCs w:val="24"/>
          <w:lang w:eastAsia="zh-CN"/>
        </w:rPr>
        <w:t>新版中华人民共和国特种设备生产许可证</w:t>
      </w:r>
      <w:r>
        <w:rPr>
          <w:rFonts w:hint="eastAsia" w:asciiTheme="majorEastAsia" w:hAnsiTheme="majorEastAsia" w:eastAsiaTheme="majorEastAsia"/>
          <w:sz w:val="24"/>
          <w:szCs w:val="24"/>
        </w:rPr>
        <w:t>；</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3.2根据《关于在政府采购活动中查询及使用信用记录有关问题的通知》(财库[2016]125号)的规定，采购代理机构将通过“信用中国”网（www.creditchina.gov.cn）、中国政府采购网（www.ccgp.gov.cn）等渠道在资格审查环节查询投标人信用记录，被列入失信被执行人、重大税收违法案件当事人名单、政府采购严重违法失信行为记录名单的单位将被拒绝参与本项目政府采购活动；信用信息查询记录和证据将同采购文件等资料一同归档保存。（投标单位需提供网站查询截图，查询时间为招标公告发布之后）；</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3.3投标人必须提供无行贿犯罪记录承诺书，(出具由“中国裁判文书网”网站查询近三年来法人、法定代表人、法定代表人委托人无行贿犯罪记录网页截图)；若有行贿犯罪记录则取消其投标资格；</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3.4 投标单位必须提供投标承诺函。</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三、获取招标文件: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时间：2021年</w:t>
      </w:r>
      <w:r>
        <w:rPr>
          <w:rFonts w:hint="eastAsia" w:asciiTheme="majorEastAsia" w:hAnsiTheme="majorEastAsia" w:eastAsiaTheme="majorEastAsia"/>
          <w:sz w:val="24"/>
          <w:szCs w:val="24"/>
          <w:lang w:val="en-US" w:eastAsia="zh-CN"/>
        </w:rPr>
        <w:t xml:space="preserve"> 8</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日至2021年</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日，每天上午8：00至12:00，下午12:00至23:00（北京时间，法定节假日除外）；</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地点：焦作市公共资源交易中心网站；</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售价：0元；</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方式：本项目采用网上获取招标文件，凡有意参加投标者，请登陆焦作市公共资源交易中心网站会员系统进行网上下载招标文件。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特别提醒：获取招标文件前请到焦作市公共资源交易中心官网首页---下载中心--下载《焦作市电子招投标系统操作手册》按要求下载招标文件。平台统一技术服务电话为：400-998-0000，服务QQ：4008503300，服务时间：周一至周日8：00-17：30。凡未在规定时间内获取招标文件的视为无效标。</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四、提交投标文件截止时间、开标时间和地点:</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时间：2021年</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25</w:t>
      </w:r>
      <w:r>
        <w:rPr>
          <w:rFonts w:hint="eastAsia" w:asciiTheme="majorEastAsia" w:hAnsiTheme="majorEastAsia" w:eastAsiaTheme="majorEastAsia"/>
          <w:sz w:val="24"/>
          <w:szCs w:val="24"/>
        </w:rPr>
        <w:t>日9点 00 分（北京时间）；</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地点：温县公共资源交易中心开标室（具体详见开标当日公示牌）。</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五、公告期限：自本公告发布之日起5个工作日。</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六、其他补充事宜：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加密电子投标文件须在焦作市公共资源交易中心电子交易平台中加密上传，上传时必须得到电脑“上传成功”的确认回复后方为上传成功。投标人无需到现场参加开标会议，无需到达现场提交原件资料。投标人应当在投标截止前，登录远程开标大厅</w:t>
      </w:r>
      <w:r>
        <w:rPr>
          <w:rFonts w:hint="eastAsia" w:asciiTheme="majorEastAsia" w:hAnsiTheme="majorEastAsia" w:eastAsiaTheme="majorEastAsia"/>
          <w:sz w:val="24"/>
          <w:szCs w:val="24"/>
          <w:lang w:val="en-US" w:eastAsia="zh-CN"/>
        </w:rPr>
        <w:t>进行签到，</w:t>
      </w:r>
      <w:r>
        <w:rPr>
          <w:rFonts w:hint="eastAsia" w:asciiTheme="majorEastAsia" w:hAnsiTheme="majorEastAsia" w:eastAsiaTheme="majorEastAsia"/>
          <w:sz w:val="24"/>
          <w:szCs w:val="24"/>
        </w:rPr>
        <w:t>在线准时参加开标活动并进行文件解密、答疑澄清等。在规定时间内投标文件未解密的投标人，视为放弃投标。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本次招标公告同时在《河南省政府采购网》、《焦作市公共资源交易中心网》、《温县公共资源交易中心网》上发布。</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七、对本次招标提出询问，请按以下方式联系:</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1.采购人信息：</w:t>
      </w:r>
    </w:p>
    <w:p>
      <w:pPr>
        <w:spacing w:line="440" w:lineRule="exact"/>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名    称：</w:t>
      </w:r>
      <w:r>
        <w:rPr>
          <w:rFonts w:hint="eastAsia" w:asciiTheme="majorEastAsia" w:hAnsiTheme="majorEastAsia" w:eastAsiaTheme="majorEastAsia"/>
          <w:sz w:val="24"/>
          <w:szCs w:val="24"/>
          <w:lang w:eastAsia="zh-CN"/>
        </w:rPr>
        <w:t>温县人民医院</w:t>
      </w:r>
    </w:p>
    <w:p>
      <w:pPr>
        <w:spacing w:line="440" w:lineRule="exact"/>
        <w:ind w:firstLine="480" w:firstLineChars="2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地    址：温县</w:t>
      </w:r>
      <w:r>
        <w:rPr>
          <w:rFonts w:hint="eastAsia" w:asciiTheme="majorEastAsia" w:hAnsiTheme="majorEastAsia" w:eastAsiaTheme="majorEastAsia"/>
          <w:sz w:val="24"/>
          <w:szCs w:val="24"/>
          <w:lang w:eastAsia="zh-CN"/>
        </w:rPr>
        <w:t>温泉镇育才街</w:t>
      </w:r>
      <w:r>
        <w:rPr>
          <w:rFonts w:hint="eastAsia" w:asciiTheme="majorEastAsia" w:hAnsiTheme="majorEastAsia" w:eastAsiaTheme="majorEastAsia"/>
          <w:sz w:val="24"/>
          <w:szCs w:val="24"/>
          <w:lang w:val="en-US" w:eastAsia="zh-CN"/>
        </w:rPr>
        <w:t>63号</w:t>
      </w:r>
    </w:p>
    <w:p>
      <w:pPr>
        <w:spacing w:line="440" w:lineRule="exact"/>
        <w:ind w:firstLine="480" w:firstLineChars="2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联</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系</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方</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式：</w:t>
      </w:r>
      <w:r>
        <w:rPr>
          <w:rFonts w:hint="eastAsia" w:asciiTheme="majorEastAsia" w:hAnsiTheme="majorEastAsia" w:eastAsiaTheme="majorEastAsia"/>
          <w:sz w:val="24"/>
          <w:szCs w:val="24"/>
          <w:lang w:val="en-US" w:eastAsia="zh-CN"/>
        </w:rPr>
        <w:t>0391-6169590</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2.采购代理机构信息</w:t>
      </w:r>
    </w:p>
    <w:p>
      <w:pPr>
        <w:spacing w:line="440" w:lineRule="exact"/>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名    称：</w:t>
      </w:r>
      <w:r>
        <w:rPr>
          <w:rFonts w:hint="eastAsia" w:asciiTheme="majorEastAsia" w:hAnsiTheme="majorEastAsia" w:eastAsiaTheme="majorEastAsia"/>
          <w:sz w:val="24"/>
          <w:szCs w:val="24"/>
          <w:lang w:eastAsia="zh-CN"/>
        </w:rPr>
        <w:t>河南省中安民诚工程咨询有限公司</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地    址：</w:t>
      </w:r>
      <w:r>
        <w:rPr>
          <w:rFonts w:hint="eastAsia" w:asciiTheme="majorEastAsia" w:hAnsiTheme="majorEastAsia" w:eastAsiaTheme="majorEastAsia"/>
          <w:sz w:val="24"/>
          <w:szCs w:val="24"/>
          <w:lang w:eastAsia="zh-CN"/>
        </w:rPr>
        <w:t>郑州市中原区陇海西路</w:t>
      </w:r>
      <w:r>
        <w:rPr>
          <w:rFonts w:hint="eastAsia" w:asciiTheme="majorEastAsia" w:hAnsiTheme="majorEastAsia" w:eastAsiaTheme="majorEastAsia"/>
          <w:sz w:val="24"/>
          <w:szCs w:val="24"/>
          <w:lang w:val="en-US" w:eastAsia="zh-CN"/>
        </w:rPr>
        <w:t>55号院4号楼内第二层</w:t>
      </w:r>
      <w:r>
        <w:rPr>
          <w:rFonts w:hint="eastAsia" w:asciiTheme="majorEastAsia" w:hAnsiTheme="majorEastAsia" w:eastAsiaTheme="majorEastAsia"/>
          <w:sz w:val="24"/>
          <w:szCs w:val="24"/>
        </w:rPr>
        <w:t xml:space="preserve"> </w:t>
      </w:r>
    </w:p>
    <w:p>
      <w:pPr>
        <w:spacing w:line="440" w:lineRule="exact"/>
        <w:ind w:firstLine="480" w:firstLineChars="2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联系方式：</w:t>
      </w:r>
      <w:r>
        <w:rPr>
          <w:rFonts w:hint="eastAsia" w:asciiTheme="majorEastAsia" w:hAnsiTheme="majorEastAsia" w:eastAsiaTheme="majorEastAsia"/>
          <w:sz w:val="24"/>
          <w:szCs w:val="24"/>
          <w:lang w:val="en-US" w:eastAsia="zh-CN"/>
        </w:rPr>
        <w:t>15978751106</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3.项目联系方式</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项目联系人：</w:t>
      </w:r>
      <w:r>
        <w:rPr>
          <w:rFonts w:hint="eastAsia" w:asciiTheme="majorEastAsia" w:hAnsiTheme="majorEastAsia" w:eastAsiaTheme="majorEastAsia"/>
          <w:sz w:val="24"/>
          <w:szCs w:val="24"/>
          <w:lang w:eastAsia="zh-CN"/>
        </w:rPr>
        <w:t>王</w:t>
      </w:r>
      <w:r>
        <w:rPr>
          <w:rFonts w:hint="eastAsia" w:asciiTheme="majorEastAsia" w:hAnsiTheme="majorEastAsia" w:eastAsiaTheme="majorEastAsia"/>
          <w:sz w:val="24"/>
          <w:szCs w:val="24"/>
        </w:rPr>
        <w:t>女士</w:t>
      </w:r>
    </w:p>
    <w:p>
      <w:pPr>
        <w:spacing w:line="440" w:lineRule="exact"/>
        <w:ind w:firstLine="480" w:firstLineChars="200"/>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电    话：</w:t>
      </w:r>
      <w:r>
        <w:rPr>
          <w:rFonts w:hint="eastAsia" w:asciiTheme="majorEastAsia" w:hAnsiTheme="majorEastAsia" w:eastAsiaTheme="majorEastAsia"/>
          <w:sz w:val="24"/>
          <w:szCs w:val="24"/>
          <w:lang w:val="en-US" w:eastAsia="zh-CN"/>
        </w:rPr>
        <w:t>15978751106</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2021年</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30</w:t>
      </w:r>
      <w:r>
        <w:rPr>
          <w:rFonts w:hint="eastAsia" w:asciiTheme="majorEastAsia" w:hAnsiTheme="majorEastAsia" w:eastAsiaTheme="majorEastAsia"/>
          <w:sz w:val="24"/>
          <w:szCs w:val="24"/>
        </w:rPr>
        <w:t>日</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560" w:firstLineChars="200"/>
        <w:jc w:val="center"/>
        <w:rPr>
          <w:rFonts w:asciiTheme="majorEastAsia" w:hAnsiTheme="majorEastAsia" w:eastAsiaTheme="majorEastAsia"/>
          <w:b/>
          <w:sz w:val="28"/>
          <w:szCs w:val="28"/>
        </w:rPr>
      </w:pPr>
      <w:bookmarkStart w:id="6" w:name="_Toc6790"/>
      <w:bookmarkStart w:id="7" w:name="_Toc6278"/>
      <w:r>
        <w:rPr>
          <w:rFonts w:hint="eastAsia" w:asciiTheme="majorEastAsia" w:hAnsiTheme="majorEastAsia" w:eastAsiaTheme="majorEastAsia"/>
          <w:b/>
          <w:sz w:val="28"/>
          <w:szCs w:val="28"/>
        </w:rPr>
        <w:t>第二章  投标人须知</w:t>
      </w:r>
      <w:bookmarkEnd w:id="6"/>
      <w:bookmarkEnd w:id="7"/>
    </w:p>
    <w:p>
      <w:pPr>
        <w:spacing w:line="440" w:lineRule="exact"/>
        <w:ind w:firstLine="560" w:firstLineChars="200"/>
        <w:jc w:val="center"/>
        <w:rPr>
          <w:rFonts w:asciiTheme="majorEastAsia" w:hAnsiTheme="majorEastAsia" w:eastAsiaTheme="majorEastAsia"/>
          <w:b/>
          <w:sz w:val="28"/>
          <w:szCs w:val="28"/>
        </w:rPr>
      </w:pPr>
      <w:bookmarkStart w:id="8" w:name="_Toc30836"/>
      <w:bookmarkStart w:id="9" w:name="_Toc247513951"/>
      <w:bookmarkStart w:id="10" w:name="_Toc27716"/>
      <w:bookmarkStart w:id="11" w:name="_Toc152042304"/>
      <w:bookmarkStart w:id="12" w:name="_Toc152045528"/>
      <w:bookmarkStart w:id="13" w:name="_Toc421284738"/>
      <w:bookmarkStart w:id="14" w:name="_Toc5221"/>
      <w:bookmarkStart w:id="15" w:name="_Toc27148116"/>
      <w:bookmarkStart w:id="16" w:name="_Toc144974496"/>
      <w:bookmarkStart w:id="17" w:name="_Toc247527552"/>
      <w:r>
        <w:rPr>
          <w:rFonts w:hint="eastAsia" w:asciiTheme="majorEastAsia" w:hAnsiTheme="majorEastAsia" w:eastAsiaTheme="majorEastAsia"/>
          <w:b/>
          <w:sz w:val="28"/>
          <w:szCs w:val="28"/>
        </w:rPr>
        <w:t>投标人须知前附表</w:t>
      </w:r>
      <w:bookmarkEnd w:id="8"/>
      <w:bookmarkEnd w:id="9"/>
      <w:bookmarkEnd w:id="10"/>
      <w:bookmarkEnd w:id="11"/>
      <w:bookmarkEnd w:id="12"/>
      <w:bookmarkEnd w:id="13"/>
      <w:bookmarkEnd w:id="14"/>
      <w:bookmarkEnd w:id="15"/>
      <w:bookmarkEnd w:id="16"/>
      <w:bookmarkEnd w:id="17"/>
    </w:p>
    <w:tbl>
      <w:tblPr>
        <w:tblStyle w:val="40"/>
        <w:tblW w:w="9995" w:type="dxa"/>
        <w:tblInd w:w="-106" w:type="dxa"/>
        <w:tblLayout w:type="fixed"/>
        <w:tblCellMar>
          <w:top w:w="0" w:type="dxa"/>
          <w:left w:w="108" w:type="dxa"/>
          <w:bottom w:w="0" w:type="dxa"/>
          <w:right w:w="108" w:type="dxa"/>
        </w:tblCellMar>
      </w:tblPr>
      <w:tblGrid>
        <w:gridCol w:w="1050"/>
        <w:gridCol w:w="2850"/>
        <w:gridCol w:w="6095"/>
      </w:tblGrid>
      <w:tr>
        <w:tblPrEx>
          <w:tblLayout w:type="fixed"/>
          <w:tblCellMar>
            <w:top w:w="0" w:type="dxa"/>
            <w:left w:w="108" w:type="dxa"/>
            <w:bottom w:w="0" w:type="dxa"/>
            <w:right w:w="108" w:type="dxa"/>
          </w:tblCellMar>
        </w:tblPrEx>
        <w:trPr>
          <w:trHeight w:val="334"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条款号</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条款名称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编列内容</w:t>
            </w:r>
          </w:p>
        </w:tc>
      </w:tr>
      <w:tr>
        <w:tblPrEx>
          <w:tblLayout w:type="fixed"/>
          <w:tblCellMar>
            <w:top w:w="0" w:type="dxa"/>
            <w:left w:w="108" w:type="dxa"/>
            <w:bottom w:w="0" w:type="dxa"/>
            <w:right w:w="108" w:type="dxa"/>
          </w:tblCellMar>
        </w:tblPrEx>
        <w:trPr>
          <w:trHeight w:val="1364"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1.1.2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采购人：</w:t>
            </w:r>
            <w:r>
              <w:rPr>
                <w:rFonts w:hint="eastAsia" w:asciiTheme="majorEastAsia" w:hAnsiTheme="majorEastAsia" w:eastAsiaTheme="majorEastAsia"/>
                <w:sz w:val="24"/>
                <w:szCs w:val="24"/>
                <w:lang w:eastAsia="zh-CN"/>
              </w:rPr>
              <w:t>温县人民医院</w:t>
            </w:r>
          </w:p>
          <w:p>
            <w:pPr>
              <w:spacing w:line="440" w:lineRule="exac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联系人：</w:t>
            </w:r>
            <w:r>
              <w:rPr>
                <w:rFonts w:hint="eastAsia" w:asciiTheme="majorEastAsia" w:hAnsiTheme="majorEastAsia" w:eastAsiaTheme="majorEastAsia"/>
                <w:sz w:val="24"/>
                <w:szCs w:val="24"/>
                <w:lang w:eastAsia="zh-CN"/>
              </w:rPr>
              <w:t>闫先生</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电话：</w:t>
            </w:r>
            <w:r>
              <w:rPr>
                <w:rFonts w:hint="eastAsia" w:asciiTheme="majorEastAsia" w:hAnsiTheme="majorEastAsia" w:eastAsiaTheme="majorEastAsia"/>
                <w:sz w:val="24"/>
                <w:szCs w:val="24"/>
                <w:lang w:val="en-US" w:eastAsia="zh-CN"/>
              </w:rPr>
              <w:t>0391-6169590</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地址:温县温泉镇育才街63号</w:t>
            </w:r>
          </w:p>
        </w:tc>
      </w:tr>
      <w:tr>
        <w:tblPrEx>
          <w:tblLayout w:type="fixed"/>
          <w:tblCellMar>
            <w:top w:w="0" w:type="dxa"/>
            <w:left w:w="108" w:type="dxa"/>
            <w:bottom w:w="0" w:type="dxa"/>
            <w:right w:w="108" w:type="dxa"/>
          </w:tblCellMar>
        </w:tblPrEx>
        <w:trPr>
          <w:trHeight w:val="138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1.1.3</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采购代理机构</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采购代理机构：</w:t>
            </w:r>
            <w:r>
              <w:rPr>
                <w:rFonts w:hint="eastAsia" w:asciiTheme="majorEastAsia" w:hAnsiTheme="majorEastAsia" w:eastAsiaTheme="majorEastAsia"/>
                <w:sz w:val="24"/>
                <w:szCs w:val="24"/>
                <w:lang w:eastAsia="zh-CN"/>
              </w:rPr>
              <w:t>河南省中安民诚工程咨询有限公司</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联 系 人：</w:t>
            </w:r>
            <w:r>
              <w:rPr>
                <w:rFonts w:hint="eastAsia" w:asciiTheme="majorEastAsia" w:hAnsiTheme="majorEastAsia" w:eastAsiaTheme="majorEastAsia"/>
                <w:sz w:val="24"/>
                <w:szCs w:val="24"/>
                <w:lang w:eastAsia="zh-CN"/>
              </w:rPr>
              <w:t>王</w:t>
            </w:r>
            <w:r>
              <w:rPr>
                <w:rFonts w:hint="eastAsia" w:asciiTheme="majorEastAsia" w:hAnsiTheme="majorEastAsia" w:eastAsiaTheme="majorEastAsia"/>
                <w:sz w:val="24"/>
                <w:szCs w:val="24"/>
              </w:rPr>
              <w:t>女士</w:t>
            </w:r>
          </w:p>
          <w:p>
            <w:pPr>
              <w:spacing w:line="440" w:lineRule="exac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电 话：</w:t>
            </w:r>
            <w:r>
              <w:rPr>
                <w:rFonts w:hint="eastAsia" w:asciiTheme="majorEastAsia" w:hAnsiTheme="majorEastAsia" w:eastAsiaTheme="majorEastAsia"/>
                <w:sz w:val="24"/>
                <w:szCs w:val="24"/>
                <w:lang w:val="en-US" w:eastAsia="zh-CN"/>
              </w:rPr>
              <w:t>15978751106</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地 址：郑州市中原区陇海西路55号院4号楼内第二层</w:t>
            </w:r>
          </w:p>
        </w:tc>
      </w:tr>
      <w:tr>
        <w:tblPrEx>
          <w:tblLayout w:type="fixed"/>
          <w:tblCellMar>
            <w:top w:w="0" w:type="dxa"/>
            <w:left w:w="108" w:type="dxa"/>
            <w:bottom w:w="0" w:type="dxa"/>
            <w:right w:w="108" w:type="dxa"/>
          </w:tblCellMar>
        </w:tblPrEx>
        <w:trPr>
          <w:trHeight w:val="90" w:hRule="atLeast"/>
        </w:trPr>
        <w:tc>
          <w:tcPr>
            <w:tcW w:w="1050" w:type="dxa"/>
            <w:vMerge w:val="restart"/>
            <w:tcBorders>
              <w:top w:val="single" w:color="auto" w:sz="4" w:space="0"/>
              <w:left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1.1.4</w:t>
            </w:r>
          </w:p>
        </w:tc>
        <w:tc>
          <w:tcPr>
            <w:tcW w:w="2850" w:type="dxa"/>
            <w:vMerge w:val="restart"/>
            <w:tcBorders>
              <w:top w:val="single" w:color="auto" w:sz="4" w:space="0"/>
              <w:left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项目名称及项目编号</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温县残疾人康复中心项目电梯采购安装</w:t>
            </w:r>
          </w:p>
        </w:tc>
      </w:tr>
      <w:tr>
        <w:tblPrEx>
          <w:tblLayout w:type="fixed"/>
          <w:tblCellMar>
            <w:top w:w="0" w:type="dxa"/>
            <w:left w:w="108" w:type="dxa"/>
            <w:bottom w:w="0" w:type="dxa"/>
            <w:right w:w="108" w:type="dxa"/>
          </w:tblCellMar>
        </w:tblPrEx>
        <w:trPr>
          <w:trHeight w:val="815" w:hRule="atLeast"/>
        </w:trPr>
        <w:tc>
          <w:tcPr>
            <w:tcW w:w="1050" w:type="dxa"/>
            <w:vMerge w:val="continue"/>
            <w:tcBorders>
              <w:left w:val="single" w:color="auto" w:sz="4" w:space="0"/>
              <w:bottom w:val="single" w:color="auto" w:sz="4"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850" w:type="dxa"/>
            <w:vMerge w:val="continue"/>
            <w:tcBorders>
              <w:left w:val="single" w:color="auto" w:sz="4" w:space="0"/>
              <w:bottom w:val="single" w:color="auto" w:sz="4" w:space="0"/>
              <w:right w:val="single" w:color="auto" w:sz="4" w:space="0"/>
            </w:tcBorders>
            <w:vAlign w:val="center"/>
          </w:tcPr>
          <w:p>
            <w:pPr>
              <w:spacing w:line="440" w:lineRule="exact"/>
              <w:ind w:firstLine="480" w:firstLineChars="200"/>
              <w:jc w:val="left"/>
              <w:rPr>
                <w:rFonts w:asciiTheme="majorEastAsia" w:hAnsiTheme="majorEastAsia" w:eastAsiaTheme="majorEastAsia"/>
                <w:sz w:val="24"/>
                <w:szCs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项目编号：</w:t>
            </w:r>
            <w:r>
              <w:rPr>
                <w:rFonts w:hint="eastAsia" w:asciiTheme="majorEastAsia" w:hAnsiTheme="majorEastAsia" w:eastAsiaTheme="majorEastAsia"/>
                <w:sz w:val="24"/>
                <w:szCs w:val="24"/>
                <w:lang w:eastAsia="zh-CN"/>
              </w:rPr>
              <w:t>温交易［2021］-117号</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采购编号：温政采［</w:t>
            </w:r>
            <w:r>
              <w:rPr>
                <w:rFonts w:asciiTheme="majorEastAsia" w:hAnsiTheme="majorEastAsia" w:eastAsiaTheme="majorEastAsia"/>
                <w:sz w:val="24"/>
                <w:szCs w:val="24"/>
              </w:rPr>
              <w:t>202</w:t>
            </w: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val="en-US" w:eastAsia="zh-CN"/>
              </w:rPr>
              <w:t>107</w:t>
            </w:r>
            <w:r>
              <w:rPr>
                <w:rFonts w:hint="eastAsia" w:asciiTheme="majorEastAsia" w:hAnsiTheme="majorEastAsia" w:eastAsiaTheme="majorEastAsia"/>
                <w:sz w:val="24"/>
                <w:szCs w:val="24"/>
              </w:rPr>
              <w:t>号</w:t>
            </w:r>
          </w:p>
        </w:tc>
      </w:tr>
      <w:tr>
        <w:tblPrEx>
          <w:tblLayout w:type="fixed"/>
          <w:tblCellMar>
            <w:top w:w="0" w:type="dxa"/>
            <w:left w:w="108" w:type="dxa"/>
            <w:bottom w:w="0" w:type="dxa"/>
            <w:right w:w="108" w:type="dxa"/>
          </w:tblCellMar>
        </w:tblPrEx>
        <w:trPr>
          <w:trHeight w:val="42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1.2.1</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采购预算价</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人民币</w:t>
            </w:r>
            <w:r>
              <w:rPr>
                <w:rFonts w:hint="eastAsia" w:asciiTheme="majorEastAsia" w:hAnsiTheme="majorEastAsia" w:eastAsiaTheme="majorEastAsia"/>
                <w:sz w:val="24"/>
                <w:szCs w:val="24"/>
                <w:lang w:eastAsia="zh-CN"/>
              </w:rPr>
              <w:t>1870000元</w:t>
            </w:r>
          </w:p>
        </w:tc>
      </w:tr>
      <w:tr>
        <w:tblPrEx>
          <w:tblLayout w:type="fixed"/>
          <w:tblCellMar>
            <w:top w:w="0" w:type="dxa"/>
            <w:left w:w="108" w:type="dxa"/>
            <w:bottom w:w="0" w:type="dxa"/>
            <w:right w:w="108" w:type="dxa"/>
          </w:tblCellMar>
        </w:tblPrEx>
        <w:trPr>
          <w:trHeight w:val="42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1.2.2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资金来源</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自筹资金</w:t>
            </w:r>
          </w:p>
        </w:tc>
      </w:tr>
      <w:tr>
        <w:tblPrEx>
          <w:tblLayout w:type="fixed"/>
          <w:tblCellMar>
            <w:top w:w="0" w:type="dxa"/>
            <w:left w:w="108" w:type="dxa"/>
            <w:bottom w:w="0" w:type="dxa"/>
            <w:right w:w="108" w:type="dxa"/>
          </w:tblCellMar>
        </w:tblPrEx>
        <w:trPr>
          <w:trHeight w:val="48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1.3.1</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采购内容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lang w:eastAsia="zh-CN"/>
              </w:rPr>
              <w:t>医用电梯四部</w:t>
            </w:r>
            <w:r>
              <w:rPr>
                <w:rFonts w:hint="eastAsia" w:asciiTheme="majorEastAsia" w:hAnsiTheme="majorEastAsia" w:eastAsiaTheme="majorEastAsia"/>
                <w:sz w:val="24"/>
                <w:szCs w:val="24"/>
              </w:rPr>
              <w:t>(具体参数详见招标文件采购需求及清单)</w:t>
            </w:r>
          </w:p>
        </w:tc>
      </w:tr>
      <w:tr>
        <w:tblPrEx>
          <w:tblLayout w:type="fixed"/>
          <w:tblCellMar>
            <w:top w:w="0" w:type="dxa"/>
            <w:left w:w="108" w:type="dxa"/>
            <w:bottom w:w="0" w:type="dxa"/>
            <w:right w:w="108" w:type="dxa"/>
          </w:tblCellMar>
        </w:tblPrEx>
        <w:trPr>
          <w:trHeight w:val="393"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1.3.2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期限</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45日历天</w:t>
            </w:r>
          </w:p>
        </w:tc>
      </w:tr>
      <w:tr>
        <w:tblPrEx>
          <w:tblLayout w:type="fixed"/>
          <w:tblCellMar>
            <w:top w:w="0" w:type="dxa"/>
            <w:left w:w="108" w:type="dxa"/>
            <w:bottom w:w="0" w:type="dxa"/>
            <w:right w:w="108" w:type="dxa"/>
          </w:tblCellMar>
        </w:tblPrEx>
        <w:trPr>
          <w:trHeight w:val="9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1.3.3</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质量要求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合格</w:t>
            </w:r>
          </w:p>
        </w:tc>
      </w:tr>
      <w:tr>
        <w:tblPrEx>
          <w:tblLayout w:type="fixed"/>
          <w:tblCellMar>
            <w:top w:w="0" w:type="dxa"/>
            <w:left w:w="108" w:type="dxa"/>
            <w:bottom w:w="0" w:type="dxa"/>
            <w:right w:w="108" w:type="dxa"/>
          </w:tblCellMar>
        </w:tblPrEx>
        <w:trPr>
          <w:trHeight w:val="9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1.3.4</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质保期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olor w:val="000000" w:themeColor="text1"/>
                <w:sz w:val="24"/>
                <w:szCs w:val="24"/>
                <w14:textFill>
                  <w14:solidFill>
                    <w14:schemeClr w14:val="tx1"/>
                  </w14:solidFill>
                </w14:textFill>
              </w:rPr>
              <w:t>年</w:t>
            </w:r>
          </w:p>
        </w:tc>
      </w:tr>
      <w:tr>
        <w:tblPrEx>
          <w:tblLayout w:type="fixed"/>
          <w:tblCellMar>
            <w:top w:w="0" w:type="dxa"/>
            <w:left w:w="108" w:type="dxa"/>
            <w:bottom w:w="0" w:type="dxa"/>
            <w:right w:w="108" w:type="dxa"/>
          </w:tblCellMar>
        </w:tblPrEx>
        <w:trPr>
          <w:trHeight w:val="31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1.4.1</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供应商资格要求</w:t>
            </w:r>
          </w:p>
        </w:tc>
        <w:tc>
          <w:tcPr>
            <w:tcW w:w="6095" w:type="dxa"/>
            <w:tcBorders>
              <w:top w:val="single" w:color="auto" w:sz="4" w:space="0"/>
              <w:left w:val="single" w:color="auto" w:sz="4" w:space="0"/>
              <w:bottom w:val="single" w:color="auto" w:sz="4" w:space="0"/>
              <w:right w:val="single" w:color="auto" w:sz="4" w:space="0"/>
            </w:tcBorders>
          </w:tcPr>
          <w:p>
            <w:pPr>
              <w:spacing w:line="440" w:lineRule="exact"/>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、供应商符合《中华人民共和国政府采购法》第二十二条的规定：</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）具有独立承担民事责任的能力；</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）具有良好的商业信誉和健全的财务会计制度；</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）具有履行合同所必需的设备和专业技术能力；</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4</w:t>
            </w:r>
            <w:r>
              <w:rPr>
                <w:rFonts w:hint="eastAsia" w:asciiTheme="majorEastAsia" w:hAnsiTheme="majorEastAsia" w:eastAsiaTheme="majorEastAsia"/>
                <w:sz w:val="24"/>
                <w:szCs w:val="24"/>
              </w:rPr>
              <w:t>）有依法缴纳税收和社会保障资金的良好记录；</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5</w:t>
            </w:r>
            <w:r>
              <w:rPr>
                <w:rFonts w:hint="eastAsia" w:asciiTheme="majorEastAsia" w:hAnsiTheme="majorEastAsia" w:eastAsiaTheme="majorEastAsia"/>
                <w:sz w:val="24"/>
                <w:szCs w:val="24"/>
              </w:rPr>
              <w:t>）参加政府采购活动前三年内，在经营活动中没有重大违法记录；</w:t>
            </w:r>
          </w:p>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2、制造商:所投设备制造商须具备特种设备(电梯)制造许可证A级资质、特种设备(电梯)安装改造维修许可证B级及以上资质或</w:t>
            </w:r>
            <w:r>
              <w:rPr>
                <w:rFonts w:hint="eastAsia" w:asciiTheme="majorEastAsia" w:hAnsiTheme="majorEastAsia" w:eastAsiaTheme="majorEastAsia"/>
                <w:sz w:val="24"/>
                <w:szCs w:val="24"/>
                <w:lang w:eastAsia="zh-CN"/>
              </w:rPr>
              <w:t>新版中华人民共和国特种设备生产许可证</w:t>
            </w:r>
            <w:r>
              <w:rPr>
                <w:rFonts w:hint="eastAsia" w:asciiTheme="majorEastAsia" w:hAnsiTheme="majorEastAsia" w:eastAsiaTheme="majorEastAsia"/>
                <w:sz w:val="24"/>
                <w:szCs w:val="24"/>
              </w:rPr>
              <w:t>；</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经销商:供应商若为经销商需具备特种设备(电梯)安装维修许可证B级及以上资质或</w:t>
            </w:r>
            <w:r>
              <w:rPr>
                <w:rFonts w:hint="eastAsia" w:asciiTheme="majorEastAsia" w:hAnsiTheme="majorEastAsia" w:eastAsiaTheme="majorEastAsia"/>
                <w:sz w:val="24"/>
                <w:szCs w:val="24"/>
                <w:lang w:eastAsia="zh-CN"/>
              </w:rPr>
              <w:t>新版中华人民共和国特种设备生产许可证</w:t>
            </w:r>
            <w:r>
              <w:rPr>
                <w:rFonts w:hint="eastAsia" w:asciiTheme="majorEastAsia" w:hAnsiTheme="majorEastAsia" w:eastAsiaTheme="majorEastAsia"/>
                <w:sz w:val="24"/>
                <w:szCs w:val="24"/>
              </w:rPr>
              <w:t>，同时所投品牌制造商须具备特种设备(电梯)制造许可证A级资质或</w:t>
            </w:r>
            <w:r>
              <w:rPr>
                <w:rFonts w:hint="eastAsia" w:asciiTheme="majorEastAsia" w:hAnsiTheme="majorEastAsia" w:eastAsiaTheme="majorEastAsia"/>
                <w:sz w:val="24"/>
                <w:szCs w:val="24"/>
                <w:lang w:eastAsia="zh-CN"/>
              </w:rPr>
              <w:t>新版中华人民共和国特种设备生产许可证</w:t>
            </w:r>
            <w:r>
              <w:rPr>
                <w:rFonts w:hint="eastAsia" w:asciiTheme="majorEastAsia" w:hAnsiTheme="majorEastAsia" w:eastAsiaTheme="majorEastAsia"/>
                <w:sz w:val="24"/>
                <w:szCs w:val="24"/>
              </w:rPr>
              <w:t>；</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3、信誉要求：根据《关于在政府采购活动中查询及使用信用记录有关问题的通知》</w:t>
            </w:r>
            <w:r>
              <w:rPr>
                <w:rFonts w:asciiTheme="majorEastAsia" w:hAnsiTheme="majorEastAsia" w:eastAsiaTheme="majorEastAsia"/>
                <w:sz w:val="24"/>
                <w:szCs w:val="24"/>
              </w:rPr>
              <w:t>(</w:t>
            </w:r>
            <w:r>
              <w:rPr>
                <w:rFonts w:hint="eastAsia" w:asciiTheme="majorEastAsia" w:hAnsiTheme="majorEastAsia" w:eastAsiaTheme="majorEastAsia"/>
                <w:sz w:val="24"/>
                <w:szCs w:val="24"/>
              </w:rPr>
              <w:t>财库</w:t>
            </w:r>
            <w:r>
              <w:rPr>
                <w:rFonts w:asciiTheme="majorEastAsia" w:hAnsiTheme="majorEastAsia" w:eastAsiaTheme="majorEastAsia"/>
                <w:sz w:val="24"/>
                <w:szCs w:val="24"/>
              </w:rPr>
              <w:t>[2016]125</w:t>
            </w:r>
            <w:r>
              <w:rPr>
                <w:rFonts w:hint="eastAsia" w:asciiTheme="majorEastAsia" w:hAnsiTheme="majorEastAsia" w:eastAsiaTheme="majorEastAsia"/>
                <w:sz w:val="24"/>
                <w:szCs w:val="24"/>
              </w:rPr>
              <w:t>号</w:t>
            </w:r>
            <w:r>
              <w:rPr>
                <w:rFonts w:asciiTheme="majorEastAsia" w:hAnsiTheme="majorEastAsia" w:eastAsiaTheme="majorEastAsia"/>
                <w:sz w:val="24"/>
                <w:szCs w:val="24"/>
              </w:rPr>
              <w:t>)</w:t>
            </w:r>
            <w:r>
              <w:rPr>
                <w:rFonts w:hint="eastAsia" w:asciiTheme="majorEastAsia" w:hAnsiTheme="majorEastAsia" w:eastAsiaTheme="majorEastAsia"/>
                <w:sz w:val="24"/>
                <w:szCs w:val="24"/>
              </w:rPr>
              <w:t>的规定，采购代理机构将通过“信用中国”网站（</w:t>
            </w:r>
            <w:r>
              <w:rPr>
                <w:rFonts w:asciiTheme="majorEastAsia" w:hAnsiTheme="majorEastAsia" w:eastAsiaTheme="majorEastAsia"/>
                <w:sz w:val="24"/>
                <w:szCs w:val="24"/>
              </w:rPr>
              <w:t>www.creditchina.gov.cn</w:t>
            </w:r>
            <w:r>
              <w:rPr>
                <w:rFonts w:hint="eastAsia" w:asciiTheme="majorEastAsia" w:hAnsiTheme="majorEastAsia" w:eastAsiaTheme="majorEastAsia"/>
                <w:sz w:val="24"/>
                <w:szCs w:val="24"/>
              </w:rPr>
              <w:t>）、中国政府采购网（</w:t>
            </w:r>
            <w:r>
              <w:rPr>
                <w:rFonts w:asciiTheme="majorEastAsia" w:hAnsiTheme="majorEastAsia" w:eastAsiaTheme="majorEastAsia"/>
                <w:sz w:val="24"/>
                <w:szCs w:val="24"/>
              </w:rPr>
              <w:t>www.ccgp.gov.cn</w:t>
            </w:r>
            <w:r>
              <w:rPr>
                <w:rFonts w:hint="eastAsia" w:asciiTheme="majorEastAsia" w:hAnsiTheme="majorEastAsia" w:eastAsiaTheme="majorEastAsia"/>
                <w:sz w:val="24"/>
                <w:szCs w:val="24"/>
              </w:rPr>
              <w:t>）等渠道在资格审查环节查询供应商信用记录，被列入失信被执行人、重大税收违法案件当事人名单、政府采购严重违法失信行为记录名单的单位将被拒绝参与本项目政府采购活动；信用信息查询记录和证据将同采购文件等资料一同归档保存。（供应商需提供网站查询截图，加盖企业公章）。</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4、供应商必须提供无行贿犯罪记录承诺书，</w:t>
            </w:r>
            <w:r>
              <w:rPr>
                <w:rFonts w:asciiTheme="majorEastAsia" w:hAnsiTheme="majorEastAsia" w:eastAsiaTheme="majorEastAsia"/>
                <w:sz w:val="24"/>
                <w:szCs w:val="24"/>
              </w:rPr>
              <w:t>(</w:t>
            </w:r>
            <w:r>
              <w:rPr>
                <w:rFonts w:hint="eastAsia" w:asciiTheme="majorEastAsia" w:hAnsiTheme="majorEastAsia" w:eastAsiaTheme="majorEastAsia"/>
                <w:sz w:val="24"/>
                <w:szCs w:val="24"/>
              </w:rPr>
              <w:t>出具由“中国裁判文书网”网站查询近三年来法人、法定代表人、法定代表人委托人无行贿犯罪记录网页截图加盖企业公章证明</w:t>
            </w:r>
            <w:r>
              <w:rPr>
                <w:rFonts w:asciiTheme="majorEastAsia" w:hAnsiTheme="majorEastAsia" w:eastAsiaTheme="majorEastAsia"/>
                <w:sz w:val="24"/>
                <w:szCs w:val="24"/>
              </w:rPr>
              <w:t>)</w:t>
            </w:r>
            <w:r>
              <w:rPr>
                <w:rFonts w:hint="eastAsia" w:asciiTheme="majorEastAsia" w:hAnsiTheme="majorEastAsia" w:eastAsiaTheme="majorEastAsia"/>
                <w:sz w:val="24"/>
                <w:szCs w:val="24"/>
              </w:rPr>
              <w:t>；若有行贿犯罪记录则取消其投标资格；</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5、供应商必须提供投标承诺函；</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6、本次招标不接受联合体投标。</w:t>
            </w:r>
          </w:p>
        </w:tc>
      </w:tr>
      <w:tr>
        <w:tblPrEx>
          <w:tblLayout w:type="fixed"/>
          <w:tblCellMar>
            <w:top w:w="0" w:type="dxa"/>
            <w:left w:w="108" w:type="dxa"/>
            <w:bottom w:w="0" w:type="dxa"/>
            <w:right w:w="108" w:type="dxa"/>
          </w:tblCellMar>
        </w:tblPrEx>
        <w:trPr>
          <w:trHeight w:val="281"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1.4.2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是否接受联合体投标</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不接受</w:t>
            </w:r>
          </w:p>
        </w:tc>
      </w:tr>
      <w:tr>
        <w:tblPrEx>
          <w:tblLayout w:type="fixed"/>
          <w:tblCellMar>
            <w:top w:w="0" w:type="dxa"/>
            <w:left w:w="108" w:type="dxa"/>
            <w:bottom w:w="0" w:type="dxa"/>
            <w:right w:w="108" w:type="dxa"/>
          </w:tblCellMar>
        </w:tblPrEx>
        <w:trPr>
          <w:trHeight w:val="407"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1.7.2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采购人书面澄清的时间</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递交投标文件截止时间</w:t>
            </w:r>
            <w:r>
              <w:rPr>
                <w:rFonts w:asciiTheme="majorEastAsia" w:hAnsiTheme="majorEastAsia" w:eastAsiaTheme="majorEastAsia"/>
                <w:sz w:val="24"/>
                <w:szCs w:val="24"/>
              </w:rPr>
              <w:t>15</w:t>
            </w:r>
            <w:r>
              <w:rPr>
                <w:rFonts w:hint="eastAsia" w:asciiTheme="majorEastAsia" w:hAnsiTheme="majorEastAsia" w:eastAsiaTheme="majorEastAsia"/>
                <w:sz w:val="24"/>
                <w:szCs w:val="24"/>
              </w:rPr>
              <w:t>天前</w:t>
            </w:r>
          </w:p>
        </w:tc>
      </w:tr>
      <w:tr>
        <w:tblPrEx>
          <w:tblLayout w:type="fixed"/>
          <w:tblCellMar>
            <w:top w:w="0" w:type="dxa"/>
            <w:left w:w="108" w:type="dxa"/>
            <w:bottom w:w="0" w:type="dxa"/>
            <w:right w:w="108" w:type="dxa"/>
          </w:tblCellMar>
        </w:tblPrEx>
        <w:trPr>
          <w:trHeight w:val="60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3.2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投标截止时间及要求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北京时间：2021年</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25</w:t>
            </w:r>
            <w:r>
              <w:rPr>
                <w:rFonts w:hint="eastAsia" w:asciiTheme="majorEastAsia" w:hAnsiTheme="majorEastAsia" w:eastAsiaTheme="majorEastAsia"/>
                <w:sz w:val="24"/>
                <w:szCs w:val="24"/>
              </w:rPr>
              <w:t>日9时00分</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加密的电子投标文件壹份（*.jztf 格式，在会员系统指定位置上传）</w:t>
            </w:r>
          </w:p>
        </w:tc>
      </w:tr>
      <w:tr>
        <w:tblPrEx>
          <w:tblLayout w:type="fixed"/>
          <w:tblCellMar>
            <w:top w:w="0" w:type="dxa"/>
            <w:left w:w="108" w:type="dxa"/>
            <w:bottom w:w="0" w:type="dxa"/>
            <w:right w:w="108" w:type="dxa"/>
          </w:tblCellMar>
        </w:tblPrEx>
        <w:trPr>
          <w:trHeight w:val="313"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3.4.1</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投标有效期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投标文件递交截止日起</w:t>
            </w:r>
            <w:r>
              <w:rPr>
                <w:rFonts w:asciiTheme="majorEastAsia" w:hAnsiTheme="majorEastAsia" w:eastAsiaTheme="majorEastAsia"/>
                <w:sz w:val="24"/>
                <w:szCs w:val="24"/>
              </w:rPr>
              <w:t>60</w:t>
            </w:r>
            <w:r>
              <w:rPr>
                <w:rFonts w:hint="eastAsia" w:asciiTheme="majorEastAsia" w:hAnsiTheme="majorEastAsia" w:eastAsiaTheme="majorEastAsia"/>
                <w:sz w:val="24"/>
                <w:szCs w:val="24"/>
              </w:rPr>
              <w:t>日历天</w:t>
            </w:r>
          </w:p>
        </w:tc>
      </w:tr>
      <w:tr>
        <w:tblPrEx>
          <w:tblLayout w:type="fixed"/>
          <w:tblCellMar>
            <w:top w:w="0" w:type="dxa"/>
            <w:left w:w="108" w:type="dxa"/>
            <w:bottom w:w="0" w:type="dxa"/>
            <w:right w:w="108" w:type="dxa"/>
          </w:tblCellMar>
        </w:tblPrEx>
        <w:trPr>
          <w:trHeight w:val="29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3.5.1</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投标保证金</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无</w:t>
            </w:r>
          </w:p>
        </w:tc>
      </w:tr>
      <w:tr>
        <w:tblPrEx>
          <w:tblLayout w:type="fixed"/>
          <w:tblCellMar>
            <w:top w:w="0" w:type="dxa"/>
            <w:left w:w="108" w:type="dxa"/>
            <w:bottom w:w="0" w:type="dxa"/>
            <w:right w:w="108" w:type="dxa"/>
          </w:tblCellMar>
        </w:tblPrEx>
        <w:trPr>
          <w:trHeight w:val="325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3.7.4</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投标文件份数</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加密的电子投标文件壹份（.jztf 格式在会员系统指定位置上传）；自备非加密的电子投标文件一份，如有紧急情况，在不见面开标按要求上传。注：本项目投标时不需要提供纸质投标文件。中标单位在确定中标后，领取中标通知书时需提供柒份使用CA系统打印出来的完整的投标文件交招标人或招标代理（其中，正本壹份，副本陆份）及不加密格式电子文件一份。</w:t>
            </w:r>
          </w:p>
        </w:tc>
      </w:tr>
      <w:tr>
        <w:tblPrEx>
          <w:tblLayout w:type="fixed"/>
          <w:tblCellMar>
            <w:top w:w="0" w:type="dxa"/>
            <w:left w:w="108" w:type="dxa"/>
            <w:bottom w:w="0" w:type="dxa"/>
            <w:right w:w="108" w:type="dxa"/>
          </w:tblCellMar>
        </w:tblPrEx>
        <w:trPr>
          <w:trHeight w:val="371"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3.1.0</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踏勘现场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不组织</w:t>
            </w:r>
          </w:p>
        </w:tc>
      </w:tr>
      <w:tr>
        <w:tblPrEx>
          <w:tblLayout w:type="fixed"/>
          <w:tblCellMar>
            <w:top w:w="0" w:type="dxa"/>
            <w:left w:w="108" w:type="dxa"/>
            <w:bottom w:w="0" w:type="dxa"/>
            <w:right w:w="108" w:type="dxa"/>
          </w:tblCellMar>
        </w:tblPrEx>
        <w:trPr>
          <w:trHeight w:val="95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4.1.1</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签字或盖章要求</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（1）所有要求投标人加盖公章的地方都须加盖投标人单位的CA印章。</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（2）所有要求法定代表人签字的地方都须加盖法定代表人CA印章。</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（3）所有要求其委托代理人签字的地方可以用授权委托人手写签字的扫描件。</w:t>
            </w:r>
          </w:p>
        </w:tc>
      </w:tr>
      <w:tr>
        <w:tblPrEx>
          <w:tblLayout w:type="fixed"/>
          <w:tblCellMar>
            <w:top w:w="0" w:type="dxa"/>
            <w:left w:w="108" w:type="dxa"/>
            <w:bottom w:w="0" w:type="dxa"/>
            <w:right w:w="108" w:type="dxa"/>
          </w:tblCellMar>
        </w:tblPrEx>
        <w:trPr>
          <w:trHeight w:val="452"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4.1.3</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投标文件</w:t>
            </w:r>
            <w:r>
              <w:rPr>
                <w:rFonts w:hint="eastAsia" w:asciiTheme="majorEastAsia" w:hAnsiTheme="majorEastAsia" w:eastAsiaTheme="majorEastAsia"/>
                <w:sz w:val="24"/>
                <w:szCs w:val="24"/>
              </w:rPr>
              <w:t>的</w:t>
            </w:r>
            <w:r>
              <w:rPr>
                <w:rFonts w:asciiTheme="majorEastAsia" w:hAnsiTheme="majorEastAsia" w:eastAsiaTheme="majorEastAsia"/>
                <w:sz w:val="24"/>
                <w:szCs w:val="24"/>
              </w:rPr>
              <w:t>递交</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（1）各投标人应在投标截至时间前上传加密的电子投标文件（.jztf 格式）到会员系统的指定位置。上传时必须得到电脑“上传成功”的确认回复。请投标人在上传时认真检查上传投标文件是否完整、正确。</w:t>
            </w:r>
          </w:p>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（2）如系统故障需上传非加密文件时，投标人应按照招标人指示将非加密文件递交给招标人。</w:t>
            </w:r>
          </w:p>
        </w:tc>
      </w:tr>
      <w:tr>
        <w:tblPrEx>
          <w:tblLayout w:type="fixed"/>
          <w:tblCellMar>
            <w:top w:w="0" w:type="dxa"/>
            <w:left w:w="108" w:type="dxa"/>
            <w:bottom w:w="0" w:type="dxa"/>
            <w:right w:w="108" w:type="dxa"/>
          </w:tblCellMar>
        </w:tblPrEx>
        <w:trPr>
          <w:trHeight w:val="398"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asciiTheme="majorEastAsia" w:hAnsiTheme="majorEastAsia" w:eastAsiaTheme="majorEastAsia"/>
                <w:sz w:val="24"/>
                <w:szCs w:val="24"/>
              </w:rPr>
              <w:t>4.2.2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开标时间和地点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开标时间：同投标截止时间。投标人应当在投标截止时间前，登录不见面开标大厅，凭制作投标文件所用的企业CA密匙在线签到、解密文件等，解密时间为投标截止时后30分钟内。现场开标地点：温县公共资源交易中心开标厅（具体详见开标当日公示牌）。</w:t>
            </w:r>
          </w:p>
        </w:tc>
      </w:tr>
      <w:tr>
        <w:tblPrEx>
          <w:tblLayout w:type="fixed"/>
          <w:tblCellMar>
            <w:top w:w="0" w:type="dxa"/>
            <w:left w:w="108" w:type="dxa"/>
            <w:bottom w:w="0" w:type="dxa"/>
            <w:right w:w="108" w:type="dxa"/>
          </w:tblCellMar>
        </w:tblPrEx>
        <w:trPr>
          <w:trHeight w:val="77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r>
              <w:rPr>
                <w:rFonts w:asciiTheme="majorEastAsia" w:hAnsiTheme="majorEastAsia" w:eastAsiaTheme="majorEastAsia"/>
                <w:sz w:val="24"/>
                <w:szCs w:val="24"/>
              </w:rPr>
              <w:t>.1</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评标委员会的组建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评标委员会构成：由采购人代表</w:t>
            </w:r>
            <w:r>
              <w:rPr>
                <w:rFonts w:asciiTheme="majorEastAsia" w:hAnsiTheme="majorEastAsia" w:eastAsiaTheme="majorEastAsia"/>
                <w:sz w:val="24"/>
                <w:szCs w:val="24"/>
              </w:rPr>
              <w:t>1</w:t>
            </w:r>
            <w:r>
              <w:rPr>
                <w:rFonts w:hint="eastAsia" w:asciiTheme="majorEastAsia" w:hAnsiTheme="majorEastAsia" w:eastAsiaTheme="majorEastAsia"/>
                <w:sz w:val="24"/>
                <w:szCs w:val="24"/>
              </w:rPr>
              <w:t>人、有关技术、经济专家</w:t>
            </w:r>
            <w:r>
              <w:rPr>
                <w:rFonts w:asciiTheme="majorEastAsia" w:hAnsiTheme="majorEastAsia" w:eastAsiaTheme="majorEastAsia"/>
                <w:sz w:val="24"/>
                <w:szCs w:val="24"/>
              </w:rPr>
              <w:t>4</w:t>
            </w:r>
            <w:r>
              <w:rPr>
                <w:rFonts w:hint="eastAsia" w:asciiTheme="majorEastAsia" w:hAnsiTheme="majorEastAsia" w:eastAsiaTheme="majorEastAsia"/>
                <w:sz w:val="24"/>
                <w:szCs w:val="24"/>
              </w:rPr>
              <w:t>人，共</w:t>
            </w:r>
            <w:r>
              <w:rPr>
                <w:rFonts w:asciiTheme="majorEastAsia" w:hAnsiTheme="majorEastAsia" w:eastAsiaTheme="majorEastAsia"/>
                <w:sz w:val="24"/>
                <w:szCs w:val="24"/>
              </w:rPr>
              <w:t>5</w:t>
            </w:r>
            <w:r>
              <w:rPr>
                <w:rFonts w:hint="eastAsia" w:asciiTheme="majorEastAsia" w:hAnsiTheme="majorEastAsia" w:eastAsiaTheme="majorEastAsia"/>
                <w:sz w:val="24"/>
                <w:szCs w:val="24"/>
              </w:rPr>
              <w:t>人组成。</w:t>
            </w:r>
          </w:p>
        </w:tc>
      </w:tr>
      <w:tr>
        <w:tblPrEx>
          <w:tblLayout w:type="fixed"/>
          <w:tblCellMar>
            <w:top w:w="0" w:type="dxa"/>
            <w:left w:w="108" w:type="dxa"/>
            <w:bottom w:w="0" w:type="dxa"/>
            <w:right w:w="108" w:type="dxa"/>
          </w:tblCellMar>
        </w:tblPrEx>
        <w:trPr>
          <w:trHeight w:val="385"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r>
              <w:rPr>
                <w:rFonts w:asciiTheme="majorEastAsia" w:hAnsiTheme="majorEastAsia" w:eastAsiaTheme="majorEastAsia"/>
                <w:sz w:val="24"/>
                <w:szCs w:val="24"/>
              </w:rPr>
              <w:t>.2</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评标办法</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综合评标法</w:t>
            </w:r>
          </w:p>
        </w:tc>
      </w:tr>
      <w:tr>
        <w:tblPrEx>
          <w:tblLayout w:type="fixed"/>
          <w:tblCellMar>
            <w:top w:w="0" w:type="dxa"/>
            <w:left w:w="108" w:type="dxa"/>
            <w:bottom w:w="0" w:type="dxa"/>
            <w:right w:w="108" w:type="dxa"/>
          </w:tblCellMar>
        </w:tblPrEx>
        <w:trPr>
          <w:trHeight w:val="37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履约保证金</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无</w:t>
            </w:r>
          </w:p>
        </w:tc>
      </w:tr>
      <w:tr>
        <w:tblPrEx>
          <w:tblLayout w:type="fixed"/>
          <w:tblCellMar>
            <w:top w:w="0" w:type="dxa"/>
            <w:left w:w="108" w:type="dxa"/>
            <w:bottom w:w="0" w:type="dxa"/>
            <w:right w:w="108" w:type="dxa"/>
          </w:tblCellMar>
        </w:tblPrEx>
        <w:trPr>
          <w:trHeight w:val="370" w:hRule="atLeast"/>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2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需要落实的政策</w:t>
            </w:r>
          </w:p>
        </w:tc>
        <w:tc>
          <w:tcPr>
            <w:tcW w:w="609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本项目执行促进中小型企业发展政策（监狱企业、残疾人福利性企业视同小微企业）、强制采购节能产品、优先采购节能环保产品等政府采购政策。</w:t>
            </w:r>
          </w:p>
        </w:tc>
      </w:tr>
      <w:tr>
        <w:tblPrEx>
          <w:tblLayout w:type="fixed"/>
          <w:tblCellMar>
            <w:top w:w="0" w:type="dxa"/>
            <w:left w:w="108" w:type="dxa"/>
            <w:bottom w:w="0" w:type="dxa"/>
            <w:right w:w="108" w:type="dxa"/>
          </w:tblCellMar>
        </w:tblPrEx>
        <w:trPr>
          <w:trHeight w:val="370" w:hRule="atLeast"/>
        </w:trPr>
        <w:tc>
          <w:tcPr>
            <w:tcW w:w="999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ajorEastAsia" w:hAnsiTheme="majorEastAsia" w:eastAsiaTheme="majorEastAsia"/>
                <w:b/>
                <w:sz w:val="24"/>
                <w:szCs w:val="24"/>
              </w:rPr>
            </w:pPr>
            <w:r>
              <w:rPr>
                <w:rFonts w:hint="eastAsia" w:asciiTheme="majorEastAsia" w:hAnsiTheme="majorEastAsia" w:eastAsiaTheme="majorEastAsia"/>
                <w:b/>
                <w:sz w:val="24"/>
                <w:szCs w:val="24"/>
              </w:rPr>
              <w:t>需要补充的其他内容</w:t>
            </w:r>
          </w:p>
        </w:tc>
      </w:tr>
      <w:tr>
        <w:tblPrEx>
          <w:tblLayout w:type="fixed"/>
          <w:tblCellMar>
            <w:top w:w="0" w:type="dxa"/>
            <w:left w:w="108" w:type="dxa"/>
            <w:bottom w:w="0" w:type="dxa"/>
            <w:right w:w="108" w:type="dxa"/>
          </w:tblCellMar>
        </w:tblPrEx>
        <w:trPr>
          <w:trHeight w:val="370" w:hRule="atLeast"/>
        </w:trPr>
        <w:tc>
          <w:tcPr>
            <w:tcW w:w="999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1.招标代理服务费的收取标准：参照计价格[2002]1980号、发改办价格[2003]857号、发改价格[2011]534号文件收取，由中标人支付招标代理服务费。</w:t>
            </w:r>
          </w:p>
        </w:tc>
      </w:tr>
      <w:tr>
        <w:tblPrEx>
          <w:tblLayout w:type="fixed"/>
          <w:tblCellMar>
            <w:top w:w="0" w:type="dxa"/>
            <w:left w:w="108" w:type="dxa"/>
            <w:bottom w:w="0" w:type="dxa"/>
            <w:right w:w="108" w:type="dxa"/>
          </w:tblCellMar>
        </w:tblPrEx>
        <w:trPr>
          <w:trHeight w:val="387" w:hRule="atLeast"/>
        </w:trPr>
        <w:tc>
          <w:tcPr>
            <w:tcW w:w="999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pPr>
            <w:r>
              <w:rPr>
                <w:rFonts w:hint="eastAsia"/>
              </w:rPr>
              <w:t>2.供应商与采购人签订采购合同的当天由采购人将合同进行网上公示，并将合同副本原件报采购代理机构备案。</w:t>
            </w:r>
          </w:p>
          <w:p>
            <w:pPr>
              <w:spacing w:line="440" w:lineRule="exact"/>
              <w:ind w:firstLine="420" w:firstLineChars="200"/>
              <w:rPr>
                <w:rFonts w:hint="eastAsia"/>
                <w:szCs w:val="22"/>
              </w:rPr>
            </w:pPr>
            <w:r>
              <w:rPr>
                <w:rFonts w:hint="eastAsia"/>
              </w:rPr>
              <w:t>3.采购人或采购代理机构应当通过“信用中国”网站、“中国裁判文书网”或各级信用信息共享平台查询相关投标人是否被列入失信被执行人、是否有行贿犯罪记录。”投标人如记录为失信被执行人、有行贿犯</w:t>
            </w:r>
            <w:r>
              <w:rPr>
                <w:rFonts w:hint="eastAsia"/>
                <w:szCs w:val="22"/>
              </w:rPr>
              <w:t>罪记录的将被取消其评标资格、中标资格）。信用信息查询记录和证据将同招标文件等资料一同归档保存。</w:t>
            </w:r>
          </w:p>
          <w:p>
            <w:pPr>
              <w:spacing w:line="440" w:lineRule="exact"/>
              <w:ind w:firstLine="420" w:firstLineChars="200"/>
              <w:rPr>
                <w:rFonts w:hint="eastAsia"/>
                <w:szCs w:val="22"/>
                <w:lang w:val="en-US" w:eastAsia="zh-CN"/>
              </w:rPr>
            </w:pPr>
            <w:r>
              <w:rPr>
                <w:rFonts w:hint="eastAsia"/>
                <w:szCs w:val="22"/>
                <w:lang w:val="en-US" w:eastAsia="zh-CN"/>
              </w:rPr>
              <w:t>4.本项目招标活动中禁止关联企业同时投标，一经发现按无效标处理。</w:t>
            </w:r>
          </w:p>
          <w:p>
            <w:pPr>
              <w:spacing w:line="440" w:lineRule="exact"/>
              <w:ind w:firstLine="420" w:firstLineChars="200"/>
              <w:rPr>
                <w:rFonts w:hint="default"/>
                <w:lang w:val="en-US" w:eastAsia="zh-CN"/>
              </w:rPr>
            </w:pPr>
            <w:r>
              <w:rPr>
                <w:rFonts w:hint="eastAsia"/>
                <w:szCs w:val="22"/>
                <w:lang w:val="en-US" w:eastAsia="zh-CN"/>
              </w:rPr>
              <w:t>5.发现串标、围标行为的供应商即纳入失信供应商名单，并对其依法进行追责。</w:t>
            </w:r>
          </w:p>
        </w:tc>
      </w:tr>
      <w:tr>
        <w:tblPrEx>
          <w:tblLayout w:type="fixed"/>
          <w:tblCellMar>
            <w:top w:w="0" w:type="dxa"/>
            <w:left w:w="108" w:type="dxa"/>
            <w:bottom w:w="0" w:type="dxa"/>
            <w:right w:w="108" w:type="dxa"/>
          </w:tblCellMar>
        </w:tblPrEx>
        <w:trPr>
          <w:trHeight w:val="387" w:hRule="atLeast"/>
        </w:trPr>
        <w:tc>
          <w:tcPr>
            <w:tcW w:w="9995"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本招标文件未尽事宜，按《中华人民共和国政府采购法》等法律法规的有关规定执行。</w:t>
            </w:r>
          </w:p>
        </w:tc>
      </w:tr>
    </w:tbl>
    <w:p>
      <w:pPr>
        <w:spacing w:line="440" w:lineRule="exact"/>
        <w:ind w:firstLine="480" w:firstLineChars="200"/>
        <w:rPr>
          <w:rFonts w:asciiTheme="majorEastAsia" w:hAnsiTheme="majorEastAsia" w:eastAsiaTheme="majorEastAsia"/>
          <w:b/>
          <w:sz w:val="24"/>
          <w:szCs w:val="24"/>
        </w:rPr>
      </w:pPr>
      <w:bookmarkStart w:id="18" w:name="_Toc27148117"/>
      <w:bookmarkStart w:id="19" w:name="_Toc6627"/>
      <w:bookmarkStart w:id="20" w:name="_Toc12291"/>
      <w:bookmarkStart w:id="21" w:name="_Toc2171"/>
      <w:bookmarkStart w:id="22" w:name="_Toc421284740"/>
      <w:bookmarkStart w:id="23" w:name="_Toc28006"/>
      <w:bookmarkStart w:id="24" w:name="_Toc175644026"/>
      <w:r>
        <w:rPr>
          <w:rFonts w:asciiTheme="majorEastAsia" w:hAnsiTheme="majorEastAsia" w:eastAsiaTheme="majorEastAsia"/>
          <w:b/>
          <w:sz w:val="24"/>
          <w:szCs w:val="24"/>
        </w:rPr>
        <w:t>1.</w:t>
      </w:r>
      <w:r>
        <w:rPr>
          <w:rFonts w:hint="eastAsia" w:asciiTheme="majorEastAsia" w:hAnsiTheme="majorEastAsia" w:eastAsiaTheme="majorEastAsia"/>
          <w:b/>
          <w:sz w:val="24"/>
          <w:szCs w:val="24"/>
        </w:rPr>
        <w:t>总则</w:t>
      </w:r>
      <w:bookmarkEnd w:id="18"/>
      <w:bookmarkEnd w:id="19"/>
      <w:bookmarkEnd w:id="20"/>
      <w:bookmarkEnd w:id="21"/>
      <w:bookmarkEnd w:id="22"/>
    </w:p>
    <w:p>
      <w:pPr>
        <w:spacing w:line="440" w:lineRule="exact"/>
        <w:ind w:firstLine="480" w:firstLineChars="200"/>
        <w:rPr>
          <w:rFonts w:asciiTheme="majorEastAsia" w:hAnsiTheme="majorEastAsia" w:eastAsiaTheme="majorEastAsia"/>
          <w:sz w:val="24"/>
          <w:szCs w:val="24"/>
        </w:rPr>
      </w:pPr>
      <w:bookmarkStart w:id="25" w:name="_Toc421284741"/>
      <w:r>
        <w:rPr>
          <w:rFonts w:asciiTheme="majorEastAsia" w:hAnsiTheme="majorEastAsia" w:eastAsiaTheme="majorEastAsia"/>
          <w:sz w:val="24"/>
          <w:szCs w:val="24"/>
        </w:rPr>
        <w:t xml:space="preserve">1.1 </w:t>
      </w:r>
      <w:r>
        <w:rPr>
          <w:rFonts w:hint="eastAsia" w:asciiTheme="majorEastAsia" w:hAnsiTheme="majorEastAsia" w:eastAsiaTheme="majorEastAsia"/>
          <w:sz w:val="24"/>
          <w:szCs w:val="24"/>
        </w:rPr>
        <w:t>招标概况</w:t>
      </w:r>
      <w:bookmarkEnd w:id="23"/>
      <w:bookmarkEnd w:id="25"/>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1.1.1</w:t>
      </w:r>
      <w:r>
        <w:rPr>
          <w:rFonts w:hint="eastAsia" w:asciiTheme="majorEastAsia" w:hAnsiTheme="majorEastAsia" w:eastAsiaTheme="majorEastAsia"/>
          <w:sz w:val="24"/>
          <w:szCs w:val="24"/>
        </w:rPr>
        <w:t>根据根据《中华人民共和国政府采购法》、《中华人民共和国政府采购法实施条例》、《政府采购货物和服务招标投标管理办法》等有关法律、法规和规章的规定，本招标项目已具备招标条件，现对本项目进行公开招标。</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1.1.2</w:t>
      </w:r>
      <w:r>
        <w:rPr>
          <w:rFonts w:hint="eastAsia" w:asciiTheme="majorEastAsia" w:hAnsiTheme="majorEastAsia" w:eastAsiaTheme="majorEastAsia"/>
          <w:sz w:val="24"/>
          <w:szCs w:val="24"/>
        </w:rPr>
        <w:t>本招标项目采购人：见投标人须知前附表。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1.1.3</w:t>
      </w:r>
      <w:r>
        <w:rPr>
          <w:rFonts w:hint="eastAsia" w:asciiTheme="majorEastAsia" w:hAnsiTheme="majorEastAsia" w:eastAsiaTheme="majorEastAsia"/>
          <w:sz w:val="24"/>
          <w:szCs w:val="24"/>
        </w:rPr>
        <w:t>本招标项目采购代理机构：见投标人须知前附表。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1.1.4</w:t>
      </w:r>
      <w:r>
        <w:rPr>
          <w:rFonts w:hint="eastAsia" w:asciiTheme="majorEastAsia" w:hAnsiTheme="majorEastAsia" w:eastAsiaTheme="majorEastAsia"/>
          <w:sz w:val="24"/>
          <w:szCs w:val="24"/>
        </w:rPr>
        <w:t>本招标项目名称和项目编号：见投标人须知前附表。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1.2 </w:t>
      </w:r>
      <w:r>
        <w:rPr>
          <w:rFonts w:hint="eastAsia" w:asciiTheme="majorEastAsia" w:hAnsiTheme="majorEastAsia" w:eastAsiaTheme="majorEastAsia"/>
          <w:sz w:val="24"/>
          <w:szCs w:val="24"/>
        </w:rPr>
        <w:t>资金来源</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1.2.1</w:t>
      </w:r>
      <w:r>
        <w:rPr>
          <w:rFonts w:hint="eastAsia" w:asciiTheme="majorEastAsia" w:hAnsiTheme="majorEastAsia" w:eastAsiaTheme="majorEastAsia"/>
          <w:sz w:val="24"/>
          <w:szCs w:val="24"/>
        </w:rPr>
        <w:t>本招标项目预算资金：见投标人须知前附表。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1.2.2</w:t>
      </w:r>
      <w:r>
        <w:rPr>
          <w:rFonts w:hint="eastAsia" w:asciiTheme="majorEastAsia" w:hAnsiTheme="majorEastAsia" w:eastAsiaTheme="majorEastAsia"/>
          <w:sz w:val="24"/>
          <w:szCs w:val="24"/>
        </w:rPr>
        <w:t>本招标项目的资金来源：见投标人须知前附表。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1.3 </w:t>
      </w:r>
      <w:r>
        <w:rPr>
          <w:rFonts w:hint="eastAsia" w:asciiTheme="majorEastAsia" w:hAnsiTheme="majorEastAsia" w:eastAsiaTheme="majorEastAsia"/>
          <w:sz w:val="24"/>
          <w:szCs w:val="24"/>
        </w:rPr>
        <w:t>项目内容、供货期限和质量要求</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1.3.1</w:t>
      </w:r>
      <w:r>
        <w:rPr>
          <w:rFonts w:hint="eastAsia" w:asciiTheme="majorEastAsia" w:hAnsiTheme="majorEastAsia" w:eastAsiaTheme="majorEastAsia"/>
          <w:sz w:val="24"/>
          <w:szCs w:val="24"/>
        </w:rPr>
        <w:t>本招标项目内容见第四章招标项目内容和参数及服务要求。</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1.3.2</w:t>
      </w:r>
      <w:r>
        <w:rPr>
          <w:rFonts w:hint="eastAsia" w:asciiTheme="majorEastAsia" w:hAnsiTheme="majorEastAsia" w:eastAsiaTheme="majorEastAsia"/>
          <w:sz w:val="24"/>
          <w:szCs w:val="24"/>
        </w:rPr>
        <w:t>本招标项目期限：见投标人须知前附表。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1.3.3</w:t>
      </w:r>
      <w:r>
        <w:rPr>
          <w:rFonts w:hint="eastAsia" w:asciiTheme="majorEastAsia" w:hAnsiTheme="majorEastAsia" w:eastAsiaTheme="majorEastAsia"/>
          <w:sz w:val="24"/>
          <w:szCs w:val="24"/>
        </w:rPr>
        <w:t>本招标项目质量要求：见投标人须知前附表。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1.4 </w:t>
      </w:r>
      <w:r>
        <w:rPr>
          <w:rFonts w:hint="eastAsia" w:asciiTheme="majorEastAsia" w:hAnsiTheme="majorEastAsia" w:eastAsiaTheme="majorEastAsia"/>
          <w:sz w:val="24"/>
          <w:szCs w:val="24"/>
        </w:rPr>
        <w:t>合格的投标人</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1.4.1</w:t>
      </w:r>
      <w:r>
        <w:rPr>
          <w:rFonts w:hint="eastAsia" w:asciiTheme="majorEastAsia" w:hAnsiTheme="majorEastAsia" w:eastAsiaTheme="majorEastAsia"/>
          <w:sz w:val="24"/>
          <w:szCs w:val="24"/>
        </w:rPr>
        <w:t>供应商资格要求：见投标人须知前附表。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1.4.2</w:t>
      </w:r>
      <w:r>
        <w:rPr>
          <w:rFonts w:hint="eastAsia" w:asciiTheme="majorEastAsia" w:hAnsiTheme="majorEastAsia" w:eastAsiaTheme="majorEastAsia"/>
          <w:sz w:val="24"/>
          <w:szCs w:val="24"/>
        </w:rPr>
        <w:t>联合体投标</w:t>
      </w:r>
      <w:r>
        <w:rPr>
          <w:rFonts w:asciiTheme="majorEastAsia" w:hAnsiTheme="majorEastAsia" w:eastAsiaTheme="majorEastAsia"/>
          <w:sz w:val="24"/>
          <w:szCs w:val="24"/>
        </w:rPr>
        <w:t>(</w:t>
      </w:r>
      <w:r>
        <w:rPr>
          <w:rFonts w:hint="eastAsia" w:asciiTheme="majorEastAsia" w:hAnsiTheme="majorEastAsia" w:eastAsiaTheme="majorEastAsia"/>
          <w:sz w:val="24"/>
          <w:szCs w:val="24"/>
        </w:rPr>
        <w:t>不接受）。</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1.5 </w:t>
      </w:r>
      <w:r>
        <w:rPr>
          <w:rFonts w:hint="eastAsia" w:asciiTheme="majorEastAsia" w:hAnsiTheme="majorEastAsia" w:eastAsiaTheme="majorEastAsia"/>
          <w:sz w:val="24"/>
          <w:szCs w:val="24"/>
        </w:rPr>
        <w:t>合格的货物和相关服务</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投标人的货物应当说明货物的来源地：如果投标的货物非投标人生产或制造的，是否应当提供制造厂商的授权书按照招标文件前附表的要求执行。</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1.6 </w:t>
      </w:r>
      <w:r>
        <w:rPr>
          <w:rFonts w:hint="eastAsia" w:asciiTheme="majorEastAsia" w:hAnsiTheme="majorEastAsia" w:eastAsiaTheme="majorEastAsia"/>
          <w:sz w:val="24"/>
          <w:szCs w:val="24"/>
        </w:rPr>
        <w:t>保密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参与招投标活动的各方应对招标文件和投标文件中的商业和技术等秘密保密，违者应对由此造成的后果承担法律责任。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1.7 </w:t>
      </w:r>
      <w:r>
        <w:rPr>
          <w:rFonts w:hint="eastAsia" w:asciiTheme="majorEastAsia" w:hAnsiTheme="majorEastAsia" w:eastAsiaTheme="majorEastAsia"/>
          <w:sz w:val="24"/>
          <w:szCs w:val="24"/>
        </w:rPr>
        <w:t>招标澄清、答疑会</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1.7.1 </w:t>
      </w:r>
      <w:r>
        <w:rPr>
          <w:rFonts w:hint="eastAsia" w:asciiTheme="majorEastAsia" w:hAnsiTheme="majorEastAsia" w:eastAsiaTheme="majorEastAsia"/>
          <w:sz w:val="24"/>
          <w:szCs w:val="24"/>
        </w:rPr>
        <w:t>招标澄清、答疑会：不组织。</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1.7.2 </w:t>
      </w:r>
      <w:r>
        <w:rPr>
          <w:rFonts w:hint="eastAsia" w:asciiTheme="majorEastAsia" w:hAnsiTheme="majorEastAsia" w:eastAsiaTheme="majorEastAsia"/>
          <w:sz w:val="24"/>
          <w:szCs w:val="24"/>
        </w:rPr>
        <w:t>采购人书面澄清的时间：见投标人须知前附表。</w:t>
      </w:r>
    </w:p>
    <w:p>
      <w:pPr>
        <w:spacing w:line="440" w:lineRule="exact"/>
        <w:ind w:firstLine="480" w:firstLineChars="200"/>
        <w:rPr>
          <w:rFonts w:asciiTheme="majorEastAsia" w:hAnsiTheme="majorEastAsia" w:eastAsiaTheme="majorEastAsia"/>
          <w:b/>
          <w:sz w:val="24"/>
          <w:szCs w:val="24"/>
        </w:rPr>
      </w:pPr>
      <w:bookmarkStart w:id="26" w:name="_Toc5706"/>
      <w:bookmarkStart w:id="27" w:name="_Toc27148118"/>
      <w:bookmarkStart w:id="28" w:name="_Toc6324"/>
      <w:bookmarkStart w:id="29" w:name="_Toc421284742"/>
      <w:bookmarkStart w:id="30" w:name="_Toc15578"/>
      <w:bookmarkStart w:id="31" w:name="_Toc5872"/>
      <w:r>
        <w:rPr>
          <w:rFonts w:asciiTheme="majorEastAsia" w:hAnsiTheme="majorEastAsia" w:eastAsiaTheme="majorEastAsia"/>
          <w:b/>
          <w:sz w:val="24"/>
          <w:szCs w:val="24"/>
        </w:rPr>
        <w:t>2.</w:t>
      </w:r>
      <w:r>
        <w:rPr>
          <w:rFonts w:hint="eastAsia" w:asciiTheme="majorEastAsia" w:hAnsiTheme="majorEastAsia" w:eastAsiaTheme="majorEastAsia"/>
          <w:b/>
          <w:sz w:val="24"/>
          <w:szCs w:val="24"/>
        </w:rPr>
        <w:t>招标文件</w:t>
      </w:r>
      <w:bookmarkEnd w:id="26"/>
      <w:bookmarkEnd w:id="27"/>
      <w:bookmarkEnd w:id="28"/>
      <w:bookmarkEnd w:id="29"/>
      <w:bookmarkEnd w:id="30"/>
      <w:bookmarkEnd w:id="31"/>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2.1 </w:t>
      </w:r>
      <w:r>
        <w:rPr>
          <w:rFonts w:hint="eastAsia" w:asciiTheme="majorEastAsia" w:hAnsiTheme="majorEastAsia" w:eastAsiaTheme="majorEastAsia"/>
          <w:sz w:val="24"/>
          <w:szCs w:val="24"/>
        </w:rPr>
        <w:t>招标文件的组成</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本招标文件包括：</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）招标公告；</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投标人须知及投标人须知前附表；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评标标准和评标方法；</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招标项目技术参数及服务要求；</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合同签订及条款；</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投标文件格式。</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根据本章</w:t>
      </w:r>
      <w:r>
        <w:rPr>
          <w:rFonts w:asciiTheme="majorEastAsia" w:hAnsiTheme="majorEastAsia" w:eastAsiaTheme="majorEastAsia"/>
          <w:sz w:val="24"/>
          <w:szCs w:val="24"/>
        </w:rPr>
        <w:t>1.7</w:t>
      </w:r>
      <w:r>
        <w:rPr>
          <w:rFonts w:hint="eastAsia" w:asciiTheme="majorEastAsia" w:hAnsiTheme="majorEastAsia" w:eastAsiaTheme="majorEastAsia"/>
          <w:sz w:val="24"/>
          <w:szCs w:val="24"/>
        </w:rPr>
        <w:t>款、第</w:t>
      </w:r>
      <w:r>
        <w:rPr>
          <w:rFonts w:asciiTheme="majorEastAsia" w:hAnsiTheme="majorEastAsia" w:eastAsiaTheme="majorEastAsia"/>
          <w:sz w:val="24"/>
          <w:szCs w:val="24"/>
        </w:rPr>
        <w:t>2.2</w:t>
      </w:r>
      <w:r>
        <w:rPr>
          <w:rFonts w:hint="eastAsia" w:asciiTheme="majorEastAsia" w:hAnsiTheme="majorEastAsia" w:eastAsiaTheme="majorEastAsia"/>
          <w:sz w:val="24"/>
          <w:szCs w:val="24"/>
        </w:rPr>
        <w:t>款和第</w:t>
      </w:r>
      <w:r>
        <w:rPr>
          <w:rFonts w:asciiTheme="majorEastAsia" w:hAnsiTheme="majorEastAsia" w:eastAsiaTheme="majorEastAsia"/>
          <w:sz w:val="24"/>
          <w:szCs w:val="24"/>
        </w:rPr>
        <w:t>2.3</w:t>
      </w:r>
      <w:r>
        <w:rPr>
          <w:rFonts w:hint="eastAsia" w:asciiTheme="majorEastAsia" w:hAnsiTheme="majorEastAsia" w:eastAsiaTheme="majorEastAsia"/>
          <w:sz w:val="24"/>
          <w:szCs w:val="24"/>
        </w:rPr>
        <w:t>款对招标文件所作的澄清、修改，构成招标文件的组成部分。</w:t>
      </w:r>
    </w:p>
    <w:p>
      <w:pPr>
        <w:spacing w:line="440" w:lineRule="exact"/>
        <w:ind w:firstLine="360" w:firstLineChars="150"/>
        <w:rPr>
          <w:rFonts w:asciiTheme="majorEastAsia" w:hAnsiTheme="majorEastAsia" w:eastAsiaTheme="majorEastAsia"/>
          <w:sz w:val="24"/>
          <w:szCs w:val="24"/>
        </w:rPr>
      </w:pPr>
      <w:r>
        <w:rPr>
          <w:rFonts w:asciiTheme="majorEastAsia" w:hAnsiTheme="majorEastAsia" w:eastAsiaTheme="majorEastAsia"/>
          <w:sz w:val="24"/>
          <w:szCs w:val="24"/>
        </w:rPr>
        <w:t xml:space="preserve"> 2.2 </w:t>
      </w:r>
      <w:r>
        <w:rPr>
          <w:rFonts w:hint="eastAsia" w:asciiTheme="majorEastAsia" w:hAnsiTheme="majorEastAsia" w:eastAsiaTheme="majorEastAsia"/>
          <w:sz w:val="24"/>
          <w:szCs w:val="24"/>
        </w:rPr>
        <w:t>招标文件的澄清</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2.2.1 </w:t>
      </w:r>
      <w:r>
        <w:rPr>
          <w:rFonts w:hint="eastAsia" w:asciiTheme="majorEastAsia" w:hAnsiTheme="majorEastAsia" w:eastAsiaTheme="majorEastAsia"/>
          <w:sz w:val="24"/>
          <w:szCs w:val="24"/>
        </w:rPr>
        <w:t>供应商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2.2.2 </w:t>
      </w:r>
      <w:r>
        <w:rPr>
          <w:rFonts w:hint="eastAsia" w:asciiTheme="majorEastAsia" w:hAnsiTheme="majorEastAsia" w:eastAsiaTheme="majorEastAsia"/>
          <w:sz w:val="24"/>
          <w:szCs w:val="24"/>
        </w:rPr>
        <w:t>招标文件的澄清将以书面形式发给所有购买招标文件的供应商，但不指明澄清问题的来源。如果澄清发出的时间距投标人须知前附表规定的投标截止时间不足</w:t>
      </w:r>
      <w:r>
        <w:rPr>
          <w:rFonts w:asciiTheme="majorEastAsia" w:hAnsiTheme="majorEastAsia" w:eastAsiaTheme="majorEastAsia"/>
          <w:sz w:val="24"/>
          <w:szCs w:val="24"/>
        </w:rPr>
        <w:t>15</w:t>
      </w:r>
      <w:r>
        <w:rPr>
          <w:rFonts w:hint="eastAsia" w:asciiTheme="majorEastAsia" w:hAnsiTheme="majorEastAsia" w:eastAsiaTheme="majorEastAsia"/>
          <w:sz w:val="24"/>
          <w:szCs w:val="24"/>
        </w:rPr>
        <w:t>天，并且澄清内容影响投标文件编制的，将相应延长投标截止时间。</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2.2.3 </w:t>
      </w:r>
      <w:r>
        <w:rPr>
          <w:rFonts w:hint="eastAsia" w:asciiTheme="majorEastAsia" w:hAnsiTheme="majorEastAsia" w:eastAsiaTheme="majorEastAsia"/>
          <w:sz w:val="24"/>
          <w:szCs w:val="24"/>
        </w:rPr>
        <w:t>供应商在收到澄清后，应在投标人须知前附表规定的时间内以书面形式通知采购人，确认已收到该澄清。</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2.3 </w:t>
      </w:r>
      <w:r>
        <w:rPr>
          <w:rFonts w:hint="eastAsia" w:asciiTheme="majorEastAsia" w:hAnsiTheme="majorEastAsia" w:eastAsiaTheme="majorEastAsia"/>
          <w:sz w:val="24"/>
          <w:szCs w:val="24"/>
        </w:rPr>
        <w:t>招标文件的修改</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2.3.1 </w:t>
      </w:r>
      <w:r>
        <w:rPr>
          <w:rFonts w:hint="eastAsia" w:asciiTheme="majorEastAsia" w:hAnsiTheme="majorEastAsia" w:eastAsiaTheme="majorEastAsia"/>
          <w:sz w:val="24"/>
          <w:szCs w:val="24"/>
        </w:rPr>
        <w:t>采购人可以书面形式修改招标文件，并通知所有已购买招标文件的供应商。但如果修改招标文件的时间距投标截止时间不足</w:t>
      </w:r>
      <w:r>
        <w:rPr>
          <w:rFonts w:asciiTheme="majorEastAsia" w:hAnsiTheme="majorEastAsia" w:eastAsiaTheme="majorEastAsia"/>
          <w:sz w:val="24"/>
          <w:szCs w:val="24"/>
        </w:rPr>
        <w:t>15</w:t>
      </w:r>
      <w:r>
        <w:rPr>
          <w:rFonts w:hint="eastAsia" w:asciiTheme="majorEastAsia" w:hAnsiTheme="majorEastAsia" w:eastAsiaTheme="majorEastAsia"/>
          <w:sz w:val="24"/>
          <w:szCs w:val="24"/>
        </w:rPr>
        <w:t>天，并且修改内容影响投标文件编制的，将相应延长投标截止时间。</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2.3.2 </w:t>
      </w:r>
      <w:r>
        <w:rPr>
          <w:rFonts w:hint="eastAsia" w:asciiTheme="majorEastAsia" w:hAnsiTheme="majorEastAsia" w:eastAsiaTheme="majorEastAsia"/>
          <w:sz w:val="24"/>
          <w:szCs w:val="24"/>
        </w:rPr>
        <w:t>供应商收到修改内容后，应在投标人须知前附表规定的时间内以书面形式通知采购人，确认已收到该修改。</w:t>
      </w:r>
    </w:p>
    <w:p>
      <w:pPr>
        <w:spacing w:line="440" w:lineRule="exact"/>
        <w:ind w:firstLine="480" w:firstLineChars="200"/>
        <w:rPr>
          <w:rFonts w:asciiTheme="majorEastAsia" w:hAnsiTheme="majorEastAsia" w:eastAsiaTheme="majorEastAsia"/>
          <w:b/>
          <w:sz w:val="24"/>
          <w:szCs w:val="24"/>
        </w:rPr>
      </w:pPr>
      <w:bookmarkStart w:id="32" w:name="_Toc23887"/>
      <w:bookmarkStart w:id="33" w:name="_Toc24882"/>
      <w:bookmarkStart w:id="34" w:name="_Toc21340"/>
      <w:bookmarkStart w:id="35" w:name="_Toc30689"/>
      <w:bookmarkStart w:id="36" w:name="_Toc27148119"/>
      <w:bookmarkStart w:id="37" w:name="_Toc421284743"/>
      <w:r>
        <w:rPr>
          <w:rFonts w:asciiTheme="majorEastAsia" w:hAnsiTheme="majorEastAsia" w:eastAsiaTheme="majorEastAsia"/>
          <w:b/>
          <w:sz w:val="24"/>
          <w:szCs w:val="24"/>
        </w:rPr>
        <w:t>3.</w:t>
      </w:r>
      <w:r>
        <w:rPr>
          <w:rFonts w:hint="eastAsia" w:asciiTheme="majorEastAsia" w:hAnsiTheme="majorEastAsia" w:eastAsiaTheme="majorEastAsia"/>
          <w:b/>
          <w:sz w:val="24"/>
          <w:szCs w:val="24"/>
        </w:rPr>
        <w:t>投标文件</w:t>
      </w:r>
      <w:bookmarkEnd w:id="32"/>
      <w:bookmarkEnd w:id="33"/>
      <w:bookmarkEnd w:id="34"/>
      <w:bookmarkEnd w:id="35"/>
      <w:bookmarkEnd w:id="36"/>
      <w:bookmarkEnd w:id="37"/>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3.1 </w:t>
      </w:r>
      <w:r>
        <w:rPr>
          <w:rFonts w:hint="eastAsia" w:asciiTheme="majorEastAsia" w:hAnsiTheme="majorEastAsia" w:eastAsiaTheme="majorEastAsia"/>
          <w:sz w:val="24"/>
          <w:szCs w:val="24"/>
        </w:rPr>
        <w:t>投标文件的组成</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3.1.1</w:t>
      </w:r>
      <w:r>
        <w:rPr>
          <w:rFonts w:hint="eastAsia" w:asciiTheme="majorEastAsia" w:hAnsiTheme="majorEastAsia" w:eastAsiaTheme="majorEastAsia"/>
          <w:sz w:val="24"/>
          <w:szCs w:val="24"/>
        </w:rPr>
        <w:t>投标文件包括下列部分：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投标文件组成</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）投标函</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）投标一览表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）货物清单及报价明细表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4</w:t>
      </w:r>
      <w:r>
        <w:rPr>
          <w:rFonts w:hint="eastAsia" w:asciiTheme="majorEastAsia" w:hAnsiTheme="majorEastAsia" w:eastAsiaTheme="majorEastAsia"/>
          <w:sz w:val="24"/>
          <w:szCs w:val="24"/>
        </w:rPr>
        <w:t>）技术规格偏差表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5</w:t>
      </w:r>
      <w:r>
        <w:rPr>
          <w:rFonts w:hint="eastAsia" w:asciiTheme="majorEastAsia" w:hAnsiTheme="majorEastAsia" w:eastAsiaTheme="majorEastAsia"/>
          <w:sz w:val="24"/>
          <w:szCs w:val="24"/>
        </w:rPr>
        <w:t>）法定代表人（负责人）身份证明</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6</w:t>
      </w:r>
      <w:r>
        <w:rPr>
          <w:rFonts w:hint="eastAsia" w:asciiTheme="majorEastAsia" w:hAnsiTheme="majorEastAsia" w:eastAsiaTheme="majorEastAsia"/>
          <w:sz w:val="24"/>
          <w:szCs w:val="24"/>
        </w:rPr>
        <w:t>）法定代表人授权委托书</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7</w:t>
      </w:r>
      <w:r>
        <w:rPr>
          <w:rFonts w:hint="eastAsia" w:asciiTheme="majorEastAsia" w:hAnsiTheme="majorEastAsia" w:eastAsiaTheme="majorEastAsia"/>
          <w:sz w:val="24"/>
          <w:szCs w:val="24"/>
        </w:rPr>
        <w:t>）供应商基本情况表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8</w:t>
      </w:r>
      <w:r>
        <w:rPr>
          <w:rFonts w:hint="eastAsia" w:asciiTheme="majorEastAsia" w:hAnsiTheme="majorEastAsia" w:eastAsiaTheme="majorEastAsia"/>
          <w:sz w:val="24"/>
          <w:szCs w:val="24"/>
        </w:rPr>
        <w:t>）投标承诺函</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9</w:t>
      </w:r>
      <w:r>
        <w:rPr>
          <w:rFonts w:hint="eastAsia" w:asciiTheme="majorEastAsia" w:hAnsiTheme="majorEastAsia" w:eastAsiaTheme="majorEastAsia"/>
          <w:sz w:val="24"/>
          <w:szCs w:val="24"/>
        </w:rPr>
        <w:t>）企业业绩</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10</w:t>
      </w:r>
      <w:r>
        <w:rPr>
          <w:rFonts w:hint="eastAsia" w:asciiTheme="majorEastAsia" w:hAnsiTheme="majorEastAsia" w:eastAsiaTheme="majorEastAsia"/>
          <w:sz w:val="24"/>
          <w:szCs w:val="24"/>
        </w:rPr>
        <w:t>）无行贿犯罪承诺书</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11</w:t>
      </w:r>
      <w:r>
        <w:rPr>
          <w:rFonts w:hint="eastAsia" w:asciiTheme="majorEastAsia" w:hAnsiTheme="majorEastAsia" w:eastAsiaTheme="majorEastAsia"/>
          <w:sz w:val="24"/>
          <w:szCs w:val="24"/>
        </w:rPr>
        <w:t>）反商业贿赂承诺书</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12</w:t>
      </w:r>
      <w:r>
        <w:rPr>
          <w:rFonts w:hint="eastAsia" w:asciiTheme="majorEastAsia" w:hAnsiTheme="majorEastAsia" w:eastAsiaTheme="majorEastAsia"/>
          <w:sz w:val="24"/>
          <w:szCs w:val="24"/>
        </w:rPr>
        <w:t>）供应商资格证明文件</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13</w:t>
      </w:r>
      <w:r>
        <w:rPr>
          <w:rFonts w:hint="eastAsia" w:asciiTheme="majorEastAsia" w:hAnsiTheme="majorEastAsia" w:eastAsiaTheme="majorEastAsia"/>
          <w:sz w:val="24"/>
          <w:szCs w:val="24"/>
        </w:rPr>
        <w:t>）小型、微型（监狱、残疾人福利性单位）</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14</w:t>
      </w:r>
      <w:r>
        <w:rPr>
          <w:rFonts w:hint="eastAsia" w:asciiTheme="majorEastAsia" w:hAnsiTheme="majorEastAsia" w:eastAsiaTheme="majorEastAsia"/>
          <w:sz w:val="24"/>
          <w:szCs w:val="24"/>
        </w:rPr>
        <w:t>）节能产品、环境标志产品明细表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（15）供应商认为应提供的其他材料</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3.1.2</w:t>
      </w:r>
      <w:r>
        <w:rPr>
          <w:rFonts w:hint="eastAsia" w:asciiTheme="majorEastAsia" w:hAnsiTheme="majorEastAsia" w:eastAsiaTheme="majorEastAsia"/>
          <w:sz w:val="24"/>
          <w:szCs w:val="24"/>
        </w:rPr>
        <w:t>招标文件中的每个分包，是项目招标不可拆分的最小投标单元，供应商必须按此分包编制投标文件，提交相应的文件资料，拆包投标将视为漏项或非实质性响应予以认定为投标无效。供应商如同时投标多包，可提交一套资质证明文件。</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3.2 </w:t>
      </w:r>
      <w:r>
        <w:rPr>
          <w:rFonts w:hint="eastAsia" w:asciiTheme="majorEastAsia" w:hAnsiTheme="majorEastAsia" w:eastAsiaTheme="majorEastAsia"/>
          <w:sz w:val="24"/>
          <w:szCs w:val="24"/>
        </w:rPr>
        <w:t>投标截止时间和地点</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投标截止时间和地点：见投标人须知前附表。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3.3 </w:t>
      </w:r>
      <w:r>
        <w:rPr>
          <w:rFonts w:hint="eastAsia" w:asciiTheme="majorEastAsia" w:hAnsiTheme="majorEastAsia" w:eastAsiaTheme="majorEastAsia"/>
          <w:sz w:val="24"/>
          <w:szCs w:val="24"/>
        </w:rPr>
        <w:t>投标报价</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3.3.1 </w:t>
      </w:r>
      <w:r>
        <w:rPr>
          <w:rFonts w:hint="eastAsia" w:asciiTheme="majorEastAsia" w:hAnsiTheme="majorEastAsia" w:eastAsiaTheme="majorEastAsia"/>
          <w:sz w:val="24"/>
          <w:szCs w:val="24"/>
        </w:rPr>
        <w:t>供应商应按照第七章投标文件格式完整地填写投标报价表和开标一览表等。</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3.3.2 </w:t>
      </w:r>
      <w:r>
        <w:rPr>
          <w:rFonts w:hint="eastAsia" w:asciiTheme="majorEastAsia" w:hAnsiTheme="majorEastAsia" w:eastAsiaTheme="majorEastAsia"/>
          <w:sz w:val="24"/>
          <w:szCs w:val="24"/>
        </w:rPr>
        <w:t>除投标人须知前附表中说明并允许外，本项目只允许有一个报价，任何有选择的报价将不予接受。投标报价应包括供应商中标后为完成招标文件规定的全部工作而发生的设计、制造、采购、试验、运保、安装、调试、试运行、质量检测费以及伴随的其它服务费等的全部成本、保险、税金及利润，并考虑了应承担的风险及相关费用。其中设备报价应包含设备运抵工作现场并且在此过程中发生的全部税金、运费、运保费、交付前保管费用及各项相关费用。质保期内所需的备件应包含在投标报价中。</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3.3.3 </w:t>
      </w:r>
      <w:r>
        <w:rPr>
          <w:rFonts w:hint="eastAsia" w:asciiTheme="majorEastAsia" w:hAnsiTheme="majorEastAsia" w:eastAsiaTheme="majorEastAsia"/>
          <w:sz w:val="24"/>
          <w:szCs w:val="24"/>
        </w:rPr>
        <w:t>供应商所报的投标价应是固定不变的，在其承诺的投标有效期内不得以任何理由予以变更。否则供应商以可选择的价格提交的投标文件将作为非响应性投标而予以拒绝。</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3.4 </w:t>
      </w:r>
      <w:r>
        <w:rPr>
          <w:rFonts w:hint="eastAsia" w:asciiTheme="majorEastAsia" w:hAnsiTheme="majorEastAsia" w:eastAsiaTheme="majorEastAsia"/>
          <w:sz w:val="24"/>
          <w:szCs w:val="24"/>
        </w:rPr>
        <w:t>投标有效期</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3.4.1 </w:t>
      </w:r>
      <w:r>
        <w:rPr>
          <w:rFonts w:hint="eastAsia" w:asciiTheme="majorEastAsia" w:hAnsiTheme="majorEastAsia" w:eastAsiaTheme="majorEastAsia"/>
          <w:sz w:val="24"/>
          <w:szCs w:val="24"/>
        </w:rPr>
        <w:t>投标有效期见投标人须知前附表。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3.4.2 </w:t>
      </w:r>
      <w:r>
        <w:rPr>
          <w:rFonts w:hint="eastAsia" w:asciiTheme="majorEastAsia" w:hAnsiTheme="majorEastAsia" w:eastAsiaTheme="majorEastAsia"/>
          <w:sz w:val="24"/>
          <w:szCs w:val="24"/>
        </w:rPr>
        <w:t>在投标有效期内，供应商不得要求撤销或修改其投标文件。</w:t>
      </w:r>
      <w:r>
        <w:rPr>
          <w:rFonts w:asciiTheme="majorEastAsia" w:hAnsiTheme="majorEastAsia" w:eastAsiaTheme="majorEastAsia"/>
          <w:sz w:val="24"/>
          <w:szCs w:val="24"/>
        </w:rPr>
        <w:tab/>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3.4.3 </w:t>
      </w:r>
      <w:r>
        <w:rPr>
          <w:rFonts w:hint="eastAsia" w:asciiTheme="majorEastAsia" w:hAnsiTheme="majorEastAsia" w:eastAsiaTheme="majorEastAsia"/>
          <w:sz w:val="24"/>
          <w:szCs w:val="24"/>
        </w:rPr>
        <w:t>出现特殊情况需要延长投标有效期的，采购人以书面形式通知所有供应商延长投标有效期。供应商同意延长的，应相应延长其投标有效期，但不得要求或允许修改其投标文件；供应商拒绝延长的，其投标失效。</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3.5 </w:t>
      </w:r>
      <w:r>
        <w:rPr>
          <w:rFonts w:hint="eastAsia" w:asciiTheme="majorEastAsia" w:hAnsiTheme="majorEastAsia" w:eastAsiaTheme="majorEastAsia"/>
          <w:sz w:val="24"/>
          <w:szCs w:val="24"/>
        </w:rPr>
        <w:t>投标保证金</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3.5.1投标保证金：无</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3.6 </w:t>
      </w:r>
      <w:r>
        <w:rPr>
          <w:rFonts w:hint="eastAsia" w:asciiTheme="majorEastAsia" w:hAnsiTheme="majorEastAsia" w:eastAsiaTheme="majorEastAsia"/>
          <w:sz w:val="24"/>
          <w:szCs w:val="24"/>
        </w:rPr>
        <w:t>资格审查资料</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3.6.1</w:t>
      </w:r>
      <w:r>
        <w:rPr>
          <w:rFonts w:hint="eastAsia" w:asciiTheme="majorEastAsia" w:hAnsiTheme="majorEastAsia" w:eastAsiaTheme="majorEastAsia"/>
          <w:sz w:val="24"/>
          <w:szCs w:val="24"/>
        </w:rPr>
        <w:t>依据“投标人须知前附表”中的要求提交相应的资格证明文件，作为投标文件的一部分，以证明其有资格进行投标和有能力履行合同。</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3.6.2</w:t>
      </w:r>
      <w:r>
        <w:rPr>
          <w:rFonts w:hint="eastAsia" w:asciiTheme="majorEastAsia" w:hAnsiTheme="majorEastAsia" w:eastAsiaTheme="majorEastAsia"/>
          <w:sz w:val="24"/>
          <w:szCs w:val="24"/>
        </w:rPr>
        <w:t>投标人须知前附表规定接受联合体投标的，则联合体各方应分别提交投标文件、以及联合体协议，联合体协议应标明主办人。</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3.7 </w:t>
      </w:r>
      <w:r>
        <w:rPr>
          <w:rFonts w:hint="eastAsia" w:asciiTheme="majorEastAsia" w:hAnsiTheme="majorEastAsia" w:eastAsiaTheme="majorEastAsia"/>
          <w:sz w:val="24"/>
          <w:szCs w:val="24"/>
        </w:rPr>
        <w:t>投标文件的编制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3.7.1 投标文件应按第六章“投标文件格式”使用焦作市公共资源交易系统投标文件制作专用工具软件编制。其中，投标函附录在满足招标文件实质性要求的基础上，可以提出比招标文件要求更有利于招标人的承诺。 </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3.7.2投标文件应当对招标文件规定的投标有效期、期限、质量要求、招标项目技术参数及服务要求等实质性内容作出响应。 </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3.7.3 电子投标文件上传件、自备非加密的电子投标文件应一致，不一致时以电子投标文件上传件为准。如电子投标文件出现问题，以自备非加密的电子投标文件为准。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3.7.4 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3.8 </w:t>
      </w:r>
      <w:r>
        <w:rPr>
          <w:rFonts w:hint="eastAsia" w:asciiTheme="majorEastAsia" w:hAnsiTheme="majorEastAsia" w:eastAsiaTheme="majorEastAsia"/>
          <w:sz w:val="24"/>
          <w:szCs w:val="24"/>
        </w:rPr>
        <w:t>语言文字</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除专用术语外，与招标投标有关的语言均使用中文。必要时专业术语应附有中文注释。</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3.9 </w:t>
      </w:r>
      <w:r>
        <w:rPr>
          <w:rFonts w:hint="eastAsia" w:asciiTheme="majorEastAsia" w:hAnsiTheme="majorEastAsia" w:eastAsiaTheme="majorEastAsia"/>
          <w:sz w:val="24"/>
          <w:szCs w:val="24"/>
        </w:rPr>
        <w:t>计量单位和货币</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所有计量单位均采用中华人民共和国法定计量单位。货币均采用人民币。</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3.10 </w:t>
      </w:r>
      <w:r>
        <w:rPr>
          <w:rFonts w:hint="eastAsia" w:asciiTheme="majorEastAsia" w:hAnsiTheme="majorEastAsia" w:eastAsiaTheme="majorEastAsia"/>
          <w:sz w:val="24"/>
          <w:szCs w:val="24"/>
        </w:rPr>
        <w:t>踏勘现场</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3.10.1 </w:t>
      </w:r>
      <w:r>
        <w:rPr>
          <w:rFonts w:hint="eastAsia" w:asciiTheme="majorEastAsia" w:hAnsiTheme="majorEastAsia" w:eastAsiaTheme="majorEastAsia"/>
          <w:sz w:val="24"/>
          <w:szCs w:val="24"/>
        </w:rPr>
        <w:t>投标人须知前附表规定组织踏勘现场的，采购人按投标人须知前附表规定的时间、地点组织供应商踏勘项目现场。</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3.10.2 </w:t>
      </w:r>
      <w:r>
        <w:rPr>
          <w:rFonts w:hint="eastAsia" w:asciiTheme="majorEastAsia" w:hAnsiTheme="majorEastAsia" w:eastAsiaTheme="majorEastAsia"/>
          <w:sz w:val="24"/>
          <w:szCs w:val="24"/>
        </w:rPr>
        <w:t>供应商踏勘现场发生的费用自理。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3.10.3 </w:t>
      </w:r>
      <w:r>
        <w:rPr>
          <w:rFonts w:hint="eastAsia" w:asciiTheme="majorEastAsia" w:hAnsiTheme="majorEastAsia" w:eastAsiaTheme="majorEastAsia"/>
          <w:sz w:val="24"/>
          <w:szCs w:val="24"/>
        </w:rPr>
        <w:t>采购人在踏勘现场中介绍的情况，供供应商在编制投标文件时参考，采购人不对供应商据此作出的判断和决策负责。</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3.11 </w:t>
      </w:r>
      <w:r>
        <w:rPr>
          <w:rFonts w:hint="eastAsia" w:asciiTheme="majorEastAsia" w:hAnsiTheme="majorEastAsia" w:eastAsiaTheme="majorEastAsia"/>
          <w:sz w:val="24"/>
          <w:szCs w:val="24"/>
        </w:rPr>
        <w:t>投标澄清会</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不召开</w:t>
      </w:r>
    </w:p>
    <w:p>
      <w:pPr>
        <w:spacing w:line="440" w:lineRule="exact"/>
        <w:ind w:firstLine="480" w:firstLineChars="200"/>
        <w:rPr>
          <w:rFonts w:asciiTheme="majorEastAsia" w:hAnsiTheme="majorEastAsia" w:eastAsiaTheme="majorEastAsia"/>
          <w:b/>
          <w:sz w:val="24"/>
          <w:szCs w:val="24"/>
        </w:rPr>
      </w:pPr>
      <w:bookmarkStart w:id="38" w:name="_Toc27148120"/>
      <w:bookmarkStart w:id="39" w:name="_Toc1664"/>
      <w:bookmarkStart w:id="40" w:name="_Toc13410"/>
      <w:bookmarkStart w:id="41" w:name="_Toc421284744"/>
      <w:bookmarkStart w:id="42" w:name="_Toc12157"/>
      <w:bookmarkStart w:id="43" w:name="_Toc4630"/>
      <w:r>
        <w:rPr>
          <w:rFonts w:hint="eastAsia" w:asciiTheme="majorEastAsia" w:hAnsiTheme="majorEastAsia" w:eastAsiaTheme="majorEastAsia"/>
          <w:b/>
          <w:sz w:val="24"/>
          <w:szCs w:val="24"/>
        </w:rPr>
        <w:t>4.投标</w:t>
      </w:r>
      <w:bookmarkEnd w:id="38"/>
      <w:bookmarkEnd w:id="39"/>
      <w:bookmarkEnd w:id="40"/>
      <w:bookmarkEnd w:id="41"/>
      <w:bookmarkEnd w:id="42"/>
      <w:bookmarkEnd w:id="43"/>
    </w:p>
    <w:p>
      <w:pPr>
        <w:spacing w:line="440" w:lineRule="exact"/>
        <w:ind w:firstLine="480" w:firstLineChars="200"/>
        <w:rPr>
          <w:rFonts w:asciiTheme="majorEastAsia" w:hAnsiTheme="majorEastAsia" w:eastAsiaTheme="majorEastAsia"/>
          <w:sz w:val="24"/>
          <w:szCs w:val="24"/>
        </w:rPr>
      </w:pPr>
      <w:bookmarkStart w:id="44" w:name="_Toc4029"/>
      <w:bookmarkStart w:id="45" w:name="_Toc15149"/>
      <w:bookmarkStart w:id="46" w:name="_Toc3543"/>
      <w:bookmarkStart w:id="47" w:name="_Toc27148121"/>
      <w:bookmarkStart w:id="48" w:name="_Toc488422002"/>
      <w:bookmarkStart w:id="49" w:name="_Toc12322"/>
      <w:bookmarkStart w:id="50" w:name="_Toc488422601"/>
      <w:bookmarkStart w:id="51" w:name="_Toc1604"/>
      <w:bookmarkStart w:id="52" w:name="_Toc488421818"/>
      <w:bookmarkStart w:id="53" w:name="_Toc23269"/>
      <w:r>
        <w:rPr>
          <w:rFonts w:asciiTheme="majorEastAsia" w:hAnsiTheme="majorEastAsia" w:eastAsiaTheme="majorEastAsia"/>
          <w:sz w:val="24"/>
          <w:szCs w:val="24"/>
        </w:rPr>
        <w:t xml:space="preserve">4.1 </w:t>
      </w:r>
      <w:r>
        <w:rPr>
          <w:rFonts w:hint="eastAsia" w:asciiTheme="majorEastAsia" w:hAnsiTheme="majorEastAsia" w:eastAsiaTheme="majorEastAsia"/>
          <w:sz w:val="24"/>
          <w:szCs w:val="24"/>
        </w:rPr>
        <w:t>投标文件的密封和标记</w:t>
      </w:r>
      <w:bookmarkEnd w:id="44"/>
      <w:bookmarkEnd w:id="45"/>
      <w:bookmarkEnd w:id="46"/>
      <w:bookmarkEnd w:id="47"/>
      <w:bookmarkEnd w:id="48"/>
      <w:bookmarkEnd w:id="49"/>
      <w:bookmarkEnd w:id="50"/>
      <w:bookmarkEnd w:id="51"/>
      <w:bookmarkEnd w:id="52"/>
      <w:bookmarkEnd w:id="53"/>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4.1.1 网上上传的电子投标文件应使用数字证书认证并加密。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4.1.2 自备非加密的电子投标文件一份，如有紧急情况，在不见面开标按要求上传。</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4.2 </w:t>
      </w:r>
      <w:r>
        <w:rPr>
          <w:rFonts w:hint="eastAsia" w:asciiTheme="majorEastAsia" w:hAnsiTheme="majorEastAsia" w:eastAsiaTheme="majorEastAsia"/>
          <w:sz w:val="24"/>
          <w:szCs w:val="24"/>
        </w:rPr>
        <w:t>投标文件的递交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4.2.1 投标人应在投标人须知前附表规定的投标截止时间前递交投标文件。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4.2.2 投标人递交投标文件的地点：见投标人须知前附表。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4.2.3 除投标人须知前附表另有规定外，投标人所递交的投标文件不予退还。</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4.2.4 未及时上传及解密，招标人不予受理。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4.3 </w:t>
      </w:r>
      <w:r>
        <w:rPr>
          <w:rFonts w:hint="eastAsia" w:asciiTheme="majorEastAsia" w:hAnsiTheme="majorEastAsia" w:eastAsiaTheme="majorEastAsia"/>
          <w:sz w:val="24"/>
          <w:szCs w:val="24"/>
        </w:rPr>
        <w:t>投标文件的修改与撤回</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4.3.1 在本章第4.2.1项规定的投标截止时间前，投标人可以多次修改或撤回已递交的投标文件，最终投标文件以投标截止时间前完成上传至焦作市公共资源交易中心交易系统最后一份投标文件为准。</w:t>
      </w:r>
    </w:p>
    <w:p>
      <w:pPr>
        <w:spacing w:line="440" w:lineRule="exact"/>
        <w:ind w:firstLine="480" w:firstLineChars="200"/>
        <w:rPr>
          <w:rFonts w:asciiTheme="majorEastAsia" w:hAnsiTheme="majorEastAsia" w:eastAsiaTheme="majorEastAsia"/>
          <w:b/>
          <w:sz w:val="24"/>
          <w:szCs w:val="24"/>
        </w:rPr>
      </w:pPr>
      <w:bookmarkStart w:id="54" w:name="_Toc16455"/>
      <w:bookmarkStart w:id="55" w:name="_Toc421284745"/>
      <w:bookmarkStart w:id="56" w:name="_Toc10944"/>
      <w:bookmarkStart w:id="57" w:name="_Toc30387"/>
      <w:bookmarkStart w:id="58" w:name="_Toc7608"/>
      <w:bookmarkStart w:id="59" w:name="_Toc27148122"/>
      <w:r>
        <w:rPr>
          <w:rFonts w:hint="eastAsia" w:asciiTheme="majorEastAsia" w:hAnsiTheme="majorEastAsia" w:eastAsiaTheme="majorEastAsia"/>
          <w:b/>
          <w:sz w:val="24"/>
          <w:szCs w:val="24"/>
        </w:rPr>
        <w:t>5.开标</w:t>
      </w:r>
      <w:bookmarkEnd w:id="54"/>
      <w:bookmarkEnd w:id="55"/>
      <w:bookmarkEnd w:id="56"/>
      <w:bookmarkEnd w:id="57"/>
      <w:bookmarkEnd w:id="58"/>
      <w:bookmarkEnd w:id="59"/>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5.1 </w:t>
      </w:r>
      <w:r>
        <w:rPr>
          <w:rFonts w:hint="eastAsia" w:asciiTheme="majorEastAsia" w:hAnsiTheme="majorEastAsia" w:eastAsiaTheme="majorEastAsia"/>
          <w:sz w:val="24"/>
          <w:szCs w:val="24"/>
        </w:rPr>
        <w:t>开标时间、地点和方式</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招标人在本章第 4.2.1 项规定的投标截止时间（开标时间）和投标人须知前附表规定的地点公开开标。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电子投标文件上传件、自备非加密的电子投标文件应一致，不一致时以电子投标文件上传件为准。如电子投标文件出现问题，以自备非加密的电子投标文件为准。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5.</w:t>
      </w:r>
      <w:r>
        <w:rPr>
          <w:rFonts w:hint="eastAsia" w:asciiTheme="majorEastAsia" w:hAnsiTheme="majorEastAsia" w:eastAsiaTheme="majorEastAsia"/>
          <w:sz w:val="24"/>
          <w:szCs w:val="24"/>
        </w:rPr>
        <w:t>2</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开标程序</w:t>
      </w:r>
    </w:p>
    <w:p>
      <w:pPr>
        <w:spacing w:line="440" w:lineRule="exact"/>
        <w:ind w:firstLine="480" w:firstLineChars="200"/>
        <w:rPr>
          <w:rFonts w:asciiTheme="majorEastAsia" w:hAnsiTheme="majorEastAsia" w:eastAsiaTheme="majorEastAsia"/>
          <w:sz w:val="24"/>
          <w:szCs w:val="24"/>
        </w:rPr>
      </w:pPr>
      <w:bookmarkStart w:id="60" w:name="_Toc23537"/>
      <w:bookmarkStart w:id="61" w:name="_Toc27148123"/>
      <w:bookmarkStart w:id="62" w:name="_Toc421284746"/>
      <w:bookmarkStart w:id="63" w:name="_Toc32054"/>
      <w:bookmarkStart w:id="64" w:name="_Toc13325"/>
      <w:bookmarkStart w:id="65" w:name="_Toc26003"/>
      <w:r>
        <w:rPr>
          <w:rFonts w:hint="eastAsia" w:asciiTheme="majorEastAsia" w:hAnsiTheme="majorEastAsia" w:eastAsiaTheme="majorEastAsia"/>
          <w:sz w:val="24"/>
          <w:szCs w:val="24"/>
        </w:rPr>
        <w:t>5.2.1 本工程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主持人按下列程序进行开标：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 宣布投标截止时间已到，不再接收投标文件；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 宣布开标纪律；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 宣布开标人、唱标人、记录人、监标人等有关人员姓名；</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（4） 电子投标文件解密；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（5） 宣布投标文件开标顺序，电子唱标并记录在案；</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（6） 投标人代表、招标人代表、监标人等有关人员在开标记录上签字确认；</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（7） 开标结束。</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5.2.2 若系统出现异常情况导致无法正常采用电子开标时，在现场监督人员的监督下采用自备非加密的电子投标文件模式开标。若故障解除后专家已完成评审，发现投标人上传的电子投标文件与自备非加密的电子投标文件不一致，或没有缴纳投标保证金或未上传电子投标文件，则取消其投标资格。</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开标程序同5.2.1</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5.3  开标时出现下列情况的，招标人将拒绝其投标文件。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（1）经检查数字证书无效的投标文件；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（2）投标人未按投标人须知表 5.1 项规定的时间内解密投标文件的。</w:t>
      </w:r>
    </w:p>
    <w:p>
      <w:pPr>
        <w:spacing w:line="440" w:lineRule="exact"/>
        <w:ind w:firstLine="480" w:firstLineChars="200"/>
        <w:rPr>
          <w:rFonts w:asciiTheme="majorEastAsia" w:hAnsiTheme="majorEastAsia" w:eastAsiaTheme="majorEastAsia"/>
          <w:sz w:val="24"/>
          <w:szCs w:val="24"/>
        </w:rPr>
      </w:pPr>
      <w:bookmarkStart w:id="66" w:name="_Toc14960"/>
      <w:bookmarkStart w:id="67" w:name="_Toc4470"/>
      <w:r>
        <w:rPr>
          <w:rFonts w:hint="eastAsia" w:asciiTheme="majorEastAsia" w:hAnsiTheme="majorEastAsia" w:eastAsiaTheme="majorEastAsia"/>
          <w:sz w:val="24"/>
          <w:szCs w:val="24"/>
        </w:rPr>
        <w:t>5.3 开标异议</w:t>
      </w:r>
      <w:bookmarkEnd w:id="66"/>
      <w:bookmarkEnd w:id="67"/>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投标人对开标有异议的，应当在开标时提出，招标人当场作出答复，并制作记录。</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6.资格审查工作</w:t>
      </w:r>
      <w:bookmarkEnd w:id="60"/>
      <w:bookmarkEnd w:id="61"/>
    </w:p>
    <w:p>
      <w:pPr>
        <w:spacing w:line="440" w:lineRule="exact"/>
        <w:ind w:firstLine="480" w:firstLineChars="200"/>
        <w:rPr>
          <w:rFonts w:asciiTheme="majorEastAsia" w:hAnsiTheme="majorEastAsia" w:eastAsiaTheme="majorEastAsia"/>
          <w:sz w:val="24"/>
          <w:szCs w:val="24"/>
        </w:rPr>
      </w:pPr>
      <w:bookmarkStart w:id="68" w:name="_Toc28722"/>
      <w:bookmarkStart w:id="69" w:name="_Toc27148124"/>
      <w:bookmarkStart w:id="70" w:name="_Toc18803"/>
      <w:bookmarkStart w:id="71" w:name="_Toc18806"/>
      <w:bookmarkStart w:id="72" w:name="_Toc18888"/>
      <w:r>
        <w:rPr>
          <w:rFonts w:hint="eastAsia" w:asciiTheme="majorEastAsia" w:hAnsiTheme="majorEastAsia" w:eastAsiaTheme="majorEastAsia"/>
          <w:sz w:val="24"/>
          <w:szCs w:val="24"/>
        </w:rPr>
        <w:t>采购代理机构将根据招标内容和特点按规定组建资格审查小组，其成员由采购人代表或代理机构专职人员</w:t>
      </w:r>
      <w:r>
        <w:rPr>
          <w:rFonts w:asciiTheme="majorEastAsia" w:hAnsiTheme="majorEastAsia" w:eastAsiaTheme="majorEastAsia"/>
          <w:sz w:val="24"/>
          <w:szCs w:val="24"/>
        </w:rPr>
        <w:t>1</w:t>
      </w:r>
      <w:r>
        <w:rPr>
          <w:rFonts w:hint="eastAsia" w:asciiTheme="majorEastAsia" w:hAnsiTheme="majorEastAsia" w:eastAsiaTheme="majorEastAsia"/>
          <w:sz w:val="24"/>
          <w:szCs w:val="24"/>
        </w:rPr>
        <w:t>人（含）以上单数组成，资格审查小组负责对供应商资格进行审查。</w:t>
      </w:r>
      <w:bookmarkEnd w:id="68"/>
      <w:bookmarkEnd w:id="69"/>
      <w:bookmarkEnd w:id="70"/>
      <w:bookmarkEnd w:id="71"/>
      <w:bookmarkEnd w:id="72"/>
    </w:p>
    <w:p>
      <w:pPr>
        <w:spacing w:line="440" w:lineRule="exact"/>
        <w:ind w:firstLine="480" w:firstLineChars="200"/>
        <w:rPr>
          <w:rFonts w:asciiTheme="majorEastAsia" w:hAnsiTheme="majorEastAsia" w:eastAsiaTheme="majorEastAsia"/>
          <w:b/>
          <w:sz w:val="24"/>
          <w:szCs w:val="24"/>
        </w:rPr>
      </w:pPr>
      <w:bookmarkStart w:id="73" w:name="_Toc15665"/>
      <w:bookmarkStart w:id="74" w:name="_Toc27148125"/>
      <w:r>
        <w:rPr>
          <w:rFonts w:hint="eastAsia" w:asciiTheme="majorEastAsia" w:hAnsiTheme="majorEastAsia" w:eastAsiaTheme="majorEastAsia"/>
          <w:b/>
          <w:sz w:val="24"/>
          <w:szCs w:val="24"/>
        </w:rPr>
        <w:t>7.评标</w:t>
      </w:r>
      <w:bookmarkEnd w:id="62"/>
      <w:bookmarkEnd w:id="63"/>
      <w:bookmarkEnd w:id="64"/>
      <w:bookmarkEnd w:id="65"/>
      <w:bookmarkEnd w:id="73"/>
      <w:bookmarkEnd w:id="74"/>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7.1 </w:t>
      </w:r>
      <w:r>
        <w:rPr>
          <w:rFonts w:hint="eastAsia" w:asciiTheme="majorEastAsia" w:hAnsiTheme="majorEastAsia" w:eastAsiaTheme="majorEastAsia"/>
          <w:sz w:val="24"/>
          <w:szCs w:val="24"/>
        </w:rPr>
        <w:t>评标委员会</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7.1.1</w:t>
      </w:r>
      <w:r>
        <w:rPr>
          <w:rFonts w:hint="eastAsia" w:asciiTheme="majorEastAsia" w:hAnsiTheme="majorEastAsia" w:eastAsiaTheme="majorEastAsia"/>
          <w:sz w:val="24"/>
          <w:szCs w:val="24"/>
        </w:rPr>
        <w:t>评标由采购人依法组建的评标委员会负责。评标委员会由采购人代表及关技术、经济等方面的专家组成。评标委员会成员人数以及技术、经济等方面专家的确定方式见投标人须知前附表。</w:t>
      </w:r>
    </w:p>
    <w:p>
      <w:pPr>
        <w:spacing w:line="440" w:lineRule="exact"/>
        <w:ind w:firstLine="360" w:firstLineChars="150"/>
        <w:rPr>
          <w:rFonts w:asciiTheme="majorEastAsia" w:hAnsiTheme="majorEastAsia" w:eastAsiaTheme="majorEastAsia"/>
          <w:sz w:val="24"/>
          <w:szCs w:val="24"/>
        </w:rPr>
      </w:pPr>
      <w:r>
        <w:rPr>
          <w:rFonts w:asciiTheme="majorEastAsia" w:hAnsiTheme="majorEastAsia" w:eastAsiaTheme="majorEastAsia"/>
          <w:sz w:val="24"/>
          <w:szCs w:val="24"/>
        </w:rPr>
        <w:t xml:space="preserve"> 7.2 </w:t>
      </w:r>
      <w:r>
        <w:rPr>
          <w:rFonts w:hint="eastAsia" w:asciiTheme="majorEastAsia" w:hAnsiTheme="majorEastAsia" w:eastAsiaTheme="majorEastAsia"/>
          <w:sz w:val="24"/>
          <w:szCs w:val="24"/>
        </w:rPr>
        <w:t>评标办法</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7.2.1 </w:t>
      </w:r>
      <w:r>
        <w:rPr>
          <w:rFonts w:hint="eastAsia" w:asciiTheme="majorEastAsia" w:hAnsiTheme="majorEastAsia" w:eastAsiaTheme="majorEastAsia"/>
          <w:sz w:val="24"/>
          <w:szCs w:val="24"/>
        </w:rPr>
        <w:t>评标办法见投标人须知前附表。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7.2.2 </w:t>
      </w:r>
      <w:r>
        <w:rPr>
          <w:rFonts w:hint="eastAsia" w:asciiTheme="majorEastAsia" w:hAnsiTheme="majorEastAsia" w:eastAsiaTheme="majorEastAsia"/>
          <w:sz w:val="24"/>
          <w:szCs w:val="24"/>
        </w:rPr>
        <w:t>评标委员会按照本章第</w:t>
      </w:r>
      <w:r>
        <w:rPr>
          <w:rFonts w:asciiTheme="majorEastAsia" w:hAnsiTheme="majorEastAsia" w:eastAsiaTheme="majorEastAsia"/>
          <w:sz w:val="24"/>
          <w:szCs w:val="24"/>
        </w:rPr>
        <w:t>6.2.1</w:t>
      </w:r>
      <w:r>
        <w:rPr>
          <w:rFonts w:hint="eastAsia" w:asciiTheme="majorEastAsia" w:hAnsiTheme="majorEastAsia" w:eastAsiaTheme="majorEastAsia"/>
          <w:sz w:val="24"/>
          <w:szCs w:val="24"/>
        </w:rPr>
        <w:t>项规定的评标办法和第三章“评标标准和评标方法”规定的评标因素、标准和程序对投标文件进行评审。第三章“评标标准和评标方法”没有规定的评审因素和标准，不作为评标依据。</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7.3</w:t>
      </w:r>
      <w:r>
        <w:rPr>
          <w:rFonts w:hint="eastAsia" w:asciiTheme="majorEastAsia" w:hAnsiTheme="majorEastAsia" w:eastAsiaTheme="majorEastAsia"/>
          <w:sz w:val="24"/>
          <w:szCs w:val="24"/>
        </w:rPr>
        <w:t>在招标采购中，出现下列情形之一的，应予废标：</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7.3.1 </w:t>
      </w:r>
      <w:r>
        <w:rPr>
          <w:rFonts w:hint="eastAsia" w:asciiTheme="majorEastAsia" w:hAnsiTheme="majorEastAsia" w:eastAsiaTheme="majorEastAsia"/>
          <w:sz w:val="24"/>
          <w:szCs w:val="24"/>
        </w:rPr>
        <w:t>符合专业条件的供应商或者对招标文件作实质响应的供应商不足三家的；</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7.3.2 </w:t>
      </w:r>
      <w:r>
        <w:rPr>
          <w:rFonts w:hint="eastAsia" w:asciiTheme="majorEastAsia" w:hAnsiTheme="majorEastAsia" w:eastAsiaTheme="majorEastAsia"/>
          <w:sz w:val="24"/>
          <w:szCs w:val="24"/>
        </w:rPr>
        <w:t>出现影响采购公正的违法、违规行为的；</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7.3.3 </w:t>
      </w:r>
      <w:r>
        <w:rPr>
          <w:rFonts w:hint="eastAsia" w:asciiTheme="majorEastAsia" w:hAnsiTheme="majorEastAsia" w:eastAsiaTheme="majorEastAsia"/>
          <w:sz w:val="24"/>
          <w:szCs w:val="24"/>
        </w:rPr>
        <w:t>投标人的报价均超过了采购预算，采购人不能支付的；</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7.3.4 </w:t>
      </w:r>
      <w:r>
        <w:rPr>
          <w:rFonts w:hint="eastAsia" w:asciiTheme="majorEastAsia" w:hAnsiTheme="majorEastAsia" w:eastAsiaTheme="majorEastAsia"/>
          <w:sz w:val="24"/>
          <w:szCs w:val="24"/>
        </w:rPr>
        <w:t>因重大变故，采购任务取消的。</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7.4 </w:t>
      </w:r>
      <w:r>
        <w:rPr>
          <w:rFonts w:hint="eastAsia" w:asciiTheme="majorEastAsia" w:hAnsiTheme="majorEastAsia" w:eastAsiaTheme="majorEastAsia"/>
          <w:sz w:val="24"/>
          <w:szCs w:val="24"/>
        </w:rPr>
        <w:t>废标后，除采购任务取消情形外，应当重新组织招标；需要采取其他方式采购的，应当在采购活动开始前获得温县人民政府采购监督管理部门或者政府有关部门批准。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7.5 </w:t>
      </w:r>
      <w:r>
        <w:rPr>
          <w:rFonts w:hint="eastAsia" w:asciiTheme="majorEastAsia" w:hAnsiTheme="majorEastAsia" w:eastAsiaTheme="majorEastAsia"/>
          <w:sz w:val="24"/>
          <w:szCs w:val="24"/>
        </w:rPr>
        <w:t>纪律和监督</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7.5.1 </w:t>
      </w:r>
      <w:r>
        <w:rPr>
          <w:rFonts w:hint="eastAsia" w:asciiTheme="majorEastAsia" w:hAnsiTheme="majorEastAsia" w:eastAsiaTheme="majorEastAsia"/>
          <w:sz w:val="24"/>
          <w:szCs w:val="24"/>
        </w:rPr>
        <w:t>对采购人的纪律要求。采购人不得泄漏招标投标活动中应当保密的情况和资料，不得与供应商串通损害国家利益、社会公共利益或者他人合法权益。</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7.5.2 </w:t>
      </w:r>
      <w:r>
        <w:rPr>
          <w:rFonts w:hint="eastAsia" w:asciiTheme="majorEastAsia" w:hAnsiTheme="majorEastAsia" w:eastAsiaTheme="majorEastAsia"/>
          <w:sz w:val="24"/>
          <w:szCs w:val="24"/>
        </w:rPr>
        <w:t>对供应商的纪律要求。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7.5.3 </w:t>
      </w:r>
      <w:r>
        <w:rPr>
          <w:rFonts w:hint="eastAsia" w:asciiTheme="majorEastAsia" w:hAnsiTheme="majorEastAsia" w:eastAsiaTheme="majorEastAsia"/>
          <w:sz w:val="24"/>
          <w:szCs w:val="24"/>
        </w:rPr>
        <w:t>对评标委员会成员的纪律要求。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7.6 </w:t>
      </w:r>
      <w:r>
        <w:rPr>
          <w:rFonts w:hint="eastAsia" w:asciiTheme="majorEastAsia" w:hAnsiTheme="majorEastAsia" w:eastAsiaTheme="majorEastAsia"/>
          <w:sz w:val="24"/>
          <w:szCs w:val="24"/>
        </w:rPr>
        <w:t>对与评标活动有关的工作人员的纪律要求</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7.7 </w:t>
      </w:r>
      <w:r>
        <w:rPr>
          <w:rFonts w:hint="eastAsia" w:asciiTheme="majorEastAsia" w:hAnsiTheme="majorEastAsia" w:eastAsiaTheme="majorEastAsia"/>
          <w:sz w:val="24"/>
          <w:szCs w:val="24"/>
        </w:rPr>
        <w:t>质疑和投诉</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7.7.1 </w:t>
      </w:r>
      <w:r>
        <w:rPr>
          <w:rFonts w:hint="eastAsia" w:asciiTheme="majorEastAsia" w:hAnsiTheme="majorEastAsia" w:eastAsiaTheme="majorEastAsia"/>
          <w:sz w:val="24"/>
          <w:szCs w:val="24"/>
        </w:rPr>
        <w:t>供应商认为招标文件、招标采购过程和中标结果使自己的权益受到损害的，可以在知道或者应</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知其权益受到损害之日起七个工作日内，由供应商授权代表（或法人代表）携带身份证明材料，以书面形式向采购人提出质疑，否则不予受理。</w:t>
      </w:r>
    </w:p>
    <w:p>
      <w:pPr>
        <w:spacing w:line="440" w:lineRule="exact"/>
        <w:ind w:firstLine="480" w:firstLineChars="200"/>
        <w:rPr>
          <w:rFonts w:asciiTheme="majorEastAsia" w:hAnsiTheme="majorEastAsia" w:eastAsiaTheme="majorEastAsia"/>
          <w:b/>
          <w:sz w:val="24"/>
          <w:szCs w:val="24"/>
        </w:rPr>
      </w:pPr>
      <w:bookmarkStart w:id="75" w:name="_Toc30683"/>
      <w:bookmarkStart w:id="76" w:name="_Toc421284747"/>
      <w:bookmarkStart w:id="77" w:name="_Toc27148126"/>
      <w:bookmarkStart w:id="78" w:name="_Toc5160"/>
      <w:bookmarkStart w:id="79" w:name="_Toc5803"/>
      <w:bookmarkStart w:id="80" w:name="_Toc23260"/>
      <w:r>
        <w:rPr>
          <w:rFonts w:asciiTheme="majorEastAsia" w:hAnsiTheme="majorEastAsia" w:eastAsiaTheme="majorEastAsia"/>
          <w:b/>
          <w:sz w:val="24"/>
          <w:szCs w:val="24"/>
        </w:rPr>
        <w:t>8.</w:t>
      </w:r>
      <w:r>
        <w:rPr>
          <w:rFonts w:hint="eastAsia" w:asciiTheme="majorEastAsia" w:hAnsiTheme="majorEastAsia" w:eastAsiaTheme="majorEastAsia"/>
          <w:b/>
          <w:sz w:val="24"/>
          <w:szCs w:val="24"/>
        </w:rPr>
        <w:t>合同授予</w:t>
      </w:r>
      <w:bookmarkEnd w:id="75"/>
      <w:bookmarkEnd w:id="76"/>
      <w:bookmarkEnd w:id="77"/>
      <w:bookmarkEnd w:id="78"/>
      <w:bookmarkEnd w:id="79"/>
      <w:bookmarkEnd w:id="80"/>
      <w:r>
        <w:rPr>
          <w:rFonts w:asciiTheme="majorEastAsia" w:hAnsiTheme="majorEastAsia" w:eastAsiaTheme="majorEastAsia"/>
          <w:b/>
          <w:sz w:val="24"/>
          <w:szCs w:val="24"/>
        </w:rPr>
        <w:t xml:space="preserve"> </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8.1 </w:t>
      </w:r>
      <w:r>
        <w:rPr>
          <w:rFonts w:hint="eastAsia" w:asciiTheme="majorEastAsia" w:hAnsiTheme="majorEastAsia" w:eastAsiaTheme="majorEastAsia"/>
          <w:sz w:val="24"/>
          <w:szCs w:val="24"/>
        </w:rPr>
        <w:t>中标通知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在本章第</w:t>
      </w:r>
      <w:r>
        <w:rPr>
          <w:rFonts w:asciiTheme="majorEastAsia" w:hAnsiTheme="majorEastAsia" w:eastAsiaTheme="majorEastAsia"/>
          <w:sz w:val="24"/>
          <w:szCs w:val="24"/>
        </w:rPr>
        <w:t>3.4</w:t>
      </w:r>
      <w:r>
        <w:rPr>
          <w:rFonts w:hint="eastAsia" w:asciiTheme="majorEastAsia" w:hAnsiTheme="majorEastAsia" w:eastAsiaTheme="majorEastAsia"/>
          <w:sz w:val="24"/>
          <w:szCs w:val="24"/>
        </w:rPr>
        <w:t>款规定的投标有效期内，采购人在指定的网站公布中标结果，并以书面形式向中标人发出中标通知书，同时将中标结果通知未中标的供应商。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8.2 </w:t>
      </w:r>
      <w:r>
        <w:rPr>
          <w:rFonts w:hint="eastAsia" w:asciiTheme="majorEastAsia" w:hAnsiTheme="majorEastAsia" w:eastAsiaTheme="majorEastAsia"/>
          <w:sz w:val="24"/>
          <w:szCs w:val="24"/>
        </w:rPr>
        <w:t>履约担保</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8.2.1 </w:t>
      </w:r>
      <w:r>
        <w:rPr>
          <w:rFonts w:hint="eastAsia" w:asciiTheme="majorEastAsia" w:hAnsiTheme="majorEastAsia" w:eastAsiaTheme="majorEastAsia"/>
          <w:sz w:val="24"/>
          <w:szCs w:val="24"/>
        </w:rPr>
        <w:t>中标人应按投标人须知前附表规定的金额、担保形式和招标文件的有关规定提交履约担保。</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8.2.2 </w:t>
      </w:r>
      <w:r>
        <w:rPr>
          <w:rFonts w:hint="eastAsia" w:asciiTheme="majorEastAsia" w:hAnsiTheme="majorEastAsia" w:eastAsiaTheme="majorEastAsia"/>
          <w:sz w:val="24"/>
          <w:szCs w:val="24"/>
        </w:rPr>
        <w:t>中标人不能按本章第</w:t>
      </w:r>
      <w:r>
        <w:rPr>
          <w:rFonts w:asciiTheme="majorEastAsia" w:hAnsiTheme="majorEastAsia" w:eastAsiaTheme="majorEastAsia"/>
          <w:sz w:val="24"/>
          <w:szCs w:val="24"/>
        </w:rPr>
        <w:t>7.3.1</w:t>
      </w:r>
      <w:r>
        <w:rPr>
          <w:rFonts w:hint="eastAsia" w:asciiTheme="majorEastAsia" w:hAnsiTheme="majorEastAsia" w:eastAsiaTheme="majorEastAsia"/>
          <w:sz w:val="24"/>
          <w:szCs w:val="24"/>
        </w:rPr>
        <w:t>项要求提交履约担保的，视为放弃中标；给采购人造成的损失的，中标人还应当予以赔偿。</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8.3 </w:t>
      </w:r>
      <w:r>
        <w:rPr>
          <w:rFonts w:hint="eastAsia" w:asciiTheme="majorEastAsia" w:hAnsiTheme="majorEastAsia" w:eastAsiaTheme="majorEastAsia"/>
          <w:sz w:val="24"/>
          <w:szCs w:val="24"/>
        </w:rPr>
        <w:t>签订合同</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8.3.1 </w:t>
      </w:r>
      <w:r>
        <w:rPr>
          <w:rFonts w:hint="eastAsia" w:asciiTheme="majorEastAsia" w:hAnsiTheme="majorEastAsia" w:eastAsiaTheme="majorEastAsia"/>
          <w:sz w:val="24"/>
          <w:szCs w:val="24"/>
        </w:rPr>
        <w:t>采购人和中标人应当自中标通知书发出之日起</w:t>
      </w:r>
      <w:r>
        <w:rPr>
          <w:rFonts w:asciiTheme="majorEastAsia" w:hAnsiTheme="majorEastAsia" w:eastAsiaTheme="majorEastAsia"/>
          <w:sz w:val="24"/>
          <w:szCs w:val="24"/>
        </w:rPr>
        <w:t>30</w:t>
      </w:r>
      <w:r>
        <w:rPr>
          <w:rFonts w:hint="eastAsia" w:asciiTheme="majorEastAsia" w:hAnsiTheme="majorEastAsia" w:eastAsiaTheme="majorEastAsia"/>
          <w:sz w:val="24"/>
          <w:szCs w:val="24"/>
        </w:rPr>
        <w:t>天内，根据招标文件和中标人的投标文件订立书面合同。中标人无正当理由拒签合同的，采购人取消其中标资格。给采购人造成的损失的，中标人还应当予以赔偿。</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8.3.2 </w:t>
      </w:r>
      <w:r>
        <w:rPr>
          <w:rFonts w:hint="eastAsia" w:asciiTheme="majorEastAsia" w:hAnsiTheme="majorEastAsia" w:eastAsiaTheme="majorEastAsia"/>
          <w:sz w:val="24"/>
          <w:szCs w:val="24"/>
        </w:rPr>
        <w:t>发出中标通知书后，采购人无正当理由拒签合同的；给中标人造成损失的，还应当赔偿损失。</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8.4 </w:t>
      </w:r>
      <w:r>
        <w:rPr>
          <w:rFonts w:hint="eastAsia" w:asciiTheme="majorEastAsia" w:hAnsiTheme="majorEastAsia" w:eastAsiaTheme="majorEastAsia"/>
          <w:sz w:val="24"/>
          <w:szCs w:val="24"/>
        </w:rPr>
        <w:t>付款方式：</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付款办法按第五章“合同条款”约定执行。</w:t>
      </w:r>
    </w:p>
    <w:p>
      <w:pPr>
        <w:spacing w:line="440" w:lineRule="exact"/>
        <w:ind w:firstLine="480" w:firstLineChars="200"/>
        <w:rPr>
          <w:rFonts w:asciiTheme="majorEastAsia" w:hAnsiTheme="majorEastAsia" w:eastAsiaTheme="majorEastAsia"/>
          <w:b/>
          <w:sz w:val="24"/>
          <w:szCs w:val="24"/>
        </w:rPr>
      </w:pPr>
      <w:bookmarkStart w:id="81" w:name="_Toc27148127"/>
      <w:bookmarkStart w:id="82" w:name="_Toc26138"/>
      <w:r>
        <w:rPr>
          <w:rFonts w:asciiTheme="majorEastAsia" w:hAnsiTheme="majorEastAsia" w:eastAsiaTheme="majorEastAsia"/>
          <w:b/>
          <w:sz w:val="24"/>
          <w:szCs w:val="24"/>
        </w:rPr>
        <w:t>9.</w:t>
      </w:r>
      <w:r>
        <w:rPr>
          <w:rFonts w:hint="eastAsia" w:asciiTheme="majorEastAsia" w:hAnsiTheme="majorEastAsia" w:eastAsiaTheme="majorEastAsia"/>
          <w:b/>
          <w:sz w:val="24"/>
          <w:szCs w:val="24"/>
        </w:rPr>
        <w:t>需要落实的政府采购政策</w:t>
      </w:r>
      <w:bookmarkEnd w:id="81"/>
      <w:bookmarkEnd w:id="82"/>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9.1</w:t>
      </w:r>
      <w:r>
        <w:rPr>
          <w:rFonts w:hint="eastAsia" w:asciiTheme="majorEastAsia" w:hAnsiTheme="majorEastAsia" w:eastAsiaTheme="majorEastAsia"/>
          <w:sz w:val="24"/>
          <w:szCs w:val="24"/>
        </w:rPr>
        <w:t>投标产品符合国家环保、节能标准，并载入财政部、国家发改委</w:t>
      </w:r>
      <w:r>
        <w:rPr>
          <w:rFonts w:asciiTheme="majorEastAsia" w:hAnsiTheme="majorEastAsia" w:eastAsiaTheme="majorEastAsia"/>
          <w:sz w:val="24"/>
          <w:szCs w:val="24"/>
        </w:rPr>
        <w:t>/</w:t>
      </w:r>
      <w:r>
        <w:rPr>
          <w:rFonts w:hint="eastAsia" w:asciiTheme="majorEastAsia" w:hAnsiTheme="majorEastAsia" w:eastAsiaTheme="majorEastAsia"/>
          <w:sz w:val="24"/>
          <w:szCs w:val="24"/>
        </w:rPr>
        <w:t>国家环保总局发布的《环境标志产品政府采购品目清单》、《节能产品政府采购品目清单》内，且具国家确定的认证机构出具的、处于有效期之内的《国家节能产品认证证书》或《中国环境标志产品认证证书》（投标人必须提供有关证明材料和文件等），将分别给予投标人在评标办法中规定的标准分值进行加分评审。</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9.2</w:t>
      </w:r>
      <w:r>
        <w:rPr>
          <w:rFonts w:hint="eastAsia" w:asciiTheme="majorEastAsia" w:hAnsiTheme="majorEastAsia" w:eastAsiaTheme="majorEastAsia"/>
          <w:sz w:val="24"/>
          <w:szCs w:val="24"/>
        </w:rPr>
        <w:t>如投标产品属于财政部和国家发展改革委发布的《节能产品政府采购品目清单》中要求的政府强制采购产品的，投标人必须提供所投产品在节能产品政府采购品目清单所在页的复印件，及国家确定的认证机构出具的、处于有效期之内的《国家节能产品认证证书》复印件，如提供非《节能产品政府采购品目清单》中要求的强制政府采购产品的，则认定其投标文件无效。</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9.3</w:t>
      </w:r>
      <w:r>
        <w:rPr>
          <w:rFonts w:hint="eastAsia" w:asciiTheme="majorEastAsia" w:hAnsiTheme="majorEastAsia" w:eastAsiaTheme="majorEastAsia"/>
          <w:sz w:val="24"/>
          <w:szCs w:val="24"/>
        </w:rPr>
        <w:t>关于无线局域网产品，必须执行国家财政部、发改委、信息产业部等部门的规定，投标人必须提供所投货物的《无限局域网认证产品政府采购清单》等证明材料文件复印件。</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9.4</w:t>
      </w:r>
      <w:r>
        <w:rPr>
          <w:rFonts w:hint="eastAsia" w:asciiTheme="majorEastAsia" w:hAnsiTheme="majorEastAsia" w:eastAsiaTheme="majorEastAsia"/>
          <w:sz w:val="24"/>
          <w:szCs w:val="24"/>
        </w:rPr>
        <w:t>关于计算机办公设备，必须执行国家版权局、信息产业部、财政部等部门规定，投标人所投货物必须是国家信息部、版权局、商务部等部门认可的预装正版操作系统软件的计算机产品。</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9.5</w:t>
      </w:r>
      <w:r>
        <w:rPr>
          <w:rFonts w:hint="eastAsia" w:asciiTheme="majorEastAsia" w:hAnsiTheme="majorEastAsia" w:eastAsiaTheme="majorEastAsia"/>
          <w:sz w:val="24"/>
          <w:szCs w:val="24"/>
        </w:rPr>
        <w:t>采购货物为国家强制性认证产品的，必须符合强制性标准。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9.6</w:t>
      </w:r>
      <w:r>
        <w:rPr>
          <w:rFonts w:hint="eastAsia" w:asciiTheme="majorEastAsia" w:hAnsiTheme="majorEastAsia" w:eastAsiaTheme="majorEastAsia"/>
          <w:sz w:val="24"/>
          <w:szCs w:val="24"/>
        </w:rPr>
        <w:t>优先采购本国产品。采购进口产品应符合《中华人民共和国政府采购法》并依法办理论证、公示、审批手续。</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9.7</w:t>
      </w:r>
      <w:r>
        <w:rPr>
          <w:rFonts w:hint="eastAsia" w:asciiTheme="majorEastAsia" w:hAnsiTheme="majorEastAsia" w:eastAsiaTheme="majorEastAsia"/>
          <w:sz w:val="24"/>
          <w:szCs w:val="24"/>
        </w:rPr>
        <w:t>采购信息安全产品的，应当采购经国家认证的信息安全产品，投标人应提供由中国信息安全认证中心按国家标准颁发的有效认证证书。</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9.8</w:t>
      </w:r>
      <w:r>
        <w:rPr>
          <w:rFonts w:hint="eastAsia" w:asciiTheme="majorEastAsia" w:hAnsiTheme="majorEastAsia" w:eastAsiaTheme="majorEastAsia"/>
          <w:sz w:val="24"/>
          <w:szCs w:val="24"/>
        </w:rPr>
        <w:t>鼓励创新，首购和订购的产品具有首创和自主研发性质，属于自主创新产品的，必须执行《自主创新产品政府收购和订购管理办法》。</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9.9</w:t>
      </w:r>
      <w:r>
        <w:rPr>
          <w:rFonts w:hint="eastAsia" w:asciiTheme="majorEastAsia" w:hAnsiTheme="majorEastAsia" w:eastAsiaTheme="majorEastAsia"/>
          <w:sz w:val="24"/>
          <w:szCs w:val="24"/>
        </w:rPr>
        <w:t>促进中小型企业发展，必须执行财政部、工信部印发的《政府采购促进中小型企业发展暂行办法》，对小型和微型企业产品的价格给予</w:t>
      </w:r>
      <w:r>
        <w:rPr>
          <w:rFonts w:asciiTheme="majorEastAsia" w:hAnsiTheme="majorEastAsia" w:eastAsiaTheme="majorEastAsia"/>
          <w:sz w:val="24"/>
          <w:szCs w:val="24"/>
        </w:rPr>
        <w:t>6%</w:t>
      </w:r>
      <w:r>
        <w:rPr>
          <w:rFonts w:hint="eastAsia" w:asciiTheme="majorEastAsia" w:hAnsiTheme="majorEastAsia" w:eastAsiaTheme="majorEastAsia"/>
          <w:sz w:val="24"/>
          <w:szCs w:val="24"/>
        </w:rPr>
        <w:t>的扣除（监狱企业</w:t>
      </w:r>
      <w:r>
        <w:rPr>
          <w:rFonts w:asciiTheme="majorEastAsia" w:hAnsiTheme="majorEastAsia" w:eastAsiaTheme="majorEastAsia"/>
          <w:sz w:val="24"/>
          <w:szCs w:val="24"/>
        </w:rPr>
        <w:t>/</w:t>
      </w:r>
      <w:r>
        <w:rPr>
          <w:rFonts w:hint="eastAsia" w:asciiTheme="majorEastAsia" w:hAnsiTheme="majorEastAsia" w:eastAsiaTheme="majorEastAsia"/>
          <w:sz w:val="24"/>
          <w:szCs w:val="24"/>
        </w:rPr>
        <w:t>残疾人福利性企业视同小型、微型企业），用扣除后的价格参与评审。参加政府采购活动的中小企业应当提供《中小企业声明函》，未填写中小企业声明函的在评标过程中不予认可，参加政府采购活动的残疾人福利性单位应当提供《残疾人福利性单位声明函》，未填写残疾人福利性单位声明函的在评标过程中不予认可。中标人如为小型和微型企业的，并在投标时填写了中小企业声明函，则需要在领取中标通知书时提供由相关政府部门出具的企业划型认定材料；中标人如为残疾人福利性企业的，并在投标时填写了残疾人福利性单位声明函，则需要在领取中标通知书时提供由相关政府部门出具的相关证明材料，若不能提供或提供的材料与投标时做出的声明不符，采购人有权取消该中标人的中标资格，并对因其造成的损失进行追责。</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9.10</w:t>
      </w:r>
      <w:r>
        <w:rPr>
          <w:rFonts w:hint="eastAsia" w:asciiTheme="majorEastAsia" w:hAnsiTheme="majorEastAsia" w:eastAsiaTheme="majorEastAsia"/>
          <w:sz w:val="24"/>
          <w:szCs w:val="24"/>
        </w:rPr>
        <w:t>开源节流，执行低价优先的采购政策规定。</w:t>
      </w:r>
    </w:p>
    <w:p>
      <w:pPr>
        <w:spacing w:line="440" w:lineRule="exact"/>
        <w:ind w:firstLine="480" w:firstLineChars="200"/>
        <w:rPr>
          <w:rFonts w:asciiTheme="majorEastAsia" w:hAnsiTheme="majorEastAsia" w:eastAsiaTheme="majorEastAsia"/>
          <w:b/>
          <w:sz w:val="24"/>
          <w:szCs w:val="24"/>
        </w:rPr>
      </w:pPr>
      <w:bookmarkStart w:id="83" w:name="_Toc421284749"/>
      <w:bookmarkStart w:id="84" w:name="_Toc27148128"/>
      <w:bookmarkStart w:id="85" w:name="_Toc9750"/>
      <w:bookmarkStart w:id="86" w:name="_Toc30492"/>
      <w:bookmarkStart w:id="87" w:name="_Toc14381"/>
      <w:bookmarkStart w:id="88" w:name="_Toc12542"/>
      <w:r>
        <w:rPr>
          <w:rFonts w:asciiTheme="majorEastAsia" w:hAnsiTheme="majorEastAsia" w:eastAsiaTheme="majorEastAsia"/>
          <w:b/>
          <w:sz w:val="24"/>
          <w:szCs w:val="24"/>
        </w:rPr>
        <w:t>10.</w:t>
      </w:r>
      <w:r>
        <w:rPr>
          <w:rFonts w:hint="eastAsia" w:asciiTheme="majorEastAsia" w:hAnsiTheme="majorEastAsia" w:eastAsiaTheme="majorEastAsia"/>
          <w:b/>
          <w:sz w:val="24"/>
          <w:szCs w:val="24"/>
        </w:rPr>
        <w:t>需要补充的其他内容</w:t>
      </w:r>
      <w:bookmarkEnd w:id="83"/>
      <w:bookmarkEnd w:id="84"/>
      <w:bookmarkEnd w:id="85"/>
      <w:bookmarkEnd w:id="86"/>
      <w:bookmarkEnd w:id="87"/>
      <w:bookmarkEnd w:id="88"/>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10.1 </w:t>
      </w:r>
      <w:r>
        <w:rPr>
          <w:rFonts w:hint="eastAsia" w:asciiTheme="majorEastAsia" w:hAnsiTheme="majorEastAsia" w:eastAsiaTheme="majorEastAsia"/>
          <w:sz w:val="24"/>
          <w:szCs w:val="24"/>
        </w:rPr>
        <w:t>费用承担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）无论投标过程中的作法和结果如何，投标人应自行承担所有参与投标有关的全部费用，采购人和采购代理机构在任何情况下均无义务和责任承担上述费用。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）招标代理服务费由中标人支付。</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）供应商与采购人签订合同后，将合同副本原件报采购代理机构备案。</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10.2 </w:t>
      </w:r>
      <w:r>
        <w:rPr>
          <w:rFonts w:hint="eastAsia" w:asciiTheme="majorEastAsia" w:hAnsiTheme="majorEastAsia" w:eastAsiaTheme="majorEastAsia"/>
          <w:sz w:val="24"/>
          <w:szCs w:val="24"/>
        </w:rPr>
        <w:t>解释权</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10.3</w:t>
      </w:r>
      <w:r>
        <w:rPr>
          <w:rFonts w:hint="eastAsia" w:asciiTheme="majorEastAsia" w:hAnsiTheme="majorEastAsia" w:eastAsiaTheme="majorEastAsia"/>
          <w:sz w:val="24"/>
          <w:szCs w:val="24"/>
        </w:rPr>
        <w:t>免责条款</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10.3.1 </w:t>
      </w:r>
      <w:r>
        <w:rPr>
          <w:rFonts w:hint="eastAsia" w:asciiTheme="majorEastAsia" w:hAnsiTheme="majorEastAsia" w:eastAsiaTheme="majorEastAsia"/>
          <w:sz w:val="24"/>
          <w:szCs w:val="24"/>
        </w:rPr>
        <w:t>招标文件的解释权归采购人所有，采购人有权在法律允许范围内调整本次招标活动的细节及保留最终解释权。</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10.3.2 </w:t>
      </w:r>
      <w:r>
        <w:rPr>
          <w:rFonts w:hint="eastAsia" w:asciiTheme="majorEastAsia" w:hAnsiTheme="majorEastAsia" w:eastAsiaTheme="majorEastAsia"/>
          <w:sz w:val="24"/>
          <w:szCs w:val="24"/>
        </w:rPr>
        <w:t>采购人不受将合同授予任何投标人的约束，采购人有权接受任何一份投标文件的全部或部分内容。</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10.3.3 </w:t>
      </w:r>
      <w:r>
        <w:rPr>
          <w:rFonts w:hint="eastAsia" w:asciiTheme="majorEastAsia" w:hAnsiTheme="majorEastAsia" w:eastAsiaTheme="majorEastAsia"/>
          <w:sz w:val="24"/>
          <w:szCs w:val="24"/>
        </w:rPr>
        <w:t>采购人向投标人提供的资料和数据，是采购人现有的能使投标人利用的资料，采购人对投标人由此而作出的推论、理解和结论概不负责。</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10.3.4 </w:t>
      </w:r>
      <w:r>
        <w:rPr>
          <w:rFonts w:hint="eastAsia" w:asciiTheme="majorEastAsia" w:hAnsiTheme="majorEastAsia" w:eastAsiaTheme="majorEastAsia"/>
          <w:sz w:val="24"/>
          <w:szCs w:val="24"/>
        </w:rPr>
        <w:t>投标人应承担其现场考察、编制和提交投标文件有关的一切费用、损害和人身伤亡事故责任，不管投标结果如何，采购人对上述费用不负任何责任。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10.3.5 </w:t>
      </w:r>
      <w:r>
        <w:rPr>
          <w:rFonts w:hint="eastAsia" w:asciiTheme="majorEastAsia" w:hAnsiTheme="majorEastAsia" w:eastAsiaTheme="majorEastAsia"/>
          <w:sz w:val="24"/>
          <w:szCs w:val="24"/>
        </w:rPr>
        <w:t>采购人对投标人的失误不负任何责任，投标人应指定一名投标事务负责人，专门负责跟踪、接收、阅读和理解招标文件及随后收到的有关资料，向采购人发出质疑，检查投标文件，协助有关人员尽力克服各种投标失误。</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10.3.6 </w:t>
      </w:r>
      <w:r>
        <w:rPr>
          <w:rFonts w:hint="eastAsia" w:asciiTheme="majorEastAsia" w:hAnsiTheme="majorEastAsia" w:eastAsiaTheme="majorEastAsia"/>
          <w:sz w:val="24"/>
          <w:szCs w:val="24"/>
        </w:rPr>
        <w:t>如果投标人实质上不符合投标资格，即使已购买招标文件、参加投标并缴纳各种费用，采购人可以随时取消其投标或中标资格，采购人对该投标人的一切损失不负任何责任。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10.3.7 </w:t>
      </w:r>
      <w:r>
        <w:rPr>
          <w:rFonts w:hint="eastAsia" w:asciiTheme="majorEastAsia" w:hAnsiTheme="majorEastAsia" w:eastAsiaTheme="majorEastAsia"/>
          <w:sz w:val="24"/>
          <w:szCs w:val="24"/>
        </w:rPr>
        <w:t>投标人提供的方案设计的安全性、可行性、经济性、合理性、真实性及合同履行承担相应的法律责任。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10.3.8 </w:t>
      </w:r>
      <w:r>
        <w:rPr>
          <w:rFonts w:hint="eastAsia" w:asciiTheme="majorEastAsia" w:hAnsiTheme="majorEastAsia" w:eastAsiaTheme="majorEastAsia"/>
          <w:sz w:val="24"/>
          <w:szCs w:val="24"/>
        </w:rPr>
        <w:t>构成本招标文件各个组成部分的文件，未经采购人书面同意，投标人不得擅自复印和用于非本招标项目所需的其他目的。采购人有权使用投标人投标文件中全部或者部分技术成果或技术方案。</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10.3.9 </w:t>
      </w:r>
      <w:r>
        <w:rPr>
          <w:rFonts w:hint="eastAsia" w:asciiTheme="majorEastAsia" w:hAnsiTheme="majorEastAsia" w:eastAsiaTheme="majorEastAsia"/>
          <w:sz w:val="24"/>
          <w:szCs w:val="24"/>
        </w:rPr>
        <w:t>采购人与中标人签署设计合同后，采购人在该建设项目中拥有中标方案的使用权。中标人应保护采购人使用其设计方案不能受到来自第三方的侵权诉讼或索赔，否则中标人应承担由此而产生的一切责任。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10.4</w:t>
      </w:r>
      <w:r>
        <w:rPr>
          <w:rFonts w:hint="eastAsia" w:asciiTheme="majorEastAsia" w:hAnsiTheme="majorEastAsia" w:eastAsiaTheme="majorEastAsia"/>
          <w:sz w:val="24"/>
          <w:szCs w:val="24"/>
        </w:rPr>
        <w:t>本招标文件未尽事宜，按《中华人民共和国政府采购法》、《政府采购货物和服务招标投标管理办法》等法律法规的有关规定执行。</w:t>
      </w:r>
    </w:p>
    <w:p>
      <w:pPr>
        <w:spacing w:line="440" w:lineRule="exact"/>
        <w:ind w:firstLine="480" w:firstLineChars="200"/>
        <w:jc w:val="center"/>
        <w:rPr>
          <w:rFonts w:asciiTheme="majorEastAsia" w:hAnsiTheme="majorEastAsia" w:eastAsiaTheme="majorEastAsia"/>
          <w:b/>
          <w:sz w:val="24"/>
          <w:szCs w:val="24"/>
        </w:rPr>
      </w:pPr>
      <w:r>
        <w:rPr>
          <w:rFonts w:asciiTheme="majorEastAsia" w:hAnsiTheme="majorEastAsia" w:eastAsiaTheme="majorEastAsia"/>
          <w:sz w:val="24"/>
          <w:szCs w:val="24"/>
        </w:rPr>
        <w:br w:type="page"/>
      </w:r>
      <w:bookmarkStart w:id="89" w:name="_Toc5632"/>
      <w:bookmarkStart w:id="90" w:name="_Toc19848"/>
      <w:r>
        <w:rPr>
          <w:rFonts w:hint="eastAsia" w:asciiTheme="majorEastAsia" w:hAnsiTheme="majorEastAsia" w:eastAsiaTheme="majorEastAsia"/>
          <w:b/>
          <w:sz w:val="24"/>
          <w:szCs w:val="24"/>
        </w:rPr>
        <w:t>第三章  评标标准和评标方法</w:t>
      </w:r>
      <w:bookmarkEnd w:id="24"/>
      <w:bookmarkEnd w:id="89"/>
      <w:bookmarkEnd w:id="90"/>
    </w:p>
    <w:p>
      <w:pPr>
        <w:spacing w:line="440" w:lineRule="exact"/>
        <w:ind w:firstLine="480" w:firstLineChars="200"/>
        <w:rPr>
          <w:rFonts w:asciiTheme="majorEastAsia" w:hAnsiTheme="majorEastAsia" w:eastAsiaTheme="majorEastAsia"/>
          <w:b/>
          <w:sz w:val="24"/>
          <w:szCs w:val="24"/>
        </w:rPr>
      </w:pPr>
      <w:bookmarkStart w:id="91" w:name="_Toc421284751"/>
      <w:bookmarkStart w:id="92" w:name="_Toc8539"/>
      <w:bookmarkStart w:id="93" w:name="_Toc21327"/>
      <w:bookmarkStart w:id="94" w:name="_Toc7610"/>
      <w:bookmarkStart w:id="95" w:name="_Toc388541206"/>
      <w:bookmarkStart w:id="96" w:name="_Toc6110"/>
      <w:bookmarkStart w:id="97" w:name="_Toc27148130"/>
      <w:r>
        <w:rPr>
          <w:rFonts w:asciiTheme="majorEastAsia" w:hAnsiTheme="majorEastAsia" w:eastAsiaTheme="majorEastAsia"/>
          <w:b/>
          <w:sz w:val="24"/>
          <w:szCs w:val="24"/>
        </w:rPr>
        <w:t>1.</w:t>
      </w:r>
      <w:r>
        <w:rPr>
          <w:rFonts w:hint="eastAsia" w:asciiTheme="majorEastAsia" w:hAnsiTheme="majorEastAsia" w:eastAsiaTheme="majorEastAsia"/>
          <w:b/>
          <w:sz w:val="24"/>
          <w:szCs w:val="24"/>
        </w:rPr>
        <w:t>评标准则和评标方法</w:t>
      </w:r>
      <w:bookmarkEnd w:id="91"/>
      <w:bookmarkEnd w:id="92"/>
      <w:bookmarkEnd w:id="93"/>
      <w:bookmarkEnd w:id="94"/>
      <w:bookmarkEnd w:id="95"/>
      <w:bookmarkEnd w:id="96"/>
      <w:bookmarkEnd w:id="97"/>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1.1</w:t>
      </w:r>
      <w:r>
        <w:rPr>
          <w:rFonts w:hint="eastAsia" w:asciiTheme="majorEastAsia" w:hAnsiTheme="majorEastAsia" w:eastAsiaTheme="majorEastAsia"/>
          <w:sz w:val="24"/>
          <w:szCs w:val="24"/>
        </w:rPr>
        <w:t>评标过程将遵循“公平、公正、科学、择优”的原则进行。</w:t>
      </w:r>
    </w:p>
    <w:p>
      <w:pPr>
        <w:spacing w:line="440" w:lineRule="exact"/>
        <w:ind w:firstLine="480" w:firstLineChars="200"/>
        <w:rPr>
          <w:rFonts w:asciiTheme="majorEastAsia" w:hAnsiTheme="majorEastAsia" w:eastAsiaTheme="majorEastAsia"/>
          <w:sz w:val="24"/>
          <w:szCs w:val="24"/>
        </w:rPr>
      </w:pPr>
      <w:bookmarkStart w:id="98" w:name="_Toc371423272"/>
      <w:bookmarkStart w:id="99" w:name="_Toc371425843"/>
      <w:bookmarkStart w:id="100" w:name="_Toc27273"/>
      <w:bookmarkStart w:id="101" w:name="_Toc9035"/>
      <w:bookmarkStart w:id="102" w:name="_Toc4231"/>
      <w:r>
        <w:rPr>
          <w:rFonts w:asciiTheme="majorEastAsia" w:hAnsiTheme="majorEastAsia" w:eastAsiaTheme="majorEastAsia"/>
          <w:sz w:val="24"/>
          <w:szCs w:val="24"/>
        </w:rPr>
        <w:t>1.2</w:t>
      </w:r>
      <w:r>
        <w:rPr>
          <w:rFonts w:hint="eastAsia" w:asciiTheme="majorEastAsia" w:hAnsiTheme="majorEastAsia" w:eastAsiaTheme="majorEastAsia"/>
          <w:sz w:val="24"/>
          <w:szCs w:val="24"/>
        </w:rPr>
        <w:t>评标将严格按照招标文件的要求和条件进行。对所有供应商的投标评定都采用相同的程序和标准。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1.3</w:t>
      </w:r>
      <w:r>
        <w:rPr>
          <w:rFonts w:hint="eastAsia" w:asciiTheme="majorEastAsia" w:hAnsiTheme="majorEastAsia" w:eastAsiaTheme="majorEastAsia"/>
          <w:sz w:val="24"/>
          <w:szCs w:val="24"/>
        </w:rPr>
        <w:t>反对不正当竞争，投标人不得串通投标，如有违反者按《中华人民共和国政府采购法》有关规定处理。</w:t>
      </w:r>
    </w:p>
    <w:p>
      <w:pPr>
        <w:spacing w:line="440" w:lineRule="exact"/>
        <w:ind w:firstLine="480" w:firstLineChars="200"/>
        <w:rPr>
          <w:rFonts w:asciiTheme="majorEastAsia" w:hAnsiTheme="majorEastAsia" w:eastAsiaTheme="majorEastAsia"/>
          <w:b/>
          <w:sz w:val="24"/>
          <w:szCs w:val="24"/>
        </w:rPr>
      </w:pPr>
      <w:bookmarkStart w:id="103" w:name="_Toc421284752"/>
      <w:bookmarkStart w:id="104" w:name="_Toc380581853"/>
      <w:bookmarkStart w:id="105" w:name="_Toc388541207"/>
      <w:bookmarkStart w:id="106" w:name="_Toc14776"/>
      <w:bookmarkStart w:id="107" w:name="_Toc9507"/>
      <w:bookmarkStart w:id="108" w:name="_Toc12985"/>
      <w:bookmarkStart w:id="109" w:name="_Toc27148131"/>
      <w:bookmarkStart w:id="110" w:name="_Toc21051"/>
      <w:r>
        <w:rPr>
          <w:rFonts w:asciiTheme="majorEastAsia" w:hAnsiTheme="majorEastAsia" w:eastAsiaTheme="majorEastAsia"/>
          <w:b/>
          <w:sz w:val="24"/>
          <w:szCs w:val="24"/>
        </w:rPr>
        <w:t>2.</w:t>
      </w:r>
      <w:r>
        <w:rPr>
          <w:rFonts w:hint="eastAsia" w:asciiTheme="majorEastAsia" w:hAnsiTheme="majorEastAsia" w:eastAsiaTheme="majorEastAsia"/>
          <w:b/>
          <w:sz w:val="24"/>
          <w:szCs w:val="24"/>
        </w:rPr>
        <w:t>评审标准</w:t>
      </w:r>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440" w:lineRule="exact"/>
        <w:ind w:firstLine="480" w:firstLineChars="200"/>
        <w:rPr>
          <w:rFonts w:asciiTheme="majorEastAsia" w:hAnsiTheme="majorEastAsia" w:eastAsiaTheme="majorEastAsia"/>
          <w:sz w:val="24"/>
          <w:szCs w:val="24"/>
        </w:rPr>
      </w:pPr>
      <w:bookmarkStart w:id="111" w:name="_Toc421284753"/>
      <w:bookmarkStart w:id="112" w:name="_Toc1062"/>
      <w:bookmarkStart w:id="113" w:name="_Toc23807"/>
      <w:r>
        <w:rPr>
          <w:rFonts w:asciiTheme="majorEastAsia" w:hAnsiTheme="majorEastAsia" w:eastAsiaTheme="majorEastAsia"/>
          <w:sz w:val="24"/>
          <w:szCs w:val="24"/>
        </w:rPr>
        <w:t xml:space="preserve">2.1 </w:t>
      </w:r>
      <w:r>
        <w:rPr>
          <w:rFonts w:hint="eastAsia" w:asciiTheme="majorEastAsia" w:hAnsiTheme="majorEastAsia" w:eastAsiaTheme="majorEastAsia"/>
          <w:sz w:val="24"/>
          <w:szCs w:val="24"/>
        </w:rPr>
        <w:t>初步评审标准</w:t>
      </w:r>
      <w:bookmarkEnd w:id="111"/>
      <w:bookmarkEnd w:id="112"/>
      <w:bookmarkEnd w:id="113"/>
    </w:p>
    <w:tbl>
      <w:tblPr>
        <w:tblStyle w:val="40"/>
        <w:tblW w:w="106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761"/>
        <w:gridCol w:w="3159"/>
        <w:gridCol w:w="5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exact"/>
          <w:jc w:val="center"/>
        </w:trPr>
        <w:tc>
          <w:tcPr>
            <w:tcW w:w="1009" w:type="dxa"/>
            <w:vAlign w:val="center"/>
          </w:tcPr>
          <w:p>
            <w:pPr>
              <w:spacing w:line="440" w:lineRule="exact"/>
              <w:jc w:val="center"/>
              <w:rPr>
                <w:rFonts w:asciiTheme="majorEastAsia" w:hAnsiTheme="majorEastAsia" w:eastAsiaTheme="majorEastAsia"/>
                <w:b/>
                <w:sz w:val="24"/>
                <w:szCs w:val="24"/>
              </w:rPr>
            </w:pPr>
            <w:bookmarkStart w:id="114" w:name="OLE_LINK4"/>
            <w:r>
              <w:rPr>
                <w:rFonts w:hint="eastAsia" w:asciiTheme="majorEastAsia" w:hAnsiTheme="majorEastAsia" w:eastAsiaTheme="majorEastAsia"/>
                <w:b/>
                <w:sz w:val="24"/>
                <w:szCs w:val="24"/>
              </w:rPr>
              <w:t>审查</w:t>
            </w:r>
          </w:p>
          <w:p>
            <w:pPr>
              <w:spacing w:line="44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主体</w:t>
            </w:r>
          </w:p>
        </w:tc>
        <w:tc>
          <w:tcPr>
            <w:tcW w:w="3920" w:type="dxa"/>
            <w:gridSpan w:val="2"/>
            <w:vAlign w:val="center"/>
          </w:tcPr>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评审因素</w:t>
            </w:r>
          </w:p>
        </w:tc>
        <w:tc>
          <w:tcPr>
            <w:tcW w:w="5674" w:type="dxa"/>
            <w:vAlign w:val="center"/>
          </w:tcPr>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009" w:type="dxa"/>
            <w:vMerge w:val="restart"/>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资格</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审查</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小组</w:t>
            </w:r>
          </w:p>
        </w:tc>
        <w:tc>
          <w:tcPr>
            <w:tcW w:w="761" w:type="dxa"/>
            <w:vMerge w:val="restart"/>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资</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格</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评</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审</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标</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准</w:t>
            </w:r>
          </w:p>
          <w:p>
            <w:pPr>
              <w:spacing w:line="440" w:lineRule="exact"/>
              <w:ind w:firstLine="480" w:firstLineChars="200"/>
              <w:rPr>
                <w:rFonts w:asciiTheme="majorEastAsia" w:hAnsiTheme="majorEastAsia" w:eastAsiaTheme="majorEastAsia"/>
                <w:sz w:val="24"/>
                <w:szCs w:val="24"/>
              </w:rPr>
            </w:pPr>
          </w:p>
        </w:tc>
        <w:tc>
          <w:tcPr>
            <w:tcW w:w="3159" w:type="dxa"/>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企业营业执照（副本）、税务登记证（副本）、组织机构代码证（副本）（或三证合一的营业执照）</w:t>
            </w:r>
          </w:p>
        </w:tc>
        <w:tc>
          <w:tcPr>
            <w:tcW w:w="5674" w:type="dxa"/>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具备有效的企业营业执照、税务登记证、组织机构代码证或三证合一的营业执照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特定资格要求</w:t>
            </w:r>
          </w:p>
        </w:tc>
        <w:tc>
          <w:tcPr>
            <w:tcW w:w="5674" w:type="dxa"/>
            <w:vAlign w:val="center"/>
          </w:tcPr>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符合第二章投标人须知前附表</w:t>
            </w:r>
            <w:r>
              <w:rPr>
                <w:rFonts w:asciiTheme="majorEastAsia" w:hAnsiTheme="majorEastAsia" w:eastAsiaTheme="majorEastAsia"/>
                <w:sz w:val="24"/>
                <w:szCs w:val="24"/>
              </w:rPr>
              <w:t>1.4.1</w:t>
            </w:r>
            <w:r>
              <w:rPr>
                <w:rFonts w:hint="eastAsia" w:asciiTheme="majorEastAsia" w:hAnsiTheme="majorEastAsia" w:eastAsiaTheme="maj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法定代表人身份证明或授权委托书及被授权人本人身份证</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法定代表人身份证明或授权委托书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参加政府采购活动前三年内无重大违法记录的书面声明</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符合第二章投标人须知前附表</w:t>
            </w:r>
            <w:r>
              <w:rPr>
                <w:rFonts w:asciiTheme="majorEastAsia" w:hAnsiTheme="majorEastAsia" w:eastAsiaTheme="majorEastAsia"/>
                <w:sz w:val="24"/>
                <w:szCs w:val="24"/>
              </w:rPr>
              <w:t>1.4.1</w:t>
            </w:r>
            <w:r>
              <w:rPr>
                <w:rFonts w:hint="eastAsia" w:asciiTheme="majorEastAsia" w:hAnsiTheme="majorEastAsia" w:eastAsiaTheme="maj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依法纳税凭证</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开标前六个月内任一个月依法缴纳税收的凭证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缴纳社会保障资金凭证</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开标前六个月内任一个月依法缴纳社会保障资金的证明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财务状况报告</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财务状况报告（投标文件递交截止日期前十二个月内任一个月的资产负债表或损益表或年度财务会计报 表或会计事务所出具的审计报告）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bottom"/>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无行贿犯罪承诺书</w:t>
            </w:r>
          </w:p>
        </w:tc>
        <w:tc>
          <w:tcPr>
            <w:tcW w:w="5674" w:type="dxa"/>
            <w:vAlign w:val="bottom"/>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符合第二章投标人须知前附表</w:t>
            </w:r>
            <w:r>
              <w:rPr>
                <w:rFonts w:asciiTheme="majorEastAsia" w:hAnsiTheme="majorEastAsia" w:eastAsiaTheme="majorEastAsia"/>
                <w:sz w:val="24"/>
                <w:szCs w:val="24"/>
              </w:rPr>
              <w:t>1.4.1</w:t>
            </w:r>
            <w:r>
              <w:rPr>
                <w:rFonts w:hint="eastAsia" w:asciiTheme="majorEastAsia" w:hAnsiTheme="majorEastAsia" w:eastAsiaTheme="maj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bottom"/>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信誉要求</w:t>
            </w:r>
          </w:p>
        </w:tc>
        <w:tc>
          <w:tcPr>
            <w:tcW w:w="5674" w:type="dxa"/>
            <w:vAlign w:val="bottom"/>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符合第二章投标人须知前附表</w:t>
            </w:r>
            <w:r>
              <w:rPr>
                <w:rFonts w:asciiTheme="majorEastAsia" w:hAnsiTheme="majorEastAsia" w:eastAsiaTheme="majorEastAsia"/>
                <w:sz w:val="24"/>
                <w:szCs w:val="24"/>
              </w:rPr>
              <w:t>1.4.1</w:t>
            </w:r>
            <w:r>
              <w:rPr>
                <w:rFonts w:hint="eastAsia" w:asciiTheme="majorEastAsia" w:hAnsiTheme="majorEastAsia" w:eastAsiaTheme="maj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restart"/>
            <w:vAlign w:val="center"/>
          </w:tcPr>
          <w:p>
            <w:pPr>
              <w:spacing w:line="440" w:lineRule="exact"/>
              <w:jc w:val="center"/>
              <w:rPr>
                <w:rFonts w:asciiTheme="majorEastAsia" w:hAnsiTheme="majorEastAsia" w:eastAsiaTheme="majorEastAsia"/>
                <w:sz w:val="24"/>
                <w:szCs w:val="24"/>
              </w:rPr>
            </w:pPr>
            <w:bookmarkStart w:id="115" w:name="OLE_LINK9"/>
            <w:bookmarkStart w:id="116" w:name="OLE_LINK10" w:colFirst="1" w:colLast="2"/>
            <w:r>
              <w:rPr>
                <w:rFonts w:hint="eastAsia" w:asciiTheme="majorEastAsia" w:hAnsiTheme="majorEastAsia" w:eastAsiaTheme="majorEastAsia"/>
                <w:sz w:val="24"/>
                <w:szCs w:val="24"/>
              </w:rPr>
              <w:t>评标</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委员会</w:t>
            </w:r>
          </w:p>
          <w:bookmarkEnd w:id="115"/>
        </w:tc>
        <w:tc>
          <w:tcPr>
            <w:tcW w:w="761" w:type="dxa"/>
            <w:vMerge w:val="restart"/>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符</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合</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性</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评</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审</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标</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准</w:t>
            </w:r>
          </w:p>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投标人名称</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投标函签字盖章</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由法定代表人或委托代理人签字并加盖单位公章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投标文件格式</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报价唯一</w:t>
            </w:r>
          </w:p>
        </w:tc>
        <w:tc>
          <w:tcPr>
            <w:tcW w:w="567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只能有一个有效报价</w:t>
            </w:r>
          </w:p>
        </w:tc>
      </w:tr>
      <w:bookmarkEnd w:id="1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bookmarkStart w:id="117" w:name="OLE_LINK11"/>
          </w:p>
          <w:bookmarkEnd w:id="117"/>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投标内容和技术标准</w:t>
            </w:r>
          </w:p>
        </w:tc>
        <w:tc>
          <w:tcPr>
            <w:tcW w:w="5674"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符合第四章招标项目技术参数及服务要求的规定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期限</w:t>
            </w:r>
          </w:p>
        </w:tc>
        <w:tc>
          <w:tcPr>
            <w:tcW w:w="5674"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符合第二章投标人须知前附表</w:t>
            </w:r>
            <w:r>
              <w:rPr>
                <w:rFonts w:asciiTheme="majorEastAsia" w:hAnsiTheme="majorEastAsia" w:eastAsiaTheme="majorEastAsia"/>
                <w:sz w:val="24"/>
                <w:szCs w:val="24"/>
              </w:rPr>
              <w:t>1.3.2</w:t>
            </w:r>
            <w:r>
              <w:rPr>
                <w:rFonts w:hint="eastAsia" w:asciiTheme="majorEastAsia" w:hAnsiTheme="majorEastAsia" w:eastAsiaTheme="maj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质保期</w:t>
            </w:r>
          </w:p>
        </w:tc>
        <w:tc>
          <w:tcPr>
            <w:tcW w:w="5674"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符合第二章投标人须知前附表</w:t>
            </w:r>
            <w:r>
              <w:rPr>
                <w:rFonts w:asciiTheme="majorEastAsia" w:hAnsiTheme="majorEastAsia" w:eastAsiaTheme="majorEastAsia"/>
                <w:sz w:val="24"/>
                <w:szCs w:val="24"/>
              </w:rPr>
              <w:t>1.3.4</w:t>
            </w:r>
            <w:r>
              <w:rPr>
                <w:rFonts w:hint="eastAsia" w:asciiTheme="majorEastAsia" w:hAnsiTheme="majorEastAsia" w:eastAsiaTheme="majorEastAsia"/>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质量要求</w:t>
            </w:r>
          </w:p>
        </w:tc>
        <w:tc>
          <w:tcPr>
            <w:tcW w:w="5674"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投标报价</w:t>
            </w:r>
          </w:p>
        </w:tc>
        <w:tc>
          <w:tcPr>
            <w:tcW w:w="5674"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只能有一个有效报价，且不能超过招标预算价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投标承诺函</w:t>
            </w:r>
          </w:p>
        </w:tc>
        <w:tc>
          <w:tcPr>
            <w:tcW w:w="5674"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符合第二章“投标人须知”第</w:t>
            </w:r>
            <w:r>
              <w:rPr>
                <w:rFonts w:asciiTheme="majorEastAsia" w:hAnsiTheme="majorEastAsia" w:eastAsiaTheme="majorEastAsia"/>
                <w:sz w:val="24"/>
                <w:szCs w:val="24"/>
              </w:rPr>
              <w:t xml:space="preserve"> 3.5.1 </w:t>
            </w:r>
            <w:r>
              <w:rPr>
                <w:rFonts w:hint="eastAsia" w:asciiTheme="majorEastAsia" w:hAnsiTheme="majorEastAsia" w:eastAsiaTheme="majorEastAsia"/>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投标有效期</w:t>
            </w:r>
          </w:p>
        </w:tc>
        <w:tc>
          <w:tcPr>
            <w:tcW w:w="5674"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投标文件递交截止日起</w:t>
            </w:r>
            <w:r>
              <w:rPr>
                <w:rFonts w:asciiTheme="majorEastAsia" w:hAnsiTheme="majorEastAsia" w:eastAsiaTheme="majorEastAsia"/>
                <w:sz w:val="24"/>
                <w:szCs w:val="24"/>
              </w:rPr>
              <w:t>60</w:t>
            </w:r>
            <w:r>
              <w:rPr>
                <w:rFonts w:hint="eastAsia" w:asciiTheme="majorEastAsia" w:hAnsiTheme="majorEastAsia" w:eastAsiaTheme="majorEastAsia"/>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exact"/>
          <w:jc w:val="center"/>
        </w:trPr>
        <w:tc>
          <w:tcPr>
            <w:tcW w:w="1009"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761" w:type="dxa"/>
            <w:vMerge w:val="continue"/>
            <w:vAlign w:val="center"/>
          </w:tcPr>
          <w:p>
            <w:pPr>
              <w:spacing w:line="440" w:lineRule="exact"/>
              <w:ind w:firstLine="480" w:firstLineChars="200"/>
              <w:rPr>
                <w:rFonts w:asciiTheme="majorEastAsia" w:hAnsiTheme="majorEastAsia" w:eastAsiaTheme="majorEastAsia"/>
                <w:sz w:val="24"/>
                <w:szCs w:val="24"/>
              </w:rPr>
            </w:pPr>
          </w:p>
        </w:tc>
        <w:tc>
          <w:tcPr>
            <w:tcW w:w="3159"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投标文件的其他响应</w:t>
            </w:r>
          </w:p>
        </w:tc>
        <w:tc>
          <w:tcPr>
            <w:tcW w:w="5674" w:type="dxa"/>
            <w:vAlign w:val="center"/>
          </w:tcPr>
          <w:p>
            <w:pPr>
              <w:spacing w:line="440" w:lineRule="exact"/>
              <w:jc w:val="left"/>
              <w:rPr>
                <w:rFonts w:asciiTheme="majorEastAsia" w:hAnsiTheme="majorEastAsia" w:eastAsiaTheme="majorEastAsia"/>
                <w:sz w:val="24"/>
                <w:szCs w:val="24"/>
              </w:rPr>
            </w:pPr>
            <w:r>
              <w:rPr>
                <w:rFonts w:hint="eastAsia" w:asciiTheme="majorEastAsia" w:hAnsiTheme="majorEastAsia" w:eastAsiaTheme="majorEastAsia"/>
                <w:sz w:val="24"/>
                <w:szCs w:val="24"/>
              </w:rPr>
              <w:t>符合法律、法规和招标文件中规定的其他实质性要求的</w:t>
            </w:r>
          </w:p>
        </w:tc>
      </w:tr>
      <w:bookmarkEnd w:id="114"/>
    </w:tbl>
    <w:p>
      <w:pPr>
        <w:spacing w:line="440" w:lineRule="exact"/>
        <w:ind w:firstLine="480" w:firstLineChars="200"/>
        <w:rPr>
          <w:rFonts w:asciiTheme="majorEastAsia" w:hAnsiTheme="majorEastAsia" w:eastAsiaTheme="majorEastAsia"/>
          <w:b/>
          <w:sz w:val="24"/>
          <w:szCs w:val="24"/>
        </w:rPr>
      </w:pPr>
      <w:bookmarkStart w:id="118" w:name="_Toc27148132"/>
      <w:bookmarkStart w:id="119" w:name="_Toc4213"/>
      <w:bookmarkStart w:id="120" w:name="_Toc31569"/>
      <w:r>
        <w:rPr>
          <w:rFonts w:asciiTheme="majorEastAsia" w:hAnsiTheme="majorEastAsia" w:eastAsiaTheme="majorEastAsia"/>
          <w:b/>
          <w:sz w:val="24"/>
          <w:szCs w:val="24"/>
        </w:rPr>
        <w:t>2.2</w:t>
      </w:r>
      <w:r>
        <w:rPr>
          <w:rFonts w:hint="eastAsia" w:asciiTheme="majorEastAsia" w:hAnsiTheme="majorEastAsia" w:eastAsiaTheme="majorEastAsia"/>
          <w:b/>
          <w:sz w:val="24"/>
          <w:szCs w:val="24"/>
        </w:rPr>
        <w:t>评分标准：</w:t>
      </w:r>
      <w:bookmarkEnd w:id="118"/>
      <w:bookmarkEnd w:id="119"/>
      <w:bookmarkStart w:id="121" w:name="_Toc27148133"/>
      <w:bookmarkStart w:id="122" w:name="_Toc8579"/>
    </w:p>
    <w:tbl>
      <w:tblPr>
        <w:tblStyle w:val="40"/>
        <w:tblW w:w="10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55"/>
        <w:gridCol w:w="817"/>
        <w:gridCol w:w="6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3549" w:type="dxa"/>
            <w:gridSpan w:val="3"/>
            <w:vAlign w:val="center"/>
          </w:tcPr>
          <w:p>
            <w:pPr>
              <w:spacing w:line="44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分值构成</w:t>
            </w:r>
          </w:p>
          <w:p>
            <w:pPr>
              <w:spacing w:line="44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（总分100分）</w:t>
            </w:r>
          </w:p>
        </w:tc>
        <w:tc>
          <w:tcPr>
            <w:tcW w:w="6643" w:type="dxa"/>
            <w:vAlign w:val="top"/>
          </w:tcPr>
          <w:p>
            <w:pPr>
              <w:spacing w:line="440" w:lineRule="exac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投标报价：</w:t>
            </w:r>
            <w:r>
              <w:rPr>
                <w:rFonts w:hint="eastAsia" w:asciiTheme="majorEastAsia" w:hAnsiTheme="majorEastAsia" w:eastAsiaTheme="majorEastAsia"/>
                <w:sz w:val="24"/>
                <w:szCs w:val="24"/>
                <w:lang w:val="en-US" w:eastAsia="zh-CN"/>
              </w:rPr>
              <w:t>30</w:t>
            </w:r>
            <w:r>
              <w:rPr>
                <w:rFonts w:hint="eastAsia" w:asciiTheme="majorEastAsia" w:hAnsiTheme="majorEastAsia" w:eastAsiaTheme="majorEastAsia"/>
                <w:sz w:val="24"/>
                <w:szCs w:val="24"/>
              </w:rPr>
              <w:t xml:space="preserve"> 分</w:t>
            </w:r>
            <w:r>
              <w:rPr>
                <w:rFonts w:hint="eastAsia" w:asciiTheme="majorEastAsia" w:hAnsiTheme="majorEastAsia" w:eastAsiaTheme="majorEastAsia"/>
                <w:sz w:val="24"/>
                <w:szCs w:val="24"/>
                <w:lang w:val="en-US" w:eastAsia="zh-CN"/>
              </w:rPr>
              <w:t xml:space="preserve">   </w:t>
            </w:r>
          </w:p>
          <w:p>
            <w:pPr>
              <w:spacing w:line="440" w:lineRule="exact"/>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商务部分：</w:t>
            </w:r>
            <w:r>
              <w:rPr>
                <w:rFonts w:hint="eastAsia" w:asciiTheme="majorEastAsia" w:hAnsiTheme="majorEastAsia" w:eastAsiaTheme="majorEastAsia"/>
                <w:sz w:val="24"/>
                <w:szCs w:val="24"/>
                <w:lang w:val="en-US" w:eastAsia="zh-CN"/>
              </w:rPr>
              <w:t>35</w:t>
            </w:r>
            <w:r>
              <w:rPr>
                <w:rFonts w:hint="eastAsia" w:asciiTheme="majorEastAsia" w:hAnsiTheme="majorEastAsia" w:eastAsiaTheme="majorEastAsia"/>
                <w:sz w:val="24"/>
                <w:szCs w:val="24"/>
              </w:rPr>
              <w:t>分</w:t>
            </w:r>
            <w:r>
              <w:rPr>
                <w:rFonts w:hint="eastAsia" w:asciiTheme="majorEastAsia" w:hAnsiTheme="majorEastAsia" w:eastAsiaTheme="majorEastAsia"/>
                <w:sz w:val="24"/>
                <w:szCs w:val="24"/>
                <w:lang w:val="en-US" w:eastAsia="zh-CN"/>
              </w:rPr>
              <w:t xml:space="preserve">   </w:t>
            </w:r>
          </w:p>
          <w:p>
            <w:pPr>
              <w:spacing w:line="440" w:lineRule="exact"/>
              <w:rPr>
                <w:rFonts w:hint="eastAsia" w:asciiTheme="majorEastAsia" w:hAnsiTheme="majorEastAsia" w:eastAsiaTheme="majorEastAsia"/>
                <w:sz w:val="24"/>
                <w:szCs w:val="24"/>
              </w:rPr>
            </w:pPr>
            <w:r>
              <w:rPr>
                <w:rFonts w:hint="default" w:asciiTheme="majorEastAsia" w:hAnsiTheme="majorEastAsia" w:eastAsiaTheme="majorEastAsia"/>
                <w:sz w:val="24"/>
                <w:szCs w:val="24"/>
              </w:rPr>
              <w:t>技术</w:t>
            </w:r>
            <w:r>
              <w:rPr>
                <w:rFonts w:hint="eastAsia" w:asciiTheme="majorEastAsia" w:hAnsiTheme="majorEastAsia" w:eastAsiaTheme="majorEastAsia"/>
                <w:sz w:val="24"/>
                <w:szCs w:val="24"/>
              </w:rPr>
              <w:t>部分：</w:t>
            </w:r>
            <w:r>
              <w:rPr>
                <w:rFonts w:hint="eastAsia" w:asciiTheme="majorEastAsia" w:hAnsiTheme="majorEastAsia" w:eastAsiaTheme="majorEastAsia"/>
                <w:sz w:val="24"/>
                <w:szCs w:val="24"/>
                <w:lang w:val="en-US" w:eastAsia="zh-CN"/>
              </w:rPr>
              <w:t>35</w:t>
            </w:r>
            <w:r>
              <w:rPr>
                <w:rFonts w:hint="eastAsia" w:asciiTheme="majorEastAsia" w:hAnsiTheme="majorEastAsia" w:eastAsiaTheme="maj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277" w:type="dxa"/>
            <w:vAlign w:val="center"/>
          </w:tcPr>
          <w:p>
            <w:pPr>
              <w:spacing w:line="44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类别</w:t>
            </w:r>
          </w:p>
        </w:tc>
        <w:tc>
          <w:tcPr>
            <w:tcW w:w="1455" w:type="dxa"/>
            <w:vAlign w:val="center"/>
          </w:tcPr>
          <w:p>
            <w:pPr>
              <w:spacing w:line="44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评审因素</w:t>
            </w:r>
          </w:p>
        </w:tc>
        <w:tc>
          <w:tcPr>
            <w:tcW w:w="817" w:type="dxa"/>
            <w:vAlign w:val="center"/>
          </w:tcPr>
          <w:p>
            <w:pPr>
              <w:spacing w:line="44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分值</w:t>
            </w:r>
          </w:p>
        </w:tc>
        <w:tc>
          <w:tcPr>
            <w:tcW w:w="6643" w:type="dxa"/>
            <w:vAlign w:val="center"/>
          </w:tcPr>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277"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投标报价（</w:t>
            </w:r>
            <w:r>
              <w:rPr>
                <w:rFonts w:asciiTheme="majorEastAsia" w:hAnsiTheme="majorEastAsia" w:eastAsiaTheme="majorEastAsia"/>
                <w:sz w:val="24"/>
                <w:szCs w:val="24"/>
              </w:rPr>
              <w:t>30</w:t>
            </w:r>
            <w:r>
              <w:rPr>
                <w:rFonts w:hint="eastAsia" w:asciiTheme="majorEastAsia" w:hAnsiTheme="majorEastAsia" w:eastAsiaTheme="majorEastAsia"/>
                <w:sz w:val="24"/>
                <w:szCs w:val="24"/>
              </w:rPr>
              <w:t>分）</w:t>
            </w:r>
          </w:p>
        </w:tc>
        <w:tc>
          <w:tcPr>
            <w:tcW w:w="1455"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报价得分</w:t>
            </w:r>
          </w:p>
        </w:tc>
        <w:tc>
          <w:tcPr>
            <w:tcW w:w="817" w:type="dxa"/>
            <w:vAlign w:val="center"/>
          </w:tcPr>
          <w:p>
            <w:pPr>
              <w:spacing w:line="440" w:lineRule="exact"/>
              <w:jc w:val="center"/>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30</w:t>
            </w:r>
            <w:r>
              <w:rPr>
                <w:rFonts w:hint="eastAsia" w:asciiTheme="majorEastAsia" w:hAnsiTheme="majorEastAsia" w:eastAsiaTheme="majorEastAsia"/>
                <w:color w:val="000000" w:themeColor="text1"/>
                <w:sz w:val="24"/>
                <w:szCs w:val="24"/>
                <w14:textFill>
                  <w14:solidFill>
                    <w14:schemeClr w14:val="tx1"/>
                  </w14:solidFill>
                </w14:textFill>
              </w:rPr>
              <w:t>分</w:t>
            </w:r>
          </w:p>
        </w:tc>
        <w:tc>
          <w:tcPr>
            <w:tcW w:w="6643" w:type="dxa"/>
            <w:vAlign w:val="top"/>
          </w:tcPr>
          <w:p>
            <w:pPr>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满足招标文件要求且价格最低的报价为评标基准价，其价格分为满分（即30分）。其他投标人的价格分统一按照下列公式计算：</w:t>
            </w:r>
          </w:p>
          <w:p>
            <w:pPr>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投标报价得分=(评标基准价／投标报价)×30</w:t>
            </w:r>
          </w:p>
          <w:p>
            <w:pPr>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以上计算过程中按四舍五入保留两位小数。</w:t>
            </w:r>
          </w:p>
          <w:p>
            <w:pPr>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经评标委员会全体认定低于成本报价的投标将被废标，其报价不作为评分依据。</w:t>
            </w:r>
          </w:p>
          <w:p>
            <w:pPr>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注：1、根据《政府采购促进中小企业发展暂行办法》的相关规定，对小型和微型企业制造（生产）产品的价格给予6%的扣除，用扣除后的价格参与评审。</w:t>
            </w:r>
          </w:p>
          <w:p>
            <w:pPr>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监狱企业与小微企业享受同样待遇。</w:t>
            </w:r>
          </w:p>
          <w:p>
            <w:pPr>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若供应商既是小微企业也是监狱企业，只给予一次6%的扣除，不叠加计算。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jc w:val="center"/>
        </w:trPr>
        <w:tc>
          <w:tcPr>
            <w:tcW w:w="1277" w:type="dxa"/>
            <w:vMerge w:val="restart"/>
            <w:vAlign w:val="center"/>
          </w:tcPr>
          <w:p>
            <w:pPr>
              <w:spacing w:line="44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商务部分（</w:t>
            </w:r>
            <w:r>
              <w:rPr>
                <w:rFonts w:hint="eastAsia" w:asciiTheme="majorEastAsia" w:hAnsiTheme="majorEastAsia" w:eastAsiaTheme="majorEastAsia"/>
                <w:sz w:val="24"/>
                <w:szCs w:val="24"/>
                <w:lang w:val="en-US" w:eastAsia="zh-CN"/>
              </w:rPr>
              <w:t>35</w:t>
            </w:r>
            <w:r>
              <w:rPr>
                <w:rFonts w:hint="eastAsia" w:asciiTheme="majorEastAsia" w:hAnsiTheme="majorEastAsia" w:eastAsiaTheme="majorEastAsia"/>
                <w:sz w:val="24"/>
                <w:szCs w:val="24"/>
              </w:rPr>
              <w:t>分）</w:t>
            </w:r>
          </w:p>
        </w:tc>
        <w:tc>
          <w:tcPr>
            <w:tcW w:w="1455" w:type="dxa"/>
            <w:vAlign w:val="center"/>
          </w:tcPr>
          <w:p>
            <w:pPr>
              <w:spacing w:line="440" w:lineRule="exact"/>
              <w:jc w:val="center"/>
              <w:rPr>
                <w:rFonts w:hint="eastAsia" w:asciiTheme="majorEastAsia" w:hAnsiTheme="majorEastAsia" w:eastAsiaTheme="majorEastAsia"/>
                <w:sz w:val="24"/>
                <w:szCs w:val="24"/>
              </w:rPr>
            </w:pPr>
            <w:r>
              <w:rPr>
                <w:rFonts w:hint="eastAsia" w:ascii="宋体" w:hAnsi="宋体" w:cs="宋体"/>
                <w:b w:val="0"/>
                <w:bCs w:val="0"/>
                <w:color w:val="auto"/>
                <w:sz w:val="21"/>
                <w:szCs w:val="21"/>
                <w:highlight w:val="none"/>
                <w:lang w:val="en-US" w:eastAsia="zh-CN"/>
              </w:rPr>
              <w:t>企业实力</w:t>
            </w:r>
          </w:p>
        </w:tc>
        <w:tc>
          <w:tcPr>
            <w:tcW w:w="817" w:type="dxa"/>
            <w:vAlign w:val="center"/>
          </w:tcPr>
          <w:p>
            <w:pPr>
              <w:spacing w:line="440" w:lineRule="exact"/>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10分</w:t>
            </w:r>
          </w:p>
        </w:tc>
        <w:tc>
          <w:tcPr>
            <w:tcW w:w="6643" w:type="dxa"/>
            <w:vAlign w:val="center"/>
          </w:tcPr>
          <w:p>
            <w:pPr>
              <w:spacing w:line="440" w:lineRule="exact"/>
              <w:rPr>
                <w:rFonts w:hint="eastAsia" w:asciiTheme="majorEastAsia" w:hAnsiTheme="majorEastAsia" w:eastAsiaTheme="majorEastAsia"/>
                <w:sz w:val="24"/>
                <w:szCs w:val="24"/>
              </w:rPr>
            </w:pPr>
            <w:r>
              <w:rPr>
                <w:rFonts w:hint="eastAsia"/>
              </w:rPr>
              <w:t>1</w:t>
            </w:r>
            <w:r>
              <w:rPr>
                <w:rFonts w:hint="eastAsia" w:asciiTheme="majorEastAsia" w:hAnsiTheme="majorEastAsia" w:eastAsiaTheme="majorEastAsia"/>
                <w:sz w:val="24"/>
                <w:szCs w:val="24"/>
              </w:rPr>
              <w:t>、投标人或投标制造厂家具有质量管理体系认证证书， 环境管理体系认证证书， 职业健康安全管理体系认证证书，得3分，缺任一项不得分。（投标文件中应附原件扫描件）；</w:t>
            </w:r>
          </w:p>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2、投标人或投标制造厂家信誉等级为AAA级的得</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分，信誉等级为AA级的得1分，信誉等级为AA级的以下的不得分（投标文件中应附原件扫描件）；</w:t>
            </w:r>
          </w:p>
          <w:p>
            <w:pPr>
              <w:spacing w:line="440" w:lineRule="exact"/>
              <w:rPr>
                <w:rFonts w:hint="default" w:eastAsiaTheme="majorEastAsia"/>
                <w:lang w:val="en-US" w:eastAsia="zh-CN"/>
              </w:rPr>
            </w:pPr>
            <w:r>
              <w:rPr>
                <w:rFonts w:hint="eastAsia" w:asciiTheme="majorEastAsia" w:hAnsiTheme="majorEastAsia" w:eastAsiaTheme="majorEastAsia"/>
                <w:sz w:val="24"/>
                <w:szCs w:val="24"/>
                <w:lang w:val="en-US" w:eastAsia="zh-CN"/>
              </w:rPr>
              <w:t>3.投标人</w:t>
            </w:r>
            <w:r>
              <w:rPr>
                <w:rFonts w:hint="eastAsia" w:asciiTheme="majorEastAsia" w:hAnsiTheme="majorEastAsia" w:eastAsiaTheme="majorEastAsia"/>
                <w:sz w:val="24"/>
                <w:szCs w:val="24"/>
              </w:rPr>
              <w:t>或投标制造厂家</w:t>
            </w:r>
            <w:r>
              <w:rPr>
                <w:rFonts w:hint="eastAsia" w:asciiTheme="majorEastAsia" w:hAnsiTheme="majorEastAsia" w:eastAsiaTheme="majorEastAsia"/>
                <w:sz w:val="24"/>
                <w:szCs w:val="24"/>
                <w:lang w:val="en-US" w:eastAsia="zh-CN"/>
              </w:rPr>
              <w:t>近三年获得有全国政府采购十佳供应商的得4分。（投标文件中应附证书原件扫描件</w:t>
            </w:r>
            <w:r>
              <w:rPr>
                <w:rFonts w:hint="eastAsia" w:cs="Times New Roman" w:asciiTheme="majorEastAsia" w:hAnsiTheme="majorEastAsia" w:eastAsiaTheme="majorEastAsia"/>
                <w:color w:val="000000" w:themeColor="text1"/>
                <w:sz w:val="24"/>
                <w:szCs w:val="24"/>
                <w14:textFill>
                  <w14:solidFill>
                    <w14:schemeClr w14:val="tx1"/>
                  </w14:solidFill>
                </w14:textFill>
              </w:rPr>
              <w:t>并加盖电子签章</w:t>
            </w:r>
            <w:r>
              <w:rPr>
                <w:rFonts w:hint="eastAsia" w:asciiTheme="majorEastAsia" w:hAnsiTheme="majorEastAsia" w:eastAsiaTheme="major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77" w:type="dxa"/>
            <w:vMerge w:val="continue"/>
            <w:vAlign w:val="center"/>
          </w:tcPr>
          <w:p>
            <w:pPr>
              <w:spacing w:line="440" w:lineRule="exact"/>
              <w:jc w:val="center"/>
              <w:rPr>
                <w:rFonts w:hint="eastAsia" w:asciiTheme="majorEastAsia" w:hAnsiTheme="majorEastAsia" w:eastAsiaTheme="majorEastAsia"/>
                <w:sz w:val="24"/>
                <w:szCs w:val="24"/>
              </w:rPr>
            </w:pPr>
          </w:p>
        </w:tc>
        <w:tc>
          <w:tcPr>
            <w:tcW w:w="1455" w:type="dxa"/>
            <w:vAlign w:val="center"/>
          </w:tcPr>
          <w:p>
            <w:pPr>
              <w:spacing w:line="440" w:lineRule="exact"/>
              <w:jc w:val="center"/>
              <w:rPr>
                <w:rFonts w:hint="eastAsia" w:asciiTheme="majorEastAsia" w:hAnsiTheme="majorEastAsia" w:eastAsiaTheme="majorEastAsia"/>
                <w:sz w:val="24"/>
                <w:szCs w:val="24"/>
              </w:rPr>
            </w:pPr>
            <w:r>
              <w:rPr>
                <w:rFonts w:hint="eastAsia" w:ascii="宋体" w:hAnsi="宋体" w:cs="宋体"/>
                <w:color w:val="auto"/>
                <w:sz w:val="21"/>
                <w:szCs w:val="21"/>
                <w:highlight w:val="none"/>
                <w:lang w:val="en-US" w:eastAsia="zh-CN"/>
              </w:rPr>
              <w:t>业绩</w:t>
            </w:r>
          </w:p>
        </w:tc>
        <w:tc>
          <w:tcPr>
            <w:tcW w:w="817" w:type="dxa"/>
            <w:vAlign w:val="center"/>
          </w:tcPr>
          <w:p>
            <w:pPr>
              <w:spacing w:line="440" w:lineRule="exact"/>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6分</w:t>
            </w:r>
          </w:p>
        </w:tc>
        <w:tc>
          <w:tcPr>
            <w:tcW w:w="6643" w:type="dxa"/>
            <w:vAlign w:val="center"/>
          </w:tcPr>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投标人或投标制造厂家提供201</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年1月1日以来类似项目合同的，包含供货、安装及售后服务，每有一项得1分，最高得</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分。</w:t>
            </w:r>
            <w:r>
              <w:rPr>
                <w:rFonts w:hint="eastAsia" w:asciiTheme="majorEastAsia" w:hAnsiTheme="majorEastAsia" w:eastAsiaTheme="majorEastAsia"/>
                <w:sz w:val="24"/>
                <w:szCs w:val="24"/>
                <w:lang w:val="en-US" w:eastAsia="zh-CN"/>
              </w:rPr>
              <w:t>(</w:t>
            </w:r>
            <w:r>
              <w:rPr>
                <w:rFonts w:hint="eastAsia" w:asciiTheme="majorEastAsia" w:hAnsiTheme="majorEastAsia" w:eastAsiaTheme="majorEastAsia"/>
                <w:color w:val="000000" w:themeColor="text1"/>
                <w:sz w:val="24"/>
                <w:szCs w:val="24"/>
                <w14:textFill>
                  <w14:solidFill>
                    <w14:schemeClr w14:val="tx1"/>
                  </w14:solidFill>
                </w14:textFill>
              </w:rPr>
              <w:t>投标文件中应附和所投品牌一致的合同</w:t>
            </w:r>
            <w:r>
              <w:rPr>
                <w:rFonts w:hint="eastAsia" w:asciiTheme="majorEastAsia" w:hAnsiTheme="majorEastAsia" w:eastAsiaTheme="majorEastAsia"/>
                <w:color w:val="000000" w:themeColor="text1"/>
                <w:sz w:val="24"/>
                <w:szCs w:val="24"/>
                <w:lang w:eastAsia="zh-CN"/>
                <w14:textFill>
                  <w14:solidFill>
                    <w14:schemeClr w14:val="tx1"/>
                  </w14:solidFill>
                </w14:textFill>
              </w:rPr>
              <w:t>原件扫描</w:t>
            </w:r>
            <w:r>
              <w:rPr>
                <w:rFonts w:hint="eastAsia" w:asciiTheme="majorEastAsia" w:hAnsiTheme="majorEastAsia" w:eastAsiaTheme="majorEastAsia"/>
                <w:color w:val="000000" w:themeColor="text1"/>
                <w:sz w:val="24"/>
                <w:szCs w:val="24"/>
                <w14:textFill>
                  <w14:solidFill>
                    <w14:schemeClr w14:val="tx1"/>
                  </w14:solidFill>
                </w14:textFill>
              </w:rPr>
              <w:t>件</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7" w:hRule="atLeast"/>
          <w:jc w:val="center"/>
        </w:trPr>
        <w:tc>
          <w:tcPr>
            <w:tcW w:w="1277" w:type="dxa"/>
            <w:vMerge w:val="continue"/>
            <w:vAlign w:val="center"/>
          </w:tcPr>
          <w:p>
            <w:pPr>
              <w:spacing w:line="440" w:lineRule="exact"/>
              <w:jc w:val="center"/>
              <w:rPr>
                <w:rFonts w:hint="eastAsia" w:asciiTheme="majorEastAsia" w:hAnsiTheme="majorEastAsia" w:eastAsiaTheme="majorEastAsia"/>
                <w:sz w:val="24"/>
                <w:szCs w:val="24"/>
              </w:rPr>
            </w:pPr>
          </w:p>
        </w:tc>
        <w:tc>
          <w:tcPr>
            <w:tcW w:w="1455" w:type="dxa"/>
            <w:vAlign w:val="center"/>
          </w:tcPr>
          <w:p>
            <w:pPr>
              <w:spacing w:line="44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产品优势</w:t>
            </w:r>
          </w:p>
        </w:tc>
        <w:tc>
          <w:tcPr>
            <w:tcW w:w="817" w:type="dxa"/>
            <w:vAlign w:val="center"/>
          </w:tcPr>
          <w:p>
            <w:pPr>
              <w:spacing w:line="440" w:lineRule="exact"/>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19分</w:t>
            </w:r>
          </w:p>
        </w:tc>
        <w:tc>
          <w:tcPr>
            <w:tcW w:w="6643" w:type="dxa"/>
            <w:vAlign w:val="center"/>
          </w:tcPr>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1.所投产品制造商获得省级以上高新技术企业证书的，得</w:t>
            </w:r>
            <w:r>
              <w:rPr>
                <w:rFonts w:hint="eastAsia" w:asciiTheme="majorEastAsia" w:hAnsiTheme="majorEastAsia" w:eastAsiaTheme="majorEastAsia"/>
                <w:sz w:val="24"/>
                <w:szCs w:val="24"/>
                <w:lang w:val="en-US" w:eastAsia="zh-CN"/>
              </w:rPr>
              <w:t>3分</w:t>
            </w:r>
            <w:r>
              <w:rPr>
                <w:rFonts w:hint="eastAsia" w:asciiTheme="majorEastAsia" w:hAnsiTheme="majorEastAsia" w:eastAsiaTheme="majorEastAsia"/>
                <w:sz w:val="24"/>
                <w:szCs w:val="24"/>
              </w:rPr>
              <w:t>；（</w:t>
            </w:r>
            <w:r>
              <w:rPr>
                <w:rFonts w:hint="eastAsia" w:asciiTheme="majorEastAsia" w:hAnsiTheme="majorEastAsia" w:eastAsiaTheme="majorEastAsia"/>
                <w:color w:val="000000" w:themeColor="text1"/>
                <w:sz w:val="24"/>
                <w:szCs w:val="24"/>
                <w14:textFill>
                  <w14:solidFill>
                    <w14:schemeClr w14:val="tx1"/>
                  </w14:solidFill>
                </w14:textFill>
              </w:rPr>
              <w:t>投标文件中应附原件扫描件</w:t>
            </w:r>
            <w:r>
              <w:rPr>
                <w:rFonts w:hint="eastAsia" w:cs="Times New Roman" w:asciiTheme="majorEastAsia" w:hAnsiTheme="majorEastAsia" w:eastAsiaTheme="majorEastAsia"/>
                <w:color w:val="000000" w:themeColor="text1"/>
                <w:sz w:val="24"/>
                <w:szCs w:val="24"/>
                <w14:textFill>
                  <w14:solidFill>
                    <w14:schemeClr w14:val="tx1"/>
                  </w14:solidFill>
                </w14:textFill>
              </w:rPr>
              <w:t>并加盖电子签章</w:t>
            </w:r>
            <w:r>
              <w:rPr>
                <w:rFonts w:hint="eastAsia" w:asciiTheme="majorEastAsia" w:hAnsiTheme="majorEastAsia" w:eastAsiaTheme="majorEastAsia"/>
                <w:color w:val="000000" w:themeColor="text1"/>
                <w:sz w:val="24"/>
                <w:szCs w:val="24"/>
                <w14:textFill>
                  <w14:solidFill>
                    <w14:schemeClr w14:val="tx1"/>
                  </w14:solidFill>
                </w14:textFill>
              </w:rPr>
              <w:t>）</w:t>
            </w:r>
          </w:p>
          <w:p>
            <w:pPr>
              <w:spacing w:line="440" w:lineRule="exact"/>
              <w:rPr>
                <w:rFonts w:hint="eastAsia"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2.供应商所投货物关键部件有新工艺、新技术使用，并提供说明及证明材料，得</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olor w:val="000000" w:themeColor="text1"/>
                <w:sz w:val="24"/>
                <w:szCs w:val="24"/>
                <w14:textFill>
                  <w14:solidFill>
                    <w14:schemeClr w14:val="tx1"/>
                  </w14:solidFill>
                </w14:textFill>
              </w:rPr>
              <w:t>分。</w:t>
            </w:r>
            <w:r>
              <w:rPr>
                <w:rFonts w:hint="eastAsia" w:asciiTheme="majorEastAsia" w:hAnsiTheme="majorEastAsia" w:eastAsiaTheme="majorEastAsia"/>
                <w:sz w:val="24"/>
                <w:szCs w:val="24"/>
              </w:rPr>
              <w:t>（</w:t>
            </w:r>
            <w:r>
              <w:rPr>
                <w:rFonts w:hint="eastAsia" w:asciiTheme="majorEastAsia" w:hAnsiTheme="majorEastAsia" w:eastAsiaTheme="majorEastAsia"/>
                <w:color w:val="000000" w:themeColor="text1"/>
                <w:sz w:val="24"/>
                <w:szCs w:val="24"/>
                <w14:textFill>
                  <w14:solidFill>
                    <w14:schemeClr w14:val="tx1"/>
                  </w14:solidFill>
                </w14:textFill>
              </w:rPr>
              <w:t>投标文件中应附</w:t>
            </w:r>
            <w:r>
              <w:rPr>
                <w:rFonts w:hint="eastAsia" w:cs="Times New Roman" w:asciiTheme="majorEastAsia" w:hAnsiTheme="majorEastAsia" w:eastAsiaTheme="majorEastAsia"/>
                <w:color w:val="000000" w:themeColor="text1"/>
                <w:sz w:val="24"/>
                <w:szCs w:val="24"/>
                <w14:textFill>
                  <w14:solidFill>
                    <w14:schemeClr w14:val="tx1"/>
                  </w14:solidFill>
                </w14:textFill>
              </w:rPr>
              <w:t>相关证明材料扫描件并加盖电子签章</w:t>
            </w:r>
            <w:r>
              <w:rPr>
                <w:rFonts w:hint="eastAsia" w:asciiTheme="majorEastAsia" w:hAnsiTheme="majorEastAsia" w:eastAsiaTheme="majorEastAsia"/>
                <w:color w:val="000000" w:themeColor="text1"/>
                <w:sz w:val="24"/>
                <w:szCs w:val="24"/>
                <w14:textFill>
                  <w14:solidFill>
                    <w14:schemeClr w14:val="tx1"/>
                  </w14:solidFill>
                </w14:textFill>
              </w:rPr>
              <w:t>）</w:t>
            </w:r>
          </w:p>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3.投标电梯品牌的曳引机、控制系统、门机系统、安全钳、限速器、缓冲器与投标品牌为同一品牌且原装生产的得1</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分，缺项不得分。（</w:t>
            </w:r>
            <w:r>
              <w:rPr>
                <w:rFonts w:hint="eastAsia" w:asciiTheme="majorEastAsia" w:hAnsiTheme="majorEastAsia" w:eastAsiaTheme="majorEastAsia"/>
                <w:color w:val="000000" w:themeColor="text1"/>
                <w:sz w:val="24"/>
                <w:szCs w:val="24"/>
                <w14:textFill>
                  <w14:solidFill>
                    <w14:schemeClr w14:val="tx1"/>
                  </w14:solidFill>
                </w14:textFill>
              </w:rPr>
              <w:t>投标文件中应附</w:t>
            </w:r>
            <w:r>
              <w:rPr>
                <w:rFonts w:hint="eastAsia" w:cs="Times New Roman" w:asciiTheme="majorEastAsia" w:hAnsiTheme="majorEastAsia" w:eastAsiaTheme="majorEastAsia"/>
                <w:color w:val="000000" w:themeColor="text1"/>
                <w:sz w:val="24"/>
                <w:szCs w:val="24"/>
                <w14:textFill>
                  <w14:solidFill>
                    <w14:schemeClr w14:val="tx1"/>
                  </w14:solidFill>
                </w14:textFill>
              </w:rPr>
              <w:t>相关证明材料扫描件并加盖电子签章）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277" w:type="dxa"/>
            <w:vMerge w:val="restart"/>
            <w:vAlign w:val="center"/>
          </w:tcPr>
          <w:p>
            <w:pPr>
              <w:spacing w:line="440" w:lineRule="exact"/>
              <w:jc w:val="center"/>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rPr>
              <w:t>技术</w:t>
            </w:r>
            <w:r>
              <w:rPr>
                <w:rFonts w:hint="eastAsia" w:asciiTheme="majorEastAsia" w:hAnsiTheme="majorEastAsia" w:eastAsiaTheme="majorEastAsia"/>
                <w:sz w:val="24"/>
                <w:szCs w:val="24"/>
                <w:lang w:eastAsia="zh-CN"/>
              </w:rPr>
              <w:t>部分</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35</w:t>
            </w:r>
            <w:r>
              <w:rPr>
                <w:rFonts w:hint="eastAsia" w:asciiTheme="majorEastAsia" w:hAnsiTheme="majorEastAsia" w:eastAsiaTheme="majorEastAsia"/>
                <w:sz w:val="24"/>
                <w:szCs w:val="24"/>
              </w:rPr>
              <w:t>分）</w:t>
            </w:r>
          </w:p>
        </w:tc>
        <w:tc>
          <w:tcPr>
            <w:tcW w:w="1455"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技术参数</w:t>
            </w:r>
          </w:p>
        </w:tc>
        <w:tc>
          <w:tcPr>
            <w:tcW w:w="817"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15</w:t>
            </w:r>
            <w:r>
              <w:rPr>
                <w:rFonts w:hint="eastAsia" w:asciiTheme="majorEastAsia" w:hAnsiTheme="majorEastAsia" w:eastAsiaTheme="majorEastAsia"/>
                <w:sz w:val="24"/>
                <w:szCs w:val="24"/>
              </w:rPr>
              <w:t>分</w:t>
            </w:r>
          </w:p>
        </w:tc>
        <w:tc>
          <w:tcPr>
            <w:tcW w:w="6643"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所投设备各项指标全部满足</w:t>
            </w:r>
            <w:r>
              <w:rPr>
                <w:rFonts w:hint="eastAsia" w:asciiTheme="majorEastAsia" w:hAnsiTheme="majorEastAsia" w:eastAsiaTheme="majorEastAsia"/>
                <w:sz w:val="24"/>
                <w:szCs w:val="24"/>
                <w:lang w:eastAsia="zh-CN"/>
              </w:rPr>
              <w:t>招标</w:t>
            </w:r>
            <w:r>
              <w:rPr>
                <w:rFonts w:hint="eastAsia" w:asciiTheme="majorEastAsia" w:hAnsiTheme="majorEastAsia" w:eastAsiaTheme="majorEastAsia"/>
                <w:sz w:val="24"/>
                <w:szCs w:val="24"/>
              </w:rPr>
              <w:t>文件技术要求得基本分 10 分。每出现一项负偏离扣 1分，扣完为止；每优于</w:t>
            </w:r>
            <w:r>
              <w:rPr>
                <w:rFonts w:hint="eastAsia" w:asciiTheme="majorEastAsia" w:hAnsiTheme="majorEastAsia" w:eastAsiaTheme="majorEastAsia"/>
                <w:sz w:val="24"/>
                <w:szCs w:val="24"/>
                <w:lang w:eastAsia="zh-CN"/>
              </w:rPr>
              <w:t>招标</w:t>
            </w:r>
            <w:r>
              <w:rPr>
                <w:rFonts w:hint="eastAsia" w:asciiTheme="majorEastAsia" w:hAnsiTheme="majorEastAsia" w:eastAsiaTheme="majorEastAsia"/>
                <w:sz w:val="24"/>
                <w:szCs w:val="24"/>
              </w:rPr>
              <w:t>文件技术要求 1 项的加 1 分，最多加 5 分，本项满分15分。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277" w:type="dxa"/>
            <w:vMerge w:val="continue"/>
            <w:vAlign w:val="center"/>
          </w:tcPr>
          <w:p>
            <w:pPr>
              <w:spacing w:line="440" w:lineRule="exact"/>
              <w:jc w:val="center"/>
              <w:rPr>
                <w:rFonts w:hint="eastAsia" w:asciiTheme="majorEastAsia" w:hAnsiTheme="majorEastAsia" w:eastAsiaTheme="majorEastAsia"/>
                <w:sz w:val="24"/>
                <w:szCs w:val="24"/>
              </w:rPr>
            </w:pPr>
          </w:p>
        </w:tc>
        <w:tc>
          <w:tcPr>
            <w:tcW w:w="1455" w:type="dxa"/>
            <w:vAlign w:val="center"/>
          </w:tcPr>
          <w:p>
            <w:pPr>
              <w:spacing w:line="44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电梯安装施工组织设计</w:t>
            </w:r>
          </w:p>
        </w:tc>
        <w:tc>
          <w:tcPr>
            <w:tcW w:w="817" w:type="dxa"/>
            <w:vAlign w:val="center"/>
          </w:tcPr>
          <w:p>
            <w:pPr>
              <w:spacing w:line="440" w:lineRule="exact"/>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12分</w:t>
            </w:r>
          </w:p>
        </w:tc>
        <w:tc>
          <w:tcPr>
            <w:tcW w:w="6643" w:type="dxa"/>
            <w:vAlign w:val="center"/>
          </w:tcPr>
          <w:p>
            <w:pPr>
              <w:spacing w:line="440" w:lineRule="exact"/>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1.安装调试组织方案，</w:t>
            </w:r>
            <w:r>
              <w:rPr>
                <w:rFonts w:hint="eastAsia" w:asciiTheme="majorEastAsia" w:hAnsiTheme="majorEastAsia" w:eastAsiaTheme="majorEastAsia"/>
                <w:color w:val="auto"/>
                <w:sz w:val="24"/>
                <w:szCs w:val="24"/>
                <w:lang w:val="en-US" w:eastAsia="zh-CN"/>
              </w:rPr>
              <w:t>内容完整、科学、合理</w:t>
            </w:r>
            <w:r>
              <w:rPr>
                <w:rFonts w:hint="eastAsia" w:asciiTheme="majorEastAsia" w:hAnsiTheme="majorEastAsia" w:eastAsiaTheme="majorEastAsia"/>
                <w:color w:val="auto"/>
                <w:sz w:val="24"/>
                <w:szCs w:val="24"/>
              </w:rPr>
              <w:t>得2分</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lang w:val="en-US" w:eastAsia="zh-CN"/>
              </w:rPr>
              <w:t>内容基本完整、基本合理</w:t>
            </w:r>
            <w:r>
              <w:rPr>
                <w:rFonts w:hint="eastAsia" w:asciiTheme="majorEastAsia" w:hAnsiTheme="majorEastAsia" w:eastAsiaTheme="majorEastAsia"/>
                <w:color w:val="auto"/>
                <w:sz w:val="24"/>
                <w:szCs w:val="24"/>
              </w:rPr>
              <w:t>得1分</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lang w:val="en-US" w:eastAsia="zh-CN"/>
              </w:rPr>
              <w:t>思路混乱、内容缺失、方案不合理</w:t>
            </w:r>
            <w:r>
              <w:rPr>
                <w:rFonts w:hint="eastAsia" w:asciiTheme="majorEastAsia" w:hAnsiTheme="majorEastAsia" w:eastAsiaTheme="majorEastAsia"/>
                <w:color w:val="auto"/>
                <w:sz w:val="24"/>
                <w:szCs w:val="24"/>
              </w:rPr>
              <w:t>不得分；</w:t>
            </w:r>
          </w:p>
          <w:p>
            <w:pPr>
              <w:spacing w:line="440" w:lineRule="exact"/>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2.质量保证与控制措施，</w:t>
            </w:r>
            <w:r>
              <w:rPr>
                <w:rFonts w:hint="eastAsia" w:asciiTheme="majorEastAsia" w:hAnsiTheme="majorEastAsia" w:eastAsiaTheme="majorEastAsia"/>
                <w:color w:val="auto"/>
                <w:sz w:val="24"/>
                <w:szCs w:val="24"/>
                <w:lang w:val="en-US" w:eastAsia="zh-CN"/>
              </w:rPr>
              <w:t>内容完整、科学、合理得</w:t>
            </w:r>
            <w:r>
              <w:rPr>
                <w:rFonts w:hint="eastAsia" w:asciiTheme="majorEastAsia" w:hAnsiTheme="majorEastAsia" w:eastAsiaTheme="majorEastAsia"/>
                <w:color w:val="auto"/>
                <w:sz w:val="24"/>
                <w:szCs w:val="24"/>
              </w:rPr>
              <w:t>3分</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lang w:val="en-US" w:eastAsia="zh-CN"/>
              </w:rPr>
              <w:t>内容基本完整、基本合理</w:t>
            </w:r>
            <w:r>
              <w:rPr>
                <w:rFonts w:hint="eastAsia" w:asciiTheme="majorEastAsia" w:hAnsiTheme="majorEastAsia" w:eastAsiaTheme="majorEastAsia"/>
                <w:color w:val="auto"/>
                <w:sz w:val="24"/>
                <w:szCs w:val="24"/>
              </w:rPr>
              <w:t>得2分</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lang w:val="en-US" w:eastAsia="zh-CN"/>
              </w:rPr>
              <w:t>思路混乱、内容缺失、措施不合理</w:t>
            </w:r>
            <w:r>
              <w:rPr>
                <w:rFonts w:hint="eastAsia" w:asciiTheme="majorEastAsia" w:hAnsiTheme="majorEastAsia" w:eastAsiaTheme="majorEastAsia"/>
                <w:color w:val="auto"/>
                <w:sz w:val="24"/>
                <w:szCs w:val="24"/>
              </w:rPr>
              <w:t>不得分；</w:t>
            </w:r>
          </w:p>
          <w:p>
            <w:pPr>
              <w:spacing w:line="440" w:lineRule="exact"/>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3.安全、文明施工的控制措施，</w:t>
            </w:r>
            <w:r>
              <w:rPr>
                <w:rFonts w:hint="eastAsia" w:asciiTheme="majorEastAsia" w:hAnsiTheme="majorEastAsia" w:eastAsiaTheme="majorEastAsia"/>
                <w:color w:val="auto"/>
                <w:sz w:val="24"/>
                <w:szCs w:val="24"/>
                <w:lang w:val="en-US" w:eastAsia="zh-CN"/>
              </w:rPr>
              <w:t>内容完整、科学、合理</w:t>
            </w:r>
            <w:r>
              <w:rPr>
                <w:rFonts w:hint="eastAsia" w:asciiTheme="majorEastAsia" w:hAnsiTheme="majorEastAsia" w:eastAsiaTheme="majorEastAsia"/>
                <w:color w:val="auto"/>
                <w:sz w:val="24"/>
                <w:szCs w:val="24"/>
              </w:rPr>
              <w:t>得2分，</w:t>
            </w:r>
            <w:r>
              <w:rPr>
                <w:rFonts w:hint="eastAsia" w:asciiTheme="majorEastAsia" w:hAnsiTheme="majorEastAsia" w:eastAsiaTheme="majorEastAsia"/>
                <w:color w:val="auto"/>
                <w:sz w:val="24"/>
                <w:szCs w:val="24"/>
                <w:lang w:val="en-US" w:eastAsia="zh-CN"/>
              </w:rPr>
              <w:t>内容基本完整、基本合理</w:t>
            </w:r>
            <w:r>
              <w:rPr>
                <w:rFonts w:hint="eastAsia" w:asciiTheme="majorEastAsia" w:hAnsiTheme="majorEastAsia" w:eastAsiaTheme="majorEastAsia"/>
                <w:color w:val="auto"/>
                <w:sz w:val="24"/>
                <w:szCs w:val="24"/>
              </w:rPr>
              <w:t>得1分，</w:t>
            </w:r>
            <w:r>
              <w:rPr>
                <w:rFonts w:hint="eastAsia" w:asciiTheme="majorEastAsia" w:hAnsiTheme="majorEastAsia" w:eastAsiaTheme="majorEastAsia"/>
                <w:color w:val="auto"/>
                <w:sz w:val="24"/>
                <w:szCs w:val="24"/>
                <w:lang w:val="en-US" w:eastAsia="zh-CN"/>
              </w:rPr>
              <w:t>思路混乱、内容缺失措施不合理</w:t>
            </w:r>
            <w:r>
              <w:rPr>
                <w:rFonts w:hint="eastAsia" w:asciiTheme="majorEastAsia" w:hAnsiTheme="majorEastAsia" w:eastAsiaTheme="majorEastAsia"/>
                <w:color w:val="auto"/>
                <w:sz w:val="24"/>
                <w:szCs w:val="24"/>
              </w:rPr>
              <w:t>不得分；</w:t>
            </w:r>
          </w:p>
          <w:p>
            <w:pPr>
              <w:spacing w:line="440" w:lineRule="exact"/>
              <w:rPr>
                <w:rFonts w:hint="eastAsia"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4.工期保证与控制措施，</w:t>
            </w:r>
            <w:r>
              <w:rPr>
                <w:rFonts w:hint="eastAsia" w:asciiTheme="majorEastAsia" w:hAnsiTheme="majorEastAsia" w:eastAsiaTheme="majorEastAsia"/>
                <w:color w:val="auto"/>
                <w:sz w:val="24"/>
                <w:szCs w:val="24"/>
                <w:lang w:val="en-US" w:eastAsia="zh-CN"/>
              </w:rPr>
              <w:t>内容完整、科学、合理</w:t>
            </w:r>
            <w:r>
              <w:rPr>
                <w:rFonts w:hint="eastAsia" w:asciiTheme="majorEastAsia" w:hAnsiTheme="majorEastAsia" w:eastAsiaTheme="majorEastAsia"/>
                <w:color w:val="auto"/>
                <w:sz w:val="24"/>
                <w:szCs w:val="24"/>
              </w:rPr>
              <w:t>得3分，</w:t>
            </w:r>
            <w:r>
              <w:rPr>
                <w:rFonts w:hint="eastAsia" w:asciiTheme="majorEastAsia" w:hAnsiTheme="majorEastAsia" w:eastAsiaTheme="majorEastAsia"/>
                <w:color w:val="auto"/>
                <w:sz w:val="24"/>
                <w:szCs w:val="24"/>
                <w:lang w:val="en-US" w:eastAsia="zh-CN"/>
              </w:rPr>
              <w:t>内容基本完整、基本合理</w:t>
            </w:r>
            <w:r>
              <w:rPr>
                <w:rFonts w:hint="eastAsia" w:asciiTheme="majorEastAsia" w:hAnsiTheme="majorEastAsia" w:eastAsiaTheme="majorEastAsia"/>
                <w:color w:val="auto"/>
                <w:sz w:val="24"/>
                <w:szCs w:val="24"/>
              </w:rPr>
              <w:t>得2分，</w:t>
            </w:r>
            <w:r>
              <w:rPr>
                <w:rFonts w:hint="eastAsia" w:asciiTheme="majorEastAsia" w:hAnsiTheme="majorEastAsia" w:eastAsiaTheme="majorEastAsia"/>
                <w:color w:val="auto"/>
                <w:sz w:val="24"/>
                <w:szCs w:val="24"/>
                <w:lang w:val="en-US" w:eastAsia="zh-CN"/>
              </w:rPr>
              <w:t>思路混乱、内容缺失、措施不合理</w:t>
            </w:r>
            <w:r>
              <w:rPr>
                <w:rFonts w:hint="eastAsia" w:asciiTheme="majorEastAsia" w:hAnsiTheme="majorEastAsia" w:eastAsiaTheme="majorEastAsia"/>
                <w:color w:val="auto"/>
                <w:sz w:val="24"/>
                <w:szCs w:val="24"/>
              </w:rPr>
              <w:t>不得分；</w:t>
            </w:r>
          </w:p>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color w:val="auto"/>
                <w:sz w:val="24"/>
                <w:szCs w:val="24"/>
              </w:rPr>
              <w:t>5.主要安装用机械和测试设备，</w:t>
            </w:r>
            <w:r>
              <w:rPr>
                <w:rFonts w:hint="eastAsia" w:asciiTheme="majorEastAsia" w:hAnsiTheme="majorEastAsia" w:eastAsiaTheme="majorEastAsia"/>
                <w:color w:val="auto"/>
                <w:sz w:val="24"/>
                <w:szCs w:val="24"/>
                <w:lang w:val="en-US" w:eastAsia="zh-CN"/>
              </w:rPr>
              <w:t>安装测试方案内容完整、科学、合理</w:t>
            </w:r>
            <w:r>
              <w:rPr>
                <w:rFonts w:hint="eastAsia" w:asciiTheme="majorEastAsia" w:hAnsiTheme="majorEastAsia" w:eastAsiaTheme="majorEastAsia"/>
                <w:color w:val="auto"/>
                <w:sz w:val="24"/>
                <w:szCs w:val="24"/>
              </w:rPr>
              <w:t>得2分，</w:t>
            </w:r>
            <w:r>
              <w:rPr>
                <w:rFonts w:hint="eastAsia" w:asciiTheme="majorEastAsia" w:hAnsiTheme="majorEastAsia" w:eastAsiaTheme="majorEastAsia"/>
                <w:color w:val="auto"/>
                <w:sz w:val="24"/>
                <w:szCs w:val="24"/>
                <w:lang w:val="en-US" w:eastAsia="zh-CN"/>
              </w:rPr>
              <w:t>内容基本完整、基本合理</w:t>
            </w:r>
            <w:r>
              <w:rPr>
                <w:rFonts w:hint="eastAsia" w:asciiTheme="majorEastAsia" w:hAnsiTheme="majorEastAsia" w:eastAsiaTheme="majorEastAsia"/>
                <w:color w:val="auto"/>
                <w:sz w:val="24"/>
                <w:szCs w:val="24"/>
              </w:rPr>
              <w:t>得1分，</w:t>
            </w:r>
            <w:r>
              <w:rPr>
                <w:rFonts w:hint="eastAsia" w:asciiTheme="majorEastAsia" w:hAnsiTheme="majorEastAsia" w:eastAsiaTheme="majorEastAsia"/>
                <w:color w:val="auto"/>
                <w:sz w:val="24"/>
                <w:szCs w:val="24"/>
                <w:lang w:val="en-US" w:eastAsia="zh-CN"/>
              </w:rPr>
              <w:t>思路混乱、内容缺失、安装测试方案不合理</w:t>
            </w:r>
            <w:r>
              <w:rPr>
                <w:rFonts w:hint="eastAsia" w:asciiTheme="majorEastAsia" w:hAnsiTheme="majorEastAsia" w:eastAsiaTheme="majorEastAsia"/>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277" w:type="dxa"/>
            <w:vMerge w:val="continue"/>
            <w:vAlign w:val="center"/>
          </w:tcPr>
          <w:p>
            <w:pPr>
              <w:spacing w:line="440" w:lineRule="exact"/>
              <w:jc w:val="center"/>
              <w:rPr>
                <w:rFonts w:hint="eastAsia" w:asciiTheme="majorEastAsia" w:hAnsiTheme="majorEastAsia" w:eastAsiaTheme="majorEastAsia"/>
                <w:sz w:val="24"/>
                <w:szCs w:val="24"/>
              </w:rPr>
            </w:pPr>
          </w:p>
        </w:tc>
        <w:tc>
          <w:tcPr>
            <w:tcW w:w="1455" w:type="dxa"/>
            <w:vAlign w:val="center"/>
          </w:tcPr>
          <w:p>
            <w:pPr>
              <w:spacing w:line="44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人员安排及培训</w:t>
            </w:r>
          </w:p>
        </w:tc>
        <w:tc>
          <w:tcPr>
            <w:tcW w:w="817" w:type="dxa"/>
            <w:vAlign w:val="center"/>
          </w:tcPr>
          <w:p>
            <w:pPr>
              <w:spacing w:line="440" w:lineRule="exact"/>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2分</w:t>
            </w:r>
          </w:p>
        </w:tc>
        <w:tc>
          <w:tcPr>
            <w:tcW w:w="6643" w:type="dxa"/>
            <w:vAlign w:val="center"/>
          </w:tcPr>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color w:val="auto"/>
                <w:sz w:val="24"/>
                <w:szCs w:val="24"/>
              </w:rPr>
              <w:t>人员培训计划，</w:t>
            </w:r>
            <w:r>
              <w:rPr>
                <w:rFonts w:hint="eastAsia" w:asciiTheme="majorEastAsia" w:hAnsiTheme="majorEastAsia" w:eastAsiaTheme="majorEastAsia"/>
                <w:color w:val="auto"/>
                <w:sz w:val="24"/>
                <w:szCs w:val="24"/>
                <w:lang w:val="en-US" w:eastAsia="zh-CN"/>
              </w:rPr>
              <w:t>内容完整、科学、合理</w:t>
            </w:r>
            <w:r>
              <w:rPr>
                <w:rFonts w:hint="eastAsia" w:asciiTheme="majorEastAsia" w:hAnsiTheme="majorEastAsia" w:eastAsiaTheme="majorEastAsia"/>
                <w:color w:val="auto"/>
                <w:sz w:val="24"/>
                <w:szCs w:val="24"/>
              </w:rPr>
              <w:t>得2分</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lang w:val="en-US" w:eastAsia="zh-CN"/>
              </w:rPr>
              <w:t>内容基本完整、基本合理</w:t>
            </w:r>
            <w:r>
              <w:rPr>
                <w:rFonts w:hint="eastAsia" w:asciiTheme="majorEastAsia" w:hAnsiTheme="majorEastAsia" w:eastAsiaTheme="majorEastAsia"/>
                <w:color w:val="auto"/>
                <w:sz w:val="24"/>
                <w:szCs w:val="24"/>
              </w:rPr>
              <w:t>得1分</w:t>
            </w:r>
            <w:r>
              <w:rPr>
                <w:rFonts w:hint="eastAsia" w:asciiTheme="majorEastAsia" w:hAnsiTheme="majorEastAsia" w:eastAsiaTheme="majorEastAsia"/>
                <w:color w:val="auto"/>
                <w:sz w:val="24"/>
                <w:szCs w:val="24"/>
                <w:lang w:eastAsia="zh-CN"/>
              </w:rPr>
              <w:t>；</w:t>
            </w:r>
            <w:r>
              <w:rPr>
                <w:rFonts w:hint="eastAsia" w:asciiTheme="majorEastAsia" w:hAnsiTheme="majorEastAsia" w:eastAsiaTheme="majorEastAsia"/>
                <w:color w:val="auto"/>
                <w:sz w:val="24"/>
                <w:szCs w:val="24"/>
                <w:lang w:val="en-US" w:eastAsia="zh-CN"/>
              </w:rPr>
              <w:t>思路混乱、内容缺失、</w:t>
            </w:r>
            <w:r>
              <w:rPr>
                <w:rFonts w:hint="eastAsia" w:asciiTheme="majorEastAsia" w:hAnsiTheme="majorEastAsia" w:eastAsiaTheme="majorEastAsia"/>
                <w:color w:val="auto"/>
                <w:sz w:val="24"/>
                <w:szCs w:val="24"/>
              </w:rPr>
              <w:t>人员安排及培训</w:t>
            </w:r>
            <w:r>
              <w:rPr>
                <w:rFonts w:hint="eastAsia" w:asciiTheme="majorEastAsia" w:hAnsiTheme="majorEastAsia" w:eastAsiaTheme="majorEastAsia"/>
                <w:color w:val="auto"/>
                <w:sz w:val="24"/>
                <w:szCs w:val="24"/>
                <w:lang w:val="en-US" w:eastAsia="zh-CN"/>
              </w:rPr>
              <w:t>不合理</w:t>
            </w:r>
            <w:r>
              <w:rPr>
                <w:rFonts w:hint="eastAsia" w:asciiTheme="majorEastAsia" w:hAnsiTheme="majorEastAsia" w:eastAsiaTheme="majorEastAsia"/>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2" w:hRule="atLeast"/>
          <w:jc w:val="center"/>
        </w:trPr>
        <w:tc>
          <w:tcPr>
            <w:tcW w:w="1277" w:type="dxa"/>
            <w:vMerge w:val="continue"/>
            <w:vAlign w:val="center"/>
          </w:tcPr>
          <w:p>
            <w:pPr>
              <w:spacing w:line="440" w:lineRule="exact"/>
              <w:jc w:val="center"/>
              <w:rPr>
                <w:rFonts w:hint="eastAsia" w:asciiTheme="majorEastAsia" w:hAnsiTheme="majorEastAsia" w:eastAsiaTheme="majorEastAsia"/>
                <w:sz w:val="24"/>
                <w:szCs w:val="24"/>
              </w:rPr>
            </w:pPr>
          </w:p>
        </w:tc>
        <w:tc>
          <w:tcPr>
            <w:tcW w:w="1455" w:type="dxa"/>
            <w:vAlign w:val="center"/>
          </w:tcPr>
          <w:p>
            <w:pPr>
              <w:spacing w:line="44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售后服务承诺</w:t>
            </w:r>
          </w:p>
        </w:tc>
        <w:tc>
          <w:tcPr>
            <w:tcW w:w="817" w:type="dxa"/>
            <w:vAlign w:val="center"/>
          </w:tcPr>
          <w:p>
            <w:pPr>
              <w:spacing w:line="440" w:lineRule="exact"/>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color w:val="000000" w:themeColor="text1"/>
                <w:sz w:val="24"/>
                <w:szCs w:val="24"/>
                <w:lang w:val="en-US" w:eastAsia="zh-CN"/>
                <w14:textFill>
                  <w14:solidFill>
                    <w14:schemeClr w14:val="tx1"/>
                  </w14:solidFill>
                </w14:textFill>
              </w:rPr>
              <w:t>6分</w:t>
            </w:r>
          </w:p>
        </w:tc>
        <w:tc>
          <w:tcPr>
            <w:tcW w:w="6643" w:type="dxa"/>
            <w:vAlign w:val="center"/>
          </w:tcPr>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1.投标人在焦作市内设有直属分公司或售后维修机构且直属分公司或售后维修服务机构具有特种设备（电梯）安装改造维修许可证A级资质或特种设备生产许可证“曳引式客梯”（V）≥6m/s(含)得</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rPr>
              <w:t>分,特种设备（电梯）安装改造维修许可证B级资质或特种设备生产许可证“曳引式客梯”（V）＜6m/s(不含)得</w:t>
            </w: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分（</w:t>
            </w:r>
            <w:r>
              <w:rPr>
                <w:rFonts w:hint="eastAsia" w:asciiTheme="majorEastAsia" w:hAnsiTheme="majorEastAsia" w:eastAsiaTheme="majorEastAsia"/>
                <w:sz w:val="24"/>
                <w:szCs w:val="24"/>
                <w:lang w:eastAsia="zh-CN"/>
              </w:rPr>
              <w:t>投标文件中应附</w:t>
            </w:r>
            <w:r>
              <w:rPr>
                <w:rFonts w:hint="eastAsia" w:asciiTheme="majorEastAsia" w:hAnsiTheme="majorEastAsia" w:eastAsiaTheme="majorEastAsia"/>
                <w:sz w:val="24"/>
                <w:szCs w:val="24"/>
              </w:rPr>
              <w:t>相关售后服务证明、焦作市内产权证明或者租赁协议及售后服务机构的资质证书</w:t>
            </w:r>
            <w:r>
              <w:rPr>
                <w:rFonts w:hint="eastAsia" w:asciiTheme="majorEastAsia" w:hAnsiTheme="majorEastAsia" w:eastAsiaTheme="majorEastAsia"/>
                <w:sz w:val="24"/>
                <w:szCs w:val="24"/>
                <w:lang w:eastAsia="zh-CN"/>
              </w:rPr>
              <w:t>扫描件</w:t>
            </w:r>
            <w:r>
              <w:rPr>
                <w:rFonts w:hint="eastAsia" w:asciiTheme="majorEastAsia" w:hAnsiTheme="majorEastAsia" w:eastAsiaTheme="majorEastAsia"/>
                <w:sz w:val="24"/>
                <w:szCs w:val="24"/>
              </w:rPr>
              <w:t>）</w:t>
            </w:r>
          </w:p>
          <w:p>
            <w:pPr>
              <w:spacing w:line="440" w:lineRule="exact"/>
              <w:rPr>
                <w:rFonts w:hint="eastAsia" w:asciiTheme="majorEastAsia" w:hAnsiTheme="majorEastAsia" w:eastAsiaTheme="majorEastAsia"/>
                <w:sz w:val="24"/>
                <w:szCs w:val="24"/>
              </w:rPr>
            </w:pPr>
            <w:r>
              <w:rPr>
                <w:rFonts w:hint="eastAsia" w:asciiTheme="majorEastAsia" w:hAnsiTheme="majorEastAsia" w:eastAsiaTheme="majorEastAsia"/>
                <w:color w:val="auto"/>
                <w:sz w:val="24"/>
                <w:szCs w:val="24"/>
              </w:rPr>
              <w:t>2.根据供应商的项目售后服务措施的针对性、合理性、售后服务的响应时间、服务人员的配置、服务方案等，</w:t>
            </w:r>
            <w:r>
              <w:rPr>
                <w:rFonts w:hint="eastAsia" w:asciiTheme="majorEastAsia" w:hAnsiTheme="majorEastAsia" w:eastAsiaTheme="majorEastAsia"/>
                <w:color w:val="auto"/>
                <w:sz w:val="24"/>
                <w:szCs w:val="24"/>
                <w:lang w:val="en-US" w:eastAsia="zh-CN"/>
              </w:rPr>
              <w:t>内容完整、科学、合理</w:t>
            </w:r>
            <w:r>
              <w:rPr>
                <w:rFonts w:hint="eastAsia" w:asciiTheme="majorEastAsia" w:hAnsiTheme="majorEastAsia" w:eastAsiaTheme="majorEastAsia"/>
                <w:color w:val="auto"/>
                <w:sz w:val="24"/>
                <w:szCs w:val="24"/>
              </w:rPr>
              <w:t>得</w:t>
            </w:r>
            <w:r>
              <w:rPr>
                <w:rFonts w:hint="eastAsia" w:asciiTheme="majorEastAsia" w:hAnsiTheme="majorEastAsia" w:eastAsiaTheme="majorEastAsia"/>
                <w:color w:val="auto"/>
                <w:sz w:val="24"/>
                <w:szCs w:val="24"/>
                <w:lang w:val="en-US" w:eastAsia="zh-CN"/>
              </w:rPr>
              <w:t>2</w:t>
            </w:r>
            <w:r>
              <w:rPr>
                <w:rFonts w:hint="eastAsia" w:asciiTheme="majorEastAsia" w:hAnsiTheme="majorEastAsia" w:eastAsiaTheme="majorEastAsia"/>
                <w:color w:val="auto"/>
                <w:sz w:val="24"/>
                <w:szCs w:val="24"/>
              </w:rPr>
              <w:t>分，</w:t>
            </w:r>
            <w:r>
              <w:rPr>
                <w:rFonts w:hint="eastAsia" w:asciiTheme="majorEastAsia" w:hAnsiTheme="majorEastAsia" w:eastAsiaTheme="majorEastAsia"/>
                <w:color w:val="auto"/>
                <w:sz w:val="24"/>
                <w:szCs w:val="24"/>
                <w:lang w:val="en-US" w:eastAsia="zh-CN"/>
              </w:rPr>
              <w:t>内容基本完整、基本合理</w:t>
            </w:r>
            <w:r>
              <w:rPr>
                <w:rFonts w:hint="eastAsia" w:asciiTheme="majorEastAsia" w:hAnsiTheme="majorEastAsia" w:eastAsiaTheme="majorEastAsia"/>
                <w:color w:val="auto"/>
                <w:sz w:val="24"/>
                <w:szCs w:val="24"/>
              </w:rPr>
              <w:t>得</w:t>
            </w:r>
            <w:r>
              <w:rPr>
                <w:rFonts w:hint="eastAsia" w:asciiTheme="majorEastAsia" w:hAnsiTheme="majorEastAsia" w:eastAsiaTheme="majorEastAsia"/>
                <w:color w:val="auto"/>
                <w:sz w:val="24"/>
                <w:szCs w:val="24"/>
                <w:lang w:val="en-US" w:eastAsia="zh-CN"/>
              </w:rPr>
              <w:t>1</w:t>
            </w:r>
            <w:r>
              <w:rPr>
                <w:rFonts w:hint="eastAsia" w:asciiTheme="majorEastAsia" w:hAnsiTheme="majorEastAsia" w:eastAsiaTheme="majorEastAsia"/>
                <w:color w:val="auto"/>
                <w:sz w:val="24"/>
                <w:szCs w:val="24"/>
              </w:rPr>
              <w:t>分，</w:t>
            </w:r>
            <w:r>
              <w:rPr>
                <w:rFonts w:hint="eastAsia" w:asciiTheme="majorEastAsia" w:hAnsiTheme="majorEastAsia" w:eastAsiaTheme="majorEastAsia"/>
                <w:color w:val="auto"/>
                <w:sz w:val="24"/>
                <w:szCs w:val="24"/>
                <w:lang w:val="en-US" w:eastAsia="zh-CN"/>
              </w:rPr>
              <w:t>思路混乱、内容缺失、方案不合理</w:t>
            </w:r>
            <w:r>
              <w:rPr>
                <w:rFonts w:hint="eastAsia" w:asciiTheme="majorEastAsia" w:hAnsiTheme="majorEastAsia" w:eastAsiaTheme="majorEastAsia"/>
                <w:color w:val="auto"/>
                <w:sz w:val="24"/>
                <w:szCs w:val="24"/>
              </w:rPr>
              <w:t>不得分；</w:t>
            </w:r>
          </w:p>
        </w:tc>
      </w:tr>
    </w:tbl>
    <w:p>
      <w:pPr>
        <w:spacing w:line="440" w:lineRule="exact"/>
        <w:ind w:firstLine="480" w:firstLineChars="200"/>
        <w:rPr>
          <w:rFonts w:asciiTheme="majorEastAsia" w:hAnsiTheme="majorEastAsia" w:eastAsiaTheme="majorEastAsia"/>
          <w:b/>
          <w:sz w:val="24"/>
          <w:szCs w:val="24"/>
        </w:rPr>
      </w:pPr>
      <w:r>
        <w:rPr>
          <w:rFonts w:asciiTheme="majorEastAsia" w:hAnsiTheme="majorEastAsia" w:eastAsiaTheme="majorEastAsia"/>
          <w:b/>
          <w:sz w:val="24"/>
          <w:szCs w:val="24"/>
        </w:rPr>
        <w:t>3.</w:t>
      </w:r>
      <w:r>
        <w:rPr>
          <w:rFonts w:hint="eastAsia" w:asciiTheme="majorEastAsia" w:hAnsiTheme="majorEastAsia" w:eastAsiaTheme="majorEastAsia"/>
          <w:b/>
          <w:sz w:val="24"/>
          <w:szCs w:val="24"/>
        </w:rPr>
        <w:t>评标程序</w:t>
      </w:r>
      <w:bookmarkEnd w:id="121"/>
      <w:bookmarkEnd w:id="122"/>
    </w:p>
    <w:p>
      <w:pPr>
        <w:spacing w:line="440" w:lineRule="exact"/>
        <w:ind w:firstLine="480" w:firstLineChars="200"/>
        <w:rPr>
          <w:rFonts w:asciiTheme="majorEastAsia" w:hAnsiTheme="majorEastAsia" w:eastAsiaTheme="majorEastAsia"/>
          <w:sz w:val="24"/>
          <w:szCs w:val="24"/>
        </w:rPr>
      </w:pPr>
      <w:bookmarkStart w:id="123" w:name="_Toc19186"/>
      <w:bookmarkStart w:id="124" w:name="_Toc17466"/>
      <w:bookmarkStart w:id="125" w:name="_Toc32732"/>
      <w:bookmarkStart w:id="126" w:name="_Toc3146"/>
      <w:bookmarkStart w:id="127" w:name="_Toc6598"/>
      <w:r>
        <w:rPr>
          <w:rFonts w:hint="eastAsia" w:asciiTheme="majorEastAsia" w:hAnsiTheme="majorEastAsia" w:eastAsiaTheme="majorEastAsia"/>
          <w:sz w:val="24"/>
          <w:szCs w:val="24"/>
        </w:rPr>
        <w:t>3.</w:t>
      </w:r>
      <w:r>
        <w:rPr>
          <w:rFonts w:asciiTheme="majorEastAsia" w:hAnsiTheme="majorEastAsia" w:eastAsiaTheme="majorEastAsia"/>
          <w:sz w:val="24"/>
          <w:szCs w:val="24"/>
        </w:rPr>
        <w:t>1.</w:t>
      </w:r>
      <w:r>
        <w:rPr>
          <w:rFonts w:hint="eastAsia" w:asciiTheme="majorEastAsia" w:hAnsiTheme="majorEastAsia" w:eastAsiaTheme="majorEastAsia"/>
          <w:sz w:val="24"/>
          <w:szCs w:val="24"/>
        </w:rPr>
        <w:t>资格审查和符合性审查</w:t>
      </w:r>
      <w:bookmarkEnd w:id="123"/>
      <w:bookmarkEnd w:id="124"/>
      <w:bookmarkEnd w:id="125"/>
      <w:bookmarkEnd w:id="126"/>
      <w:bookmarkEnd w:id="127"/>
    </w:p>
    <w:p>
      <w:pPr>
        <w:spacing w:line="440" w:lineRule="exact"/>
        <w:ind w:firstLine="480" w:firstLineChars="200"/>
        <w:rPr>
          <w:rFonts w:asciiTheme="majorEastAsia" w:hAnsiTheme="majorEastAsia" w:eastAsiaTheme="majorEastAsia"/>
          <w:sz w:val="24"/>
          <w:szCs w:val="24"/>
        </w:rPr>
      </w:pPr>
      <w:bookmarkStart w:id="128" w:name="_Toc1176"/>
      <w:bookmarkStart w:id="129" w:name="_Toc418"/>
      <w:bookmarkStart w:id="130" w:name="_Toc20998"/>
      <w:bookmarkStart w:id="131" w:name="_Toc22816"/>
      <w:bookmarkStart w:id="132" w:name="_Toc32619"/>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1.1 </w:t>
      </w:r>
      <w:r>
        <w:rPr>
          <w:rFonts w:hint="eastAsia" w:asciiTheme="majorEastAsia" w:hAnsiTheme="majorEastAsia" w:eastAsiaTheme="majorEastAsia"/>
          <w:sz w:val="24"/>
          <w:szCs w:val="24"/>
        </w:rPr>
        <w:t>资格审查</w:t>
      </w:r>
      <w:bookmarkEnd w:id="128"/>
      <w:bookmarkEnd w:id="129"/>
      <w:bookmarkEnd w:id="130"/>
      <w:bookmarkEnd w:id="131"/>
      <w:bookmarkEnd w:id="132"/>
    </w:p>
    <w:p>
      <w:pPr>
        <w:spacing w:line="440" w:lineRule="exact"/>
        <w:ind w:firstLine="480" w:firstLineChars="200"/>
        <w:rPr>
          <w:rFonts w:asciiTheme="majorEastAsia" w:hAnsiTheme="majorEastAsia" w:eastAsiaTheme="majorEastAsia"/>
          <w:sz w:val="24"/>
          <w:szCs w:val="24"/>
        </w:rPr>
      </w:pPr>
      <w:bookmarkStart w:id="133" w:name="_Toc361"/>
      <w:bookmarkStart w:id="134" w:name="_Toc16426"/>
      <w:bookmarkStart w:id="135" w:name="_Toc3197"/>
      <w:bookmarkStart w:id="136" w:name="_Toc18487"/>
      <w:bookmarkStart w:id="137" w:name="_Toc30598"/>
      <w:r>
        <w:rPr>
          <w:rFonts w:hint="eastAsia" w:asciiTheme="majorEastAsia" w:hAnsiTheme="majorEastAsia" w:eastAsiaTheme="majorEastAsia"/>
          <w:sz w:val="24"/>
          <w:szCs w:val="24"/>
        </w:rPr>
        <w:t>资格审查小组依据本章资格审查表规定的标准对投标文件进行资格审查，以确定供应商是否具备投标资格，有一项不符合评审标准的，资格审查小组应当认定其投标无效，合格供应商不足</w:t>
      </w:r>
      <w:r>
        <w:rPr>
          <w:rFonts w:asciiTheme="majorEastAsia" w:hAnsiTheme="majorEastAsia" w:eastAsiaTheme="majorEastAsia"/>
          <w:sz w:val="24"/>
          <w:szCs w:val="24"/>
        </w:rPr>
        <w:t>3</w:t>
      </w:r>
      <w:r>
        <w:rPr>
          <w:rFonts w:hint="eastAsia" w:asciiTheme="majorEastAsia" w:hAnsiTheme="majorEastAsia" w:eastAsiaTheme="majorEastAsia"/>
          <w:sz w:val="24"/>
          <w:szCs w:val="24"/>
        </w:rPr>
        <w:t>家的，不得评标。</w:t>
      </w:r>
      <w:bookmarkEnd w:id="133"/>
      <w:bookmarkEnd w:id="134"/>
      <w:bookmarkEnd w:id="135"/>
      <w:bookmarkEnd w:id="136"/>
      <w:bookmarkEnd w:id="137"/>
    </w:p>
    <w:p>
      <w:pPr>
        <w:spacing w:line="440" w:lineRule="exact"/>
        <w:ind w:firstLine="480" w:firstLineChars="200"/>
        <w:rPr>
          <w:rFonts w:asciiTheme="majorEastAsia" w:hAnsiTheme="majorEastAsia" w:eastAsiaTheme="majorEastAsia"/>
          <w:sz w:val="24"/>
          <w:szCs w:val="24"/>
        </w:rPr>
      </w:pPr>
      <w:bookmarkStart w:id="138" w:name="_Toc21605"/>
      <w:bookmarkStart w:id="139" w:name="_Toc7413"/>
      <w:bookmarkStart w:id="140" w:name="_Toc31114"/>
      <w:bookmarkStart w:id="141" w:name="_Toc1540"/>
      <w:bookmarkStart w:id="142" w:name="_Toc21384"/>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1.2 </w:t>
      </w:r>
      <w:r>
        <w:rPr>
          <w:rFonts w:hint="eastAsia" w:asciiTheme="majorEastAsia" w:hAnsiTheme="majorEastAsia" w:eastAsiaTheme="majorEastAsia"/>
          <w:sz w:val="24"/>
          <w:szCs w:val="24"/>
        </w:rPr>
        <w:t>符合性审查</w:t>
      </w:r>
      <w:bookmarkEnd w:id="138"/>
      <w:bookmarkEnd w:id="139"/>
      <w:bookmarkEnd w:id="140"/>
      <w:bookmarkEnd w:id="141"/>
      <w:bookmarkEnd w:id="142"/>
    </w:p>
    <w:p>
      <w:pPr>
        <w:spacing w:line="440" w:lineRule="exact"/>
        <w:ind w:firstLine="480" w:firstLineChars="200"/>
        <w:rPr>
          <w:rFonts w:asciiTheme="majorEastAsia" w:hAnsiTheme="majorEastAsia" w:eastAsiaTheme="majorEastAsia"/>
          <w:sz w:val="24"/>
          <w:szCs w:val="24"/>
        </w:rPr>
      </w:pPr>
      <w:bookmarkStart w:id="143" w:name="_Toc29969"/>
      <w:bookmarkStart w:id="144" w:name="_Toc8515"/>
      <w:bookmarkStart w:id="145" w:name="_Toc23565"/>
      <w:bookmarkStart w:id="146" w:name="_Toc27971"/>
      <w:bookmarkStart w:id="147" w:name="_Toc24080"/>
      <w:r>
        <w:rPr>
          <w:rFonts w:hint="eastAsia" w:asciiTheme="majorEastAsia" w:hAnsiTheme="majorEastAsia" w:eastAsiaTheme="majorEastAsia"/>
          <w:sz w:val="24"/>
          <w:szCs w:val="24"/>
        </w:rPr>
        <w:t>评标委员会依据本章符合性审查表规定的标准，对符合资格的供应商的投标文件进行符合性审查，以确定其是否满足招标文件的实质性要求，有一项不符合评审标准的，评标委员会应当认定其投标无效。</w:t>
      </w:r>
      <w:bookmarkEnd w:id="143"/>
      <w:bookmarkEnd w:id="144"/>
      <w:bookmarkEnd w:id="145"/>
      <w:bookmarkEnd w:id="146"/>
      <w:bookmarkEnd w:id="147"/>
    </w:p>
    <w:p>
      <w:pPr>
        <w:spacing w:line="440" w:lineRule="exact"/>
        <w:ind w:firstLine="480" w:firstLineChars="200"/>
        <w:rPr>
          <w:rFonts w:asciiTheme="majorEastAsia" w:hAnsiTheme="majorEastAsia" w:eastAsiaTheme="majorEastAsia"/>
          <w:sz w:val="24"/>
          <w:szCs w:val="24"/>
        </w:rPr>
      </w:pPr>
      <w:bookmarkStart w:id="148" w:name="_Toc3907"/>
      <w:bookmarkStart w:id="149" w:name="_Toc19754"/>
      <w:bookmarkStart w:id="150" w:name="_Toc31361"/>
      <w:bookmarkStart w:id="151" w:name="_Toc10277"/>
      <w:bookmarkStart w:id="152" w:name="_Toc10429"/>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1.3 </w:t>
      </w:r>
      <w:r>
        <w:rPr>
          <w:rFonts w:hint="eastAsia" w:asciiTheme="majorEastAsia" w:hAnsiTheme="majorEastAsia" w:eastAsiaTheme="majorEastAsia"/>
          <w:sz w:val="24"/>
          <w:szCs w:val="24"/>
        </w:rPr>
        <w:t>投标文件属下列情况之一的，应当在资格性、符合性检查时按照无效投标处理：</w:t>
      </w:r>
      <w:bookmarkEnd w:id="148"/>
      <w:bookmarkEnd w:id="149"/>
      <w:bookmarkEnd w:id="150"/>
      <w:bookmarkEnd w:id="151"/>
      <w:bookmarkEnd w:id="152"/>
    </w:p>
    <w:p>
      <w:pPr>
        <w:spacing w:line="440" w:lineRule="exact"/>
        <w:ind w:firstLine="480" w:firstLineChars="200"/>
        <w:rPr>
          <w:rFonts w:asciiTheme="majorEastAsia" w:hAnsiTheme="majorEastAsia" w:eastAsiaTheme="majorEastAsia"/>
          <w:sz w:val="24"/>
          <w:szCs w:val="24"/>
        </w:rPr>
      </w:pPr>
      <w:bookmarkStart w:id="153" w:name="_Toc22789"/>
      <w:bookmarkStart w:id="154" w:name="_Toc28045"/>
      <w:bookmarkStart w:id="155" w:name="_Toc8394"/>
      <w:bookmarkStart w:id="156" w:name="_Toc5325"/>
      <w:bookmarkStart w:id="157" w:name="_Toc26575"/>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）投标文件未按招标文件要求签署、盖章的；</w:t>
      </w:r>
      <w:bookmarkEnd w:id="153"/>
      <w:bookmarkEnd w:id="154"/>
      <w:bookmarkEnd w:id="155"/>
      <w:bookmarkEnd w:id="156"/>
      <w:bookmarkEnd w:id="157"/>
    </w:p>
    <w:p>
      <w:pPr>
        <w:spacing w:line="440" w:lineRule="exact"/>
        <w:ind w:firstLine="480" w:firstLineChars="200"/>
        <w:rPr>
          <w:rFonts w:asciiTheme="majorEastAsia" w:hAnsiTheme="majorEastAsia" w:eastAsiaTheme="majorEastAsia"/>
          <w:sz w:val="24"/>
          <w:szCs w:val="24"/>
        </w:rPr>
      </w:pPr>
      <w:bookmarkStart w:id="158" w:name="_Toc5720"/>
      <w:bookmarkStart w:id="159" w:name="_Toc22644"/>
      <w:bookmarkStart w:id="160" w:name="_Toc2028"/>
      <w:bookmarkStart w:id="161" w:name="_Toc22877"/>
      <w:bookmarkStart w:id="162" w:name="_Toc12807"/>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）不具备招标文件中规定的资格要求的；</w:t>
      </w:r>
      <w:bookmarkEnd w:id="158"/>
      <w:bookmarkEnd w:id="159"/>
      <w:bookmarkEnd w:id="160"/>
      <w:bookmarkEnd w:id="161"/>
      <w:bookmarkEnd w:id="162"/>
    </w:p>
    <w:p>
      <w:pPr>
        <w:spacing w:line="440" w:lineRule="exact"/>
        <w:ind w:firstLine="480" w:firstLineChars="200"/>
        <w:rPr>
          <w:rFonts w:asciiTheme="majorEastAsia" w:hAnsiTheme="majorEastAsia" w:eastAsiaTheme="majorEastAsia"/>
          <w:sz w:val="24"/>
          <w:szCs w:val="24"/>
        </w:rPr>
      </w:pPr>
      <w:bookmarkStart w:id="163" w:name="_Toc28577"/>
      <w:bookmarkStart w:id="164" w:name="_Toc25930"/>
      <w:bookmarkStart w:id="165" w:name="_Toc22696"/>
      <w:bookmarkStart w:id="166" w:name="_Toc5642"/>
      <w:bookmarkStart w:id="167" w:name="_Toc10072"/>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）报价超过招标文件中规定的预算金额或者最高限价的；</w:t>
      </w:r>
      <w:bookmarkEnd w:id="163"/>
      <w:bookmarkEnd w:id="164"/>
      <w:bookmarkEnd w:id="165"/>
      <w:bookmarkEnd w:id="166"/>
      <w:bookmarkEnd w:id="167"/>
    </w:p>
    <w:p>
      <w:pPr>
        <w:spacing w:line="440" w:lineRule="exact"/>
        <w:ind w:firstLine="480" w:firstLineChars="200"/>
        <w:rPr>
          <w:rFonts w:asciiTheme="majorEastAsia" w:hAnsiTheme="majorEastAsia" w:eastAsiaTheme="majorEastAsia"/>
          <w:sz w:val="24"/>
          <w:szCs w:val="24"/>
        </w:rPr>
      </w:pPr>
      <w:bookmarkStart w:id="168" w:name="_Toc27835"/>
      <w:bookmarkStart w:id="169" w:name="_Toc31446"/>
      <w:bookmarkStart w:id="170" w:name="_Toc25240"/>
      <w:bookmarkStart w:id="171" w:name="_Toc23855"/>
      <w:bookmarkStart w:id="172" w:name="_Toc23136"/>
      <w:r>
        <w:rPr>
          <w:rFonts w:hint="eastAsia" w:asciiTheme="majorEastAsia" w:hAnsiTheme="majorEastAsia" w:eastAsiaTheme="majorEastAsia"/>
          <w:sz w:val="24"/>
          <w:szCs w:val="24"/>
        </w:rPr>
        <w:t>（</w:t>
      </w:r>
      <w:r>
        <w:rPr>
          <w:rFonts w:asciiTheme="majorEastAsia" w:hAnsiTheme="majorEastAsia" w:eastAsiaTheme="majorEastAsia"/>
          <w:sz w:val="24"/>
          <w:szCs w:val="24"/>
        </w:rPr>
        <w:t>4</w:t>
      </w:r>
      <w:r>
        <w:rPr>
          <w:rFonts w:hint="eastAsia" w:asciiTheme="majorEastAsia" w:hAnsiTheme="majorEastAsia" w:eastAsiaTheme="majorEastAsia"/>
          <w:sz w:val="24"/>
          <w:szCs w:val="24"/>
        </w:rPr>
        <w:t>）投标文件含有采购人不能接受的附加条件的；</w:t>
      </w:r>
      <w:bookmarkEnd w:id="168"/>
      <w:bookmarkEnd w:id="169"/>
      <w:bookmarkEnd w:id="170"/>
      <w:bookmarkEnd w:id="171"/>
      <w:bookmarkEnd w:id="172"/>
    </w:p>
    <w:p>
      <w:pPr>
        <w:spacing w:line="440" w:lineRule="exact"/>
        <w:ind w:firstLine="480" w:firstLineChars="200"/>
        <w:rPr>
          <w:rFonts w:asciiTheme="majorEastAsia" w:hAnsiTheme="majorEastAsia" w:eastAsiaTheme="majorEastAsia"/>
          <w:sz w:val="24"/>
          <w:szCs w:val="24"/>
        </w:rPr>
      </w:pPr>
      <w:bookmarkStart w:id="173" w:name="_Toc4844"/>
      <w:bookmarkStart w:id="174" w:name="_Toc10314"/>
      <w:bookmarkStart w:id="175" w:name="_Toc25145"/>
      <w:bookmarkStart w:id="176" w:name="_Toc6267"/>
      <w:bookmarkStart w:id="177" w:name="_Toc10310"/>
      <w:r>
        <w:rPr>
          <w:rFonts w:hint="eastAsia"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）法律、法规和招标文件规定的其他无效情形。</w:t>
      </w:r>
      <w:bookmarkEnd w:id="173"/>
      <w:bookmarkEnd w:id="174"/>
      <w:bookmarkEnd w:id="175"/>
      <w:bookmarkEnd w:id="176"/>
      <w:bookmarkEnd w:id="177"/>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1.</w:t>
      </w:r>
      <w:r>
        <w:rPr>
          <w:rFonts w:hint="eastAsia" w:asciiTheme="majorEastAsia" w:hAnsiTheme="majorEastAsia" w:eastAsiaTheme="majorEastAsia"/>
          <w:sz w:val="24"/>
          <w:szCs w:val="24"/>
        </w:rPr>
        <w:t>4</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投标报价有算数错误的，评标委员会按以下原则对投标报价进行修正，修正的价格经供应商书面确认后具有约束力。供应商不接受修正价格的，其投标作无效投标处理。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）投标文件中的大写金额与小写金额不一致的，以大写金额为准；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）投标文件中开标一览表</w:t>
      </w:r>
      <w:r>
        <w:rPr>
          <w:rFonts w:asciiTheme="majorEastAsia" w:hAnsiTheme="majorEastAsia" w:eastAsiaTheme="majorEastAsia"/>
          <w:sz w:val="24"/>
          <w:szCs w:val="24"/>
        </w:rPr>
        <w:t>(</w:t>
      </w:r>
      <w:r>
        <w:rPr>
          <w:rFonts w:hint="eastAsia" w:asciiTheme="majorEastAsia" w:hAnsiTheme="majorEastAsia" w:eastAsiaTheme="majorEastAsia"/>
          <w:sz w:val="24"/>
          <w:szCs w:val="24"/>
        </w:rPr>
        <w:t>报价表</w:t>
      </w:r>
      <w:r>
        <w:rPr>
          <w:rFonts w:asciiTheme="majorEastAsia" w:hAnsiTheme="majorEastAsia" w:eastAsiaTheme="majorEastAsia"/>
          <w:sz w:val="24"/>
          <w:szCs w:val="24"/>
        </w:rPr>
        <w:t>)</w:t>
      </w:r>
      <w:r>
        <w:rPr>
          <w:rFonts w:hint="eastAsia" w:asciiTheme="majorEastAsia" w:hAnsiTheme="majorEastAsia" w:eastAsiaTheme="majorEastAsia"/>
          <w:sz w:val="24"/>
          <w:szCs w:val="24"/>
        </w:rPr>
        <w:t>内容与投标文件中明细表内容不一致的，以开标一览表</w:t>
      </w:r>
      <w:r>
        <w:rPr>
          <w:rFonts w:asciiTheme="majorEastAsia" w:hAnsiTheme="majorEastAsia" w:eastAsiaTheme="majorEastAsia"/>
          <w:sz w:val="24"/>
          <w:szCs w:val="24"/>
        </w:rPr>
        <w:t>(</w:t>
      </w:r>
      <w:r>
        <w:rPr>
          <w:rFonts w:hint="eastAsia" w:asciiTheme="majorEastAsia" w:hAnsiTheme="majorEastAsia" w:eastAsiaTheme="majorEastAsia"/>
          <w:sz w:val="24"/>
          <w:szCs w:val="24"/>
        </w:rPr>
        <w:t>报价表</w:t>
      </w:r>
      <w:r>
        <w:rPr>
          <w:rFonts w:asciiTheme="majorEastAsia" w:hAnsiTheme="majorEastAsia" w:eastAsiaTheme="majorEastAsia"/>
          <w:sz w:val="24"/>
          <w:szCs w:val="24"/>
        </w:rPr>
        <w:t>)</w:t>
      </w:r>
      <w:r>
        <w:rPr>
          <w:rFonts w:hint="eastAsia" w:asciiTheme="majorEastAsia" w:hAnsiTheme="majorEastAsia" w:eastAsiaTheme="majorEastAsia"/>
          <w:sz w:val="24"/>
          <w:szCs w:val="24"/>
        </w:rPr>
        <w:t>为准。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2 </w:t>
      </w:r>
      <w:r>
        <w:rPr>
          <w:rFonts w:hint="eastAsia" w:asciiTheme="majorEastAsia" w:hAnsiTheme="majorEastAsia" w:eastAsiaTheme="majorEastAsia"/>
          <w:sz w:val="24"/>
          <w:szCs w:val="24"/>
        </w:rPr>
        <w:t>详细评审</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评标委员会按综合评分法进行评审，在全部满足招标文件实质性要求的前提下，依据综合得分最高的投标人作为中标候选人。</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3 </w:t>
      </w:r>
      <w:r>
        <w:rPr>
          <w:rFonts w:hint="eastAsia" w:asciiTheme="majorEastAsia" w:hAnsiTheme="majorEastAsia" w:eastAsiaTheme="majorEastAsia"/>
          <w:sz w:val="24"/>
          <w:szCs w:val="24"/>
        </w:rPr>
        <w:t>投标文件的澄清和补正</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3.1</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在评标过程中，评标委员会可以书面形式要求供应商对所提交投标文件中不明确的内容进行书面澄清或说明，或者对细微偏差进行补正。</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3.2</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澄清、说明和补正不得改变投标文件的实质性内容（算术性错误修正的除外）。供应商的书面澄清、说明和补正属于投标文件的组成部分。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3.4</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评标结果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4.1</w:t>
      </w:r>
      <w:r>
        <w:rPr>
          <w:rFonts w:hint="eastAsia" w:asciiTheme="majorEastAsia" w:hAnsiTheme="majorEastAsia" w:eastAsiaTheme="majorEastAsia"/>
          <w:sz w:val="24"/>
          <w:szCs w:val="24"/>
        </w:rPr>
        <w:t>投标人的排名按得分从高到低顺序排列，评标委员会写出评标报告并向招标人推荐1名中标候选人。由招标人根据评委会推荐的中标候选人顺序确定中标人。综合得分相等时，按照技术部分得分从高到低进行排序，排序第一的为中标人，技术部分得分也相等，按商务部分得分从高到低进行排序确定中标人。商务部分得分也相同的，由招标人自行确定。</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4.2 </w:t>
      </w:r>
      <w:r>
        <w:rPr>
          <w:rFonts w:hint="eastAsia" w:asciiTheme="majorEastAsia" w:hAnsiTheme="majorEastAsia" w:eastAsiaTheme="majorEastAsia"/>
          <w:sz w:val="24"/>
          <w:szCs w:val="24"/>
        </w:rPr>
        <w:t>评标委员会完成评标后，应当向采购人提交书面评标报告。</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5  </w:t>
      </w:r>
      <w:r>
        <w:rPr>
          <w:rFonts w:hint="eastAsia" w:asciiTheme="majorEastAsia" w:hAnsiTheme="majorEastAsia" w:eastAsiaTheme="majorEastAsia"/>
          <w:sz w:val="24"/>
          <w:szCs w:val="24"/>
        </w:rPr>
        <w:t>顺延中标人或重新招标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中标人因不可抗力不能履行政府采购合同的，采购人重新招标。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 xml:space="preserve">6 </w:t>
      </w:r>
      <w:r>
        <w:rPr>
          <w:rFonts w:hint="eastAsia" w:asciiTheme="majorEastAsia" w:hAnsiTheme="majorEastAsia" w:eastAsiaTheme="majorEastAsia"/>
          <w:sz w:val="24"/>
          <w:szCs w:val="24"/>
        </w:rPr>
        <w:t>特殊情况的处置程序</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关于评标活动暂停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6.1</w:t>
      </w:r>
      <w:r>
        <w:rPr>
          <w:rFonts w:hint="eastAsia" w:asciiTheme="majorEastAsia" w:hAnsiTheme="majorEastAsia" w:eastAsiaTheme="majorEastAsia"/>
          <w:sz w:val="24"/>
          <w:szCs w:val="24"/>
        </w:rPr>
        <w:t>评标委员会应当执行连续评标的原则，按评标办法中规定的程序、内容、方法、标准完成全部评标工作。只有发生不可抗力导致评标工作无法继续时，评标活动方可暂停。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6.2</w:t>
      </w:r>
      <w:r>
        <w:rPr>
          <w:rFonts w:hint="eastAsia" w:asciiTheme="majorEastAsia" w:hAnsiTheme="majorEastAsia" w:eastAsiaTheme="majorEastAsia"/>
          <w:sz w:val="24"/>
          <w:szCs w:val="24"/>
        </w:rPr>
        <w:t>发生评标暂停情况时，评标委员会应当封存全部投标文件和评标记录，待不可抗力的影响结束且具备继续评标的条件时，由原评标委员会继续评标。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关于评标中途更换评标委员会成员</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6.3</w:t>
      </w:r>
      <w:r>
        <w:rPr>
          <w:rFonts w:hint="eastAsia" w:asciiTheme="majorEastAsia" w:hAnsiTheme="majorEastAsia" w:eastAsiaTheme="majorEastAsia"/>
          <w:sz w:val="24"/>
          <w:szCs w:val="24"/>
        </w:rPr>
        <w:t>除非发生下列情况之一，评标委员会成员不得在评标中途更换：</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）因不可抗拒的客观原因，不能到场或需在评标中途退出评标活动。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）根据法律法规规定，某个或某几个评标委员会成员需要回避。</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6.4</w:t>
      </w:r>
      <w:r>
        <w:rPr>
          <w:rFonts w:hint="eastAsia" w:asciiTheme="majorEastAsia" w:hAnsiTheme="majorEastAsia" w:eastAsiaTheme="majorEastAsia"/>
          <w:sz w:val="24"/>
          <w:szCs w:val="24"/>
        </w:rPr>
        <w:t>退出评标的评标委员会成员，其已完成的评标行为无效。由采购人根据本招标文件规定的评标委员会成员产生方式另行确定替代者进行评标。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6.5</w:t>
      </w:r>
      <w:r>
        <w:rPr>
          <w:rFonts w:hint="eastAsia" w:asciiTheme="majorEastAsia" w:hAnsiTheme="majorEastAsia" w:eastAsiaTheme="majorEastAsia"/>
          <w:sz w:val="24"/>
          <w:szCs w:val="24"/>
        </w:rPr>
        <w:t>评标过程中，评标委员会成员有回避事由、擅离职守或者因健康等原因不能继续评标的，应当及时更换。被更换的评标委员会成员作出的评审结论无效，由更换后的评标委员会成员重新进行评审。</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6.6</w:t>
      </w:r>
      <w:r>
        <w:rPr>
          <w:rFonts w:hint="eastAsia" w:asciiTheme="majorEastAsia" w:hAnsiTheme="majorEastAsia" w:eastAsiaTheme="majorEastAsia"/>
          <w:sz w:val="24"/>
          <w:szCs w:val="24"/>
        </w:rPr>
        <w:t>在任何评标环节中，需评标委员会就某项定性的评审结论做出表决的，由评标委员会全体成员按照少数服从多数的原则，以记名投票方式表决。</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3.</w:t>
      </w:r>
      <w:r>
        <w:rPr>
          <w:rFonts w:asciiTheme="majorEastAsia" w:hAnsiTheme="majorEastAsia" w:eastAsiaTheme="majorEastAsia"/>
          <w:sz w:val="24"/>
          <w:szCs w:val="24"/>
        </w:rPr>
        <w:t>6.7</w:t>
      </w:r>
      <w:r>
        <w:rPr>
          <w:rFonts w:hint="eastAsia" w:asciiTheme="majorEastAsia" w:hAnsiTheme="majorEastAsia" w:eastAsiaTheme="majorEastAsia"/>
          <w:sz w:val="24"/>
          <w:szCs w:val="24"/>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178" w:name="_Toc26541"/>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179" w:name="_Toc6017"/>
    </w:p>
    <w:p>
      <w:pPr>
        <w:spacing w:line="440" w:lineRule="exact"/>
        <w:ind w:firstLine="480" w:firstLineChars="200"/>
        <w:rPr>
          <w:rFonts w:asciiTheme="majorEastAsia" w:hAnsiTheme="majorEastAsia" w:eastAsiaTheme="majorEastAsia"/>
          <w:sz w:val="24"/>
          <w:szCs w:val="24"/>
        </w:rPr>
      </w:pPr>
    </w:p>
    <w:p>
      <w:pPr>
        <w:widowControl/>
        <w:jc w:val="left"/>
        <w:rPr>
          <w:rFonts w:asciiTheme="majorEastAsia" w:hAnsiTheme="majorEastAsia" w:eastAsiaTheme="majorEastAsia"/>
          <w:sz w:val="24"/>
          <w:szCs w:val="24"/>
        </w:rPr>
      </w:pPr>
      <w:r>
        <w:rPr>
          <w:rFonts w:asciiTheme="majorEastAsia" w:hAnsiTheme="majorEastAsia" w:eastAsiaTheme="majorEastAsia"/>
          <w:sz w:val="24"/>
          <w:szCs w:val="24"/>
        </w:rPr>
        <w:br w:type="page"/>
      </w: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第四章</w:t>
      </w:r>
      <w:bookmarkEnd w:id="120"/>
      <w:r>
        <w:rPr>
          <w:rFonts w:hint="eastAsia" w:asciiTheme="majorEastAsia" w:hAnsiTheme="majorEastAsia" w:eastAsiaTheme="majorEastAsia"/>
          <w:b/>
          <w:sz w:val="24"/>
          <w:szCs w:val="24"/>
        </w:rPr>
        <w:t xml:space="preserve">  招标项目技术参数及服务要求</w:t>
      </w:r>
      <w:bookmarkEnd w:id="178"/>
      <w:bookmarkEnd w:id="179"/>
    </w:p>
    <w:p>
      <w:pPr>
        <w:spacing w:line="360" w:lineRule="auto"/>
        <w:ind w:firstLine="480" w:firstLineChars="200"/>
        <w:rPr>
          <w:rFonts w:hint="eastAsia" w:ascii="宋体" w:hAnsi="宋体"/>
          <w:b/>
          <w:bCs/>
          <w:sz w:val="24"/>
          <w:szCs w:val="24"/>
        </w:rPr>
      </w:pPr>
      <w:r>
        <w:rPr>
          <w:rFonts w:hint="eastAsia" w:ascii="宋体" w:hAnsi="宋体"/>
          <w:b/>
          <w:bCs/>
          <w:sz w:val="24"/>
          <w:szCs w:val="24"/>
        </w:rPr>
        <w:t>一、总体要求</w:t>
      </w:r>
    </w:p>
    <w:p>
      <w:pPr>
        <w:spacing w:line="360" w:lineRule="auto"/>
        <w:ind w:firstLine="480" w:firstLineChars="200"/>
        <w:rPr>
          <w:rFonts w:hint="eastAsia" w:ascii="宋体" w:hAnsi="宋体"/>
          <w:sz w:val="24"/>
          <w:szCs w:val="24"/>
        </w:rPr>
      </w:pPr>
      <w:r>
        <w:rPr>
          <w:rFonts w:hint="eastAsia" w:ascii="宋体" w:hAnsi="宋体"/>
          <w:sz w:val="24"/>
          <w:szCs w:val="24"/>
        </w:rPr>
        <w:t>必须符合中国现行国家电梯标准《电梯制造与安装安全规范》，《电梯技术条件》，《电梯安装验收规范》,《电梯工程施工质量验收规范》,《电气工程施工质量验收规范》，《特种设备安全法》《特种设备安全监察条例》及其它现行相关规范标准。</w:t>
      </w:r>
    </w:p>
    <w:p>
      <w:pPr>
        <w:spacing w:line="360" w:lineRule="auto"/>
        <w:ind w:firstLine="480" w:firstLineChars="200"/>
        <w:rPr>
          <w:rFonts w:hint="eastAsia" w:ascii="宋体" w:hAnsi="宋体"/>
          <w:b/>
          <w:bCs/>
          <w:sz w:val="24"/>
          <w:szCs w:val="24"/>
        </w:rPr>
      </w:pPr>
      <w:r>
        <w:rPr>
          <w:rFonts w:hint="eastAsia" w:ascii="宋体" w:hAnsi="宋体"/>
          <w:b/>
          <w:bCs/>
          <w:sz w:val="24"/>
          <w:szCs w:val="24"/>
        </w:rPr>
        <w:t>二、招标内容及参数：</w:t>
      </w:r>
    </w:p>
    <w:p>
      <w:pPr>
        <w:spacing w:line="360" w:lineRule="auto"/>
        <w:ind w:firstLine="480" w:firstLineChars="200"/>
        <w:rPr>
          <w:rFonts w:hint="eastAsia" w:ascii="宋体" w:hAnsi="宋体"/>
          <w:b/>
          <w:bCs/>
          <w:sz w:val="24"/>
          <w:szCs w:val="24"/>
        </w:rPr>
      </w:pPr>
      <w:r>
        <w:rPr>
          <w:rFonts w:hint="eastAsia" w:ascii="宋体" w:hAnsi="宋体"/>
          <w:b/>
          <w:bCs/>
          <w:sz w:val="24"/>
          <w:szCs w:val="24"/>
        </w:rPr>
        <w:t>注：</w:t>
      </w:r>
    </w:p>
    <w:p>
      <w:pPr>
        <w:spacing w:line="360" w:lineRule="auto"/>
        <w:ind w:firstLine="480" w:firstLineChars="200"/>
        <w:rPr>
          <w:rFonts w:hint="eastAsia" w:ascii="宋体" w:hAnsi="宋体"/>
          <w:b/>
          <w:bCs/>
          <w:sz w:val="24"/>
          <w:szCs w:val="24"/>
        </w:rPr>
      </w:pPr>
      <w:r>
        <w:rPr>
          <w:rFonts w:hint="eastAsia" w:ascii="宋体" w:hAnsi="宋体"/>
          <w:b/>
          <w:bCs/>
          <w:sz w:val="24"/>
          <w:szCs w:val="24"/>
        </w:rPr>
        <w:t>1、供应商可提供配置、性能、规格、功能等相同或更高且价格相当的品牌型号。</w:t>
      </w:r>
    </w:p>
    <w:p>
      <w:pPr>
        <w:spacing w:line="360" w:lineRule="auto"/>
        <w:ind w:firstLine="480" w:firstLineChars="200"/>
        <w:rPr>
          <w:rFonts w:hint="eastAsia" w:ascii="宋体" w:hAnsi="宋体"/>
          <w:b/>
          <w:bCs/>
          <w:sz w:val="24"/>
          <w:szCs w:val="24"/>
        </w:rPr>
      </w:pPr>
      <w:r>
        <w:rPr>
          <w:rFonts w:hint="eastAsia" w:ascii="宋体" w:hAnsi="宋体"/>
          <w:b/>
          <w:bCs/>
          <w:sz w:val="24"/>
          <w:szCs w:val="24"/>
          <w:lang w:val="en-US" w:eastAsia="zh-CN"/>
        </w:rPr>
        <w:t>2</w:t>
      </w:r>
      <w:r>
        <w:rPr>
          <w:rFonts w:hint="eastAsia" w:ascii="宋体" w:hAnsi="宋体"/>
          <w:b/>
          <w:bCs/>
          <w:sz w:val="24"/>
          <w:szCs w:val="24"/>
        </w:rPr>
        <w:t>、投标人提供的货物必须是原装全新、符合招标文件规定技术参数的设备或产品。</w:t>
      </w:r>
    </w:p>
    <w:p>
      <w:pPr>
        <w:rPr>
          <w:rFonts w:hint="eastAsia" w:ascii="宋体" w:hAnsi="宋体" w:cs="宋体"/>
          <w:b/>
          <w:bCs/>
          <w:kern w:val="0"/>
          <w:szCs w:val="21"/>
        </w:rPr>
      </w:pPr>
    </w:p>
    <w:tbl>
      <w:tblPr>
        <w:tblStyle w:val="40"/>
        <w:tblW w:w="8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843"/>
        <w:gridCol w:w="1417"/>
        <w:gridCol w:w="141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2376" w:type="dxa"/>
            <w:vAlign w:val="center"/>
          </w:tcPr>
          <w:p>
            <w:pPr>
              <w:spacing w:line="360" w:lineRule="auto"/>
              <w:jc w:val="center"/>
              <w:rPr>
                <w:sz w:val="24"/>
              </w:rPr>
            </w:pPr>
            <w:r>
              <w:rPr>
                <w:rFonts w:hAnsi="宋体"/>
                <w:sz w:val="24"/>
              </w:rPr>
              <w:t>内容</w:t>
            </w:r>
            <w:r>
              <w:rPr>
                <w:sz w:val="24"/>
              </w:rPr>
              <w:t>/</w:t>
            </w:r>
            <w:r>
              <w:rPr>
                <w:rFonts w:hAnsi="宋体"/>
                <w:sz w:val="24"/>
              </w:rPr>
              <w:t>编号</w:t>
            </w:r>
          </w:p>
        </w:tc>
        <w:tc>
          <w:tcPr>
            <w:tcW w:w="1843" w:type="dxa"/>
            <w:vAlign w:val="center"/>
          </w:tcPr>
          <w:p>
            <w:pPr>
              <w:spacing w:line="360" w:lineRule="auto"/>
              <w:jc w:val="center"/>
              <w:rPr>
                <w:rFonts w:hint="eastAsia"/>
                <w:sz w:val="24"/>
              </w:rPr>
            </w:pPr>
            <w:r>
              <w:rPr>
                <w:rFonts w:hint="eastAsia"/>
                <w:sz w:val="24"/>
              </w:rPr>
              <w:t>医用电梯DT1（兼消防电梯）</w:t>
            </w:r>
          </w:p>
        </w:tc>
        <w:tc>
          <w:tcPr>
            <w:tcW w:w="1417" w:type="dxa"/>
            <w:vAlign w:val="center"/>
          </w:tcPr>
          <w:p>
            <w:pPr>
              <w:spacing w:line="360" w:lineRule="auto"/>
              <w:jc w:val="center"/>
              <w:rPr>
                <w:rFonts w:hint="eastAsia"/>
                <w:sz w:val="24"/>
              </w:rPr>
            </w:pPr>
            <w:r>
              <w:rPr>
                <w:rFonts w:hint="eastAsia"/>
                <w:sz w:val="24"/>
              </w:rPr>
              <w:t>医梯DT2</w:t>
            </w:r>
          </w:p>
        </w:tc>
        <w:tc>
          <w:tcPr>
            <w:tcW w:w="1418" w:type="dxa"/>
            <w:vAlign w:val="center"/>
          </w:tcPr>
          <w:p>
            <w:pPr>
              <w:spacing w:line="360" w:lineRule="auto"/>
              <w:jc w:val="center"/>
              <w:rPr>
                <w:rFonts w:hint="eastAsia"/>
                <w:sz w:val="24"/>
              </w:rPr>
            </w:pPr>
            <w:r>
              <w:rPr>
                <w:rFonts w:hint="eastAsia"/>
                <w:sz w:val="24"/>
              </w:rPr>
              <w:t>医梯DT2</w:t>
            </w:r>
          </w:p>
        </w:tc>
        <w:tc>
          <w:tcPr>
            <w:tcW w:w="1779" w:type="dxa"/>
            <w:vAlign w:val="center"/>
          </w:tcPr>
          <w:p>
            <w:pPr>
              <w:spacing w:line="360" w:lineRule="auto"/>
              <w:jc w:val="center"/>
              <w:rPr>
                <w:rFonts w:hint="eastAsia"/>
              </w:rPr>
            </w:pPr>
            <w:r>
              <w:rPr>
                <w:rFonts w:hint="eastAsia"/>
              </w:rPr>
              <w:t>客梯DT3</w:t>
            </w:r>
          </w:p>
          <w:p>
            <w:pPr>
              <w:pStyle w:val="61"/>
              <w:ind w:left="0" w:leftChars="0" w:firstLine="0" w:firstLineChars="0"/>
              <w:rPr>
                <w:rFonts w:hint="eastAsia"/>
              </w:rPr>
            </w:pPr>
            <w:r>
              <w:rPr>
                <w:rFonts w:hint="eastAsia"/>
                <w:sz w:val="24"/>
              </w:rPr>
              <w:t>（兼消防电梯）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376" w:type="dxa"/>
            <w:vAlign w:val="center"/>
          </w:tcPr>
          <w:p>
            <w:pPr>
              <w:spacing w:line="360" w:lineRule="auto"/>
              <w:jc w:val="center"/>
              <w:rPr>
                <w:sz w:val="24"/>
              </w:rPr>
            </w:pPr>
            <w:r>
              <w:rPr>
                <w:rFonts w:hAnsi="宋体"/>
                <w:sz w:val="24"/>
              </w:rPr>
              <w:t>数量</w:t>
            </w:r>
            <w:r>
              <w:rPr>
                <w:rFonts w:hint="eastAsia" w:hAnsi="宋体"/>
                <w:b/>
                <w:bCs/>
                <w:sz w:val="24"/>
              </w:rPr>
              <w:t>（台）</w:t>
            </w:r>
          </w:p>
        </w:tc>
        <w:tc>
          <w:tcPr>
            <w:tcW w:w="1843" w:type="dxa"/>
            <w:vAlign w:val="center"/>
          </w:tcPr>
          <w:p>
            <w:pPr>
              <w:jc w:val="center"/>
              <w:rPr>
                <w:rFonts w:hint="eastAsia" w:eastAsia="宋体"/>
                <w:sz w:val="24"/>
                <w:lang w:eastAsia="zh-CN"/>
              </w:rPr>
            </w:pPr>
            <w:r>
              <w:rPr>
                <w:rFonts w:hint="eastAsia"/>
                <w:sz w:val="24"/>
                <w:lang w:val="en-US" w:eastAsia="zh-CN"/>
              </w:rPr>
              <w:t>1</w:t>
            </w:r>
          </w:p>
        </w:tc>
        <w:tc>
          <w:tcPr>
            <w:tcW w:w="1417" w:type="dxa"/>
            <w:vAlign w:val="center"/>
          </w:tcPr>
          <w:p>
            <w:pPr>
              <w:jc w:val="center"/>
              <w:rPr>
                <w:rFonts w:hint="eastAsia" w:eastAsia="宋体"/>
                <w:sz w:val="24"/>
                <w:lang w:eastAsia="zh-CN"/>
              </w:rPr>
            </w:pPr>
            <w:r>
              <w:rPr>
                <w:rFonts w:hint="eastAsia"/>
                <w:sz w:val="24"/>
                <w:lang w:val="en-US" w:eastAsia="zh-CN"/>
              </w:rPr>
              <w:t>1</w:t>
            </w:r>
          </w:p>
        </w:tc>
        <w:tc>
          <w:tcPr>
            <w:tcW w:w="1418" w:type="dxa"/>
            <w:vAlign w:val="center"/>
          </w:tcPr>
          <w:p>
            <w:pPr>
              <w:jc w:val="center"/>
              <w:rPr>
                <w:rFonts w:hint="eastAsia" w:eastAsia="宋体"/>
                <w:sz w:val="24"/>
                <w:lang w:eastAsia="zh-CN"/>
              </w:rPr>
            </w:pPr>
            <w:r>
              <w:rPr>
                <w:rFonts w:hint="eastAsia"/>
                <w:sz w:val="24"/>
                <w:lang w:val="en-US" w:eastAsia="zh-CN"/>
              </w:rPr>
              <w:t>1</w:t>
            </w:r>
          </w:p>
        </w:tc>
        <w:tc>
          <w:tcPr>
            <w:tcW w:w="1779" w:type="dxa"/>
            <w:vAlign w:val="center"/>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76" w:type="dxa"/>
            <w:vAlign w:val="center"/>
          </w:tcPr>
          <w:p>
            <w:pPr>
              <w:spacing w:line="360" w:lineRule="auto"/>
              <w:jc w:val="center"/>
              <w:rPr>
                <w:sz w:val="24"/>
              </w:rPr>
            </w:pPr>
            <w:r>
              <w:rPr>
                <w:rFonts w:hAnsi="宋体"/>
                <w:sz w:val="24"/>
              </w:rPr>
              <w:t>层</w:t>
            </w:r>
            <w:r>
              <w:rPr>
                <w:sz w:val="24"/>
              </w:rPr>
              <w:t>/</w:t>
            </w:r>
            <w:r>
              <w:rPr>
                <w:rFonts w:hAnsi="宋体"/>
                <w:sz w:val="24"/>
              </w:rPr>
              <w:t>站</w:t>
            </w:r>
            <w:r>
              <w:rPr>
                <w:sz w:val="24"/>
              </w:rPr>
              <w:t>/</w:t>
            </w:r>
            <w:r>
              <w:rPr>
                <w:rFonts w:hAnsi="宋体"/>
                <w:sz w:val="24"/>
              </w:rPr>
              <w:t>门</w:t>
            </w:r>
          </w:p>
        </w:tc>
        <w:tc>
          <w:tcPr>
            <w:tcW w:w="1843" w:type="dxa"/>
            <w:vAlign w:val="center"/>
          </w:tcPr>
          <w:p>
            <w:pPr>
              <w:jc w:val="center"/>
              <w:rPr>
                <w:rFonts w:hint="eastAsia" w:eastAsia="宋体"/>
                <w:sz w:val="24"/>
                <w:lang w:eastAsia="zh-CN"/>
              </w:rPr>
            </w:pPr>
            <w:r>
              <w:rPr>
                <w:rFonts w:hint="eastAsia"/>
                <w:sz w:val="24"/>
                <w:lang w:val="en-US" w:eastAsia="zh-CN"/>
              </w:rPr>
              <w:t>6</w:t>
            </w:r>
            <w:r>
              <w:rPr>
                <w:rFonts w:hint="eastAsia"/>
                <w:sz w:val="24"/>
              </w:rPr>
              <w:t>/</w:t>
            </w:r>
            <w:r>
              <w:rPr>
                <w:rFonts w:hint="eastAsia"/>
                <w:sz w:val="24"/>
                <w:lang w:val="en-US" w:eastAsia="zh-CN"/>
              </w:rPr>
              <w:t>6</w:t>
            </w:r>
            <w:r>
              <w:rPr>
                <w:rFonts w:hint="eastAsia"/>
                <w:sz w:val="24"/>
              </w:rPr>
              <w:t>/</w:t>
            </w:r>
            <w:r>
              <w:rPr>
                <w:rFonts w:hint="eastAsia"/>
                <w:sz w:val="24"/>
                <w:lang w:val="en-US" w:eastAsia="zh-CN"/>
              </w:rPr>
              <w:t>6</w:t>
            </w:r>
          </w:p>
        </w:tc>
        <w:tc>
          <w:tcPr>
            <w:tcW w:w="1417" w:type="dxa"/>
            <w:vAlign w:val="center"/>
          </w:tcPr>
          <w:p>
            <w:pPr>
              <w:jc w:val="center"/>
              <w:rPr>
                <w:rFonts w:hint="eastAsia" w:eastAsia="宋体"/>
                <w:sz w:val="24"/>
                <w:lang w:eastAsia="zh-CN"/>
              </w:rPr>
            </w:pPr>
            <w:r>
              <w:rPr>
                <w:rFonts w:hint="eastAsia"/>
                <w:sz w:val="24"/>
                <w:lang w:val="en-US" w:eastAsia="zh-CN"/>
              </w:rPr>
              <w:t>5</w:t>
            </w:r>
            <w:r>
              <w:rPr>
                <w:rFonts w:hint="eastAsia"/>
                <w:sz w:val="24"/>
              </w:rPr>
              <w:t>/</w:t>
            </w:r>
            <w:r>
              <w:rPr>
                <w:rFonts w:hint="eastAsia"/>
                <w:sz w:val="24"/>
                <w:lang w:val="en-US" w:eastAsia="zh-CN"/>
              </w:rPr>
              <w:t>5</w:t>
            </w:r>
            <w:r>
              <w:rPr>
                <w:rFonts w:hint="eastAsia"/>
                <w:sz w:val="24"/>
              </w:rPr>
              <w:t>/</w:t>
            </w:r>
            <w:r>
              <w:rPr>
                <w:rFonts w:hint="eastAsia"/>
                <w:sz w:val="24"/>
                <w:lang w:val="en-US" w:eastAsia="zh-CN"/>
              </w:rPr>
              <w:t>5</w:t>
            </w:r>
          </w:p>
        </w:tc>
        <w:tc>
          <w:tcPr>
            <w:tcW w:w="1418" w:type="dxa"/>
            <w:vAlign w:val="center"/>
          </w:tcPr>
          <w:p>
            <w:pPr>
              <w:jc w:val="center"/>
              <w:rPr>
                <w:rFonts w:hint="eastAsia" w:eastAsia="宋体"/>
                <w:sz w:val="24"/>
                <w:lang w:eastAsia="zh-CN"/>
              </w:rPr>
            </w:pPr>
            <w:r>
              <w:rPr>
                <w:rFonts w:hint="eastAsia"/>
                <w:sz w:val="24"/>
                <w:lang w:val="en-US" w:eastAsia="zh-CN"/>
              </w:rPr>
              <w:t>5</w:t>
            </w:r>
            <w:r>
              <w:rPr>
                <w:rFonts w:hint="eastAsia"/>
                <w:sz w:val="24"/>
              </w:rPr>
              <w:t>/</w:t>
            </w:r>
            <w:r>
              <w:rPr>
                <w:rFonts w:hint="eastAsia"/>
                <w:sz w:val="24"/>
                <w:lang w:val="en-US" w:eastAsia="zh-CN"/>
              </w:rPr>
              <w:t>5</w:t>
            </w:r>
            <w:r>
              <w:rPr>
                <w:rFonts w:hint="eastAsia"/>
                <w:sz w:val="24"/>
              </w:rPr>
              <w:t>/</w:t>
            </w:r>
            <w:r>
              <w:rPr>
                <w:rFonts w:hint="eastAsia"/>
                <w:sz w:val="24"/>
                <w:lang w:val="en-US" w:eastAsia="zh-CN"/>
              </w:rPr>
              <w:t>5</w:t>
            </w:r>
          </w:p>
        </w:tc>
        <w:tc>
          <w:tcPr>
            <w:tcW w:w="1779" w:type="dxa"/>
            <w:vAlign w:val="center"/>
          </w:tcPr>
          <w:p>
            <w:pPr>
              <w:jc w:val="center"/>
              <w:rPr>
                <w:rFonts w:hint="eastAsia" w:eastAsia="宋体"/>
                <w:sz w:val="24"/>
                <w:lang w:eastAsia="zh-CN"/>
              </w:rPr>
            </w:pPr>
            <w:r>
              <w:rPr>
                <w:rFonts w:hint="eastAsia"/>
                <w:sz w:val="24"/>
                <w:lang w:val="en-US" w:eastAsia="zh-CN"/>
              </w:rPr>
              <w:t>6</w:t>
            </w:r>
            <w:r>
              <w:rPr>
                <w:rFonts w:hint="eastAsia"/>
                <w:sz w:val="24"/>
              </w:rPr>
              <w:t>/</w:t>
            </w:r>
            <w:r>
              <w:rPr>
                <w:rFonts w:hint="eastAsia"/>
                <w:sz w:val="24"/>
                <w:lang w:val="en-US" w:eastAsia="zh-CN"/>
              </w:rPr>
              <w:t>6</w:t>
            </w:r>
            <w:r>
              <w:rPr>
                <w:rFonts w:hint="eastAsia"/>
                <w:sz w:val="24"/>
              </w:rPr>
              <w:t>/</w:t>
            </w:r>
            <w:r>
              <w:rPr>
                <w:rFonts w:hint="eastAsia"/>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76" w:type="dxa"/>
            <w:vAlign w:val="center"/>
          </w:tcPr>
          <w:p>
            <w:pPr>
              <w:spacing w:line="360" w:lineRule="auto"/>
              <w:jc w:val="center"/>
              <w:rPr>
                <w:sz w:val="24"/>
              </w:rPr>
            </w:pPr>
            <w:r>
              <w:rPr>
                <w:rFonts w:hAnsi="宋体"/>
                <w:sz w:val="24"/>
              </w:rPr>
              <w:t>额定载重量（</w:t>
            </w:r>
            <w:r>
              <w:rPr>
                <w:sz w:val="24"/>
              </w:rPr>
              <w:t>KG</w:t>
            </w:r>
            <w:r>
              <w:rPr>
                <w:rFonts w:hAnsi="宋体"/>
                <w:sz w:val="24"/>
              </w:rPr>
              <w:t>）</w:t>
            </w:r>
          </w:p>
        </w:tc>
        <w:tc>
          <w:tcPr>
            <w:tcW w:w="1843" w:type="dxa"/>
            <w:vAlign w:val="center"/>
          </w:tcPr>
          <w:p>
            <w:pPr>
              <w:jc w:val="center"/>
              <w:rPr>
                <w:rFonts w:hint="eastAsia"/>
                <w:sz w:val="24"/>
              </w:rPr>
            </w:pPr>
            <w:r>
              <w:rPr>
                <w:rFonts w:hint="eastAsia"/>
                <w:sz w:val="24"/>
              </w:rPr>
              <w:t>1600</w:t>
            </w:r>
          </w:p>
        </w:tc>
        <w:tc>
          <w:tcPr>
            <w:tcW w:w="1417" w:type="dxa"/>
            <w:vAlign w:val="center"/>
          </w:tcPr>
          <w:p>
            <w:pPr>
              <w:jc w:val="center"/>
              <w:rPr>
                <w:rFonts w:hint="eastAsia"/>
                <w:sz w:val="24"/>
              </w:rPr>
            </w:pPr>
            <w:r>
              <w:rPr>
                <w:rFonts w:hint="eastAsia"/>
                <w:sz w:val="24"/>
              </w:rPr>
              <w:t>1600</w:t>
            </w:r>
          </w:p>
        </w:tc>
        <w:tc>
          <w:tcPr>
            <w:tcW w:w="1418" w:type="dxa"/>
            <w:vAlign w:val="center"/>
          </w:tcPr>
          <w:p>
            <w:pPr>
              <w:jc w:val="center"/>
              <w:rPr>
                <w:rFonts w:hint="eastAsia"/>
                <w:sz w:val="24"/>
              </w:rPr>
            </w:pPr>
            <w:r>
              <w:rPr>
                <w:rFonts w:hint="eastAsia"/>
                <w:sz w:val="24"/>
              </w:rPr>
              <w:t>1600</w:t>
            </w:r>
          </w:p>
        </w:tc>
        <w:tc>
          <w:tcPr>
            <w:tcW w:w="1779" w:type="dxa"/>
            <w:vAlign w:val="center"/>
          </w:tcPr>
          <w:p>
            <w:pPr>
              <w:jc w:val="center"/>
              <w:rPr>
                <w:rFonts w:hint="eastAsia"/>
                <w:sz w:val="24"/>
              </w:rPr>
            </w:pPr>
            <w:r>
              <w:rPr>
                <w:rFonts w:hint="eastAsia"/>
                <w:sz w:val="24"/>
                <w:lang w:val="en-US" w:eastAsia="zh-CN"/>
              </w:rPr>
              <w:t>8</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376" w:type="dxa"/>
            <w:vAlign w:val="center"/>
          </w:tcPr>
          <w:p>
            <w:pPr>
              <w:spacing w:line="360" w:lineRule="auto"/>
              <w:jc w:val="center"/>
              <w:rPr>
                <w:sz w:val="24"/>
              </w:rPr>
            </w:pPr>
            <w:r>
              <w:rPr>
                <w:rFonts w:hAnsi="宋体"/>
                <w:sz w:val="24"/>
              </w:rPr>
              <w:t>速度（</w:t>
            </w:r>
            <w:r>
              <w:rPr>
                <w:sz w:val="24"/>
              </w:rPr>
              <w:t>m/s</w:t>
            </w:r>
            <w:r>
              <w:rPr>
                <w:rFonts w:hAnsi="宋体"/>
                <w:sz w:val="24"/>
              </w:rPr>
              <w:t>）</w:t>
            </w:r>
          </w:p>
        </w:tc>
        <w:tc>
          <w:tcPr>
            <w:tcW w:w="1843" w:type="dxa"/>
            <w:vAlign w:val="center"/>
          </w:tcPr>
          <w:p>
            <w:pPr>
              <w:jc w:val="center"/>
              <w:rPr>
                <w:rFonts w:hint="eastAsia" w:eastAsia="宋体"/>
                <w:b/>
                <w:sz w:val="24"/>
                <w:lang w:eastAsia="zh-CN"/>
              </w:rPr>
            </w:pPr>
            <w:r>
              <w:rPr>
                <w:rFonts w:hint="eastAsia"/>
                <w:b/>
                <w:sz w:val="24"/>
              </w:rPr>
              <w:t>1.</w:t>
            </w:r>
            <w:r>
              <w:rPr>
                <w:rFonts w:hint="eastAsia"/>
                <w:b/>
                <w:sz w:val="24"/>
                <w:lang w:val="en-US" w:eastAsia="zh-CN"/>
              </w:rPr>
              <w:t>5</w:t>
            </w:r>
          </w:p>
        </w:tc>
        <w:tc>
          <w:tcPr>
            <w:tcW w:w="1417" w:type="dxa"/>
            <w:vAlign w:val="center"/>
          </w:tcPr>
          <w:p>
            <w:pPr>
              <w:jc w:val="center"/>
              <w:rPr>
                <w:rFonts w:hint="eastAsia" w:eastAsia="宋体"/>
                <w:b/>
                <w:sz w:val="24"/>
                <w:lang w:eastAsia="zh-CN"/>
              </w:rPr>
            </w:pPr>
            <w:r>
              <w:rPr>
                <w:rFonts w:hint="eastAsia"/>
                <w:b/>
                <w:sz w:val="24"/>
              </w:rPr>
              <w:t>1.</w:t>
            </w:r>
            <w:r>
              <w:rPr>
                <w:rFonts w:hint="eastAsia"/>
                <w:b/>
                <w:sz w:val="24"/>
                <w:lang w:val="en-US" w:eastAsia="zh-CN"/>
              </w:rPr>
              <w:t>5</w:t>
            </w:r>
          </w:p>
        </w:tc>
        <w:tc>
          <w:tcPr>
            <w:tcW w:w="1418" w:type="dxa"/>
            <w:vAlign w:val="center"/>
          </w:tcPr>
          <w:p>
            <w:pPr>
              <w:jc w:val="center"/>
              <w:rPr>
                <w:rFonts w:hint="eastAsia" w:eastAsia="宋体"/>
                <w:b/>
                <w:sz w:val="24"/>
                <w:lang w:eastAsia="zh-CN"/>
              </w:rPr>
            </w:pPr>
            <w:r>
              <w:rPr>
                <w:rFonts w:hint="eastAsia"/>
                <w:b/>
                <w:sz w:val="24"/>
              </w:rPr>
              <w:t>1.</w:t>
            </w:r>
            <w:r>
              <w:rPr>
                <w:rFonts w:hint="eastAsia"/>
                <w:b/>
                <w:sz w:val="24"/>
                <w:lang w:val="en-US" w:eastAsia="zh-CN"/>
              </w:rPr>
              <w:t>5</w:t>
            </w:r>
          </w:p>
        </w:tc>
        <w:tc>
          <w:tcPr>
            <w:tcW w:w="1779" w:type="dxa"/>
            <w:vAlign w:val="center"/>
          </w:tcPr>
          <w:p>
            <w:pPr>
              <w:jc w:val="center"/>
              <w:rPr>
                <w:rFonts w:hint="eastAsia" w:eastAsia="宋体"/>
                <w:b/>
                <w:sz w:val="24"/>
                <w:lang w:eastAsia="zh-CN"/>
              </w:rPr>
            </w:pPr>
            <w:r>
              <w:rPr>
                <w:rFonts w:hint="eastAsia"/>
                <w:b/>
                <w:sz w:val="24"/>
              </w:rPr>
              <w:t>1.</w:t>
            </w:r>
            <w:r>
              <w:rPr>
                <w:rFonts w:hint="eastAsia"/>
                <w:b/>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2376" w:type="dxa"/>
            <w:shd w:val="clear" w:color="auto" w:fill="auto"/>
            <w:vAlign w:val="center"/>
          </w:tcPr>
          <w:p>
            <w:pPr>
              <w:spacing w:line="360" w:lineRule="auto"/>
              <w:jc w:val="center"/>
              <w:rPr>
                <w:sz w:val="24"/>
              </w:rPr>
            </w:pPr>
            <w:r>
              <w:rPr>
                <w:rFonts w:hAnsi="宋体"/>
                <w:sz w:val="24"/>
              </w:rPr>
              <w:t>底坑深度（</w:t>
            </w:r>
            <w:r>
              <w:rPr>
                <w:sz w:val="24"/>
              </w:rPr>
              <w:t>mm</w:t>
            </w:r>
            <w:r>
              <w:rPr>
                <w:rFonts w:hAnsi="宋体"/>
                <w:sz w:val="24"/>
              </w:rPr>
              <w:t>）</w:t>
            </w:r>
          </w:p>
        </w:tc>
        <w:tc>
          <w:tcPr>
            <w:tcW w:w="1843" w:type="dxa"/>
            <w:shd w:val="clear" w:color="auto" w:fill="FFFFFF"/>
            <w:vAlign w:val="center"/>
          </w:tcPr>
          <w:p>
            <w:pPr>
              <w:jc w:val="center"/>
              <w:rPr>
                <w:rFonts w:hint="default" w:eastAsia="宋体"/>
                <w:sz w:val="24"/>
                <w:lang w:val="en-US" w:eastAsia="zh-CN"/>
              </w:rPr>
            </w:pPr>
            <w:r>
              <w:rPr>
                <w:rFonts w:hint="eastAsia"/>
                <w:sz w:val="24"/>
                <w:lang w:val="en-US" w:eastAsia="zh-CN"/>
              </w:rPr>
              <w:t>1600</w:t>
            </w:r>
          </w:p>
        </w:tc>
        <w:tc>
          <w:tcPr>
            <w:tcW w:w="1417" w:type="dxa"/>
            <w:shd w:val="clear" w:color="auto" w:fill="FFFFFF"/>
            <w:vAlign w:val="center"/>
          </w:tcPr>
          <w:p>
            <w:pPr>
              <w:jc w:val="center"/>
              <w:rPr>
                <w:rFonts w:hint="eastAsia"/>
                <w:sz w:val="24"/>
              </w:rPr>
            </w:pPr>
            <w:r>
              <w:rPr>
                <w:rFonts w:hint="eastAsia"/>
                <w:sz w:val="24"/>
                <w:lang w:val="en-US" w:eastAsia="zh-CN"/>
              </w:rPr>
              <w:t>1600</w:t>
            </w:r>
          </w:p>
        </w:tc>
        <w:tc>
          <w:tcPr>
            <w:tcW w:w="1418" w:type="dxa"/>
            <w:shd w:val="clear" w:color="auto" w:fill="FFFFFF"/>
            <w:vAlign w:val="center"/>
          </w:tcPr>
          <w:p>
            <w:pPr>
              <w:jc w:val="center"/>
              <w:rPr>
                <w:rFonts w:hint="eastAsia"/>
                <w:sz w:val="24"/>
              </w:rPr>
            </w:pPr>
            <w:r>
              <w:rPr>
                <w:rFonts w:hint="eastAsia"/>
                <w:sz w:val="24"/>
                <w:lang w:val="en-US" w:eastAsia="zh-CN"/>
              </w:rPr>
              <w:t>1600</w:t>
            </w:r>
          </w:p>
        </w:tc>
        <w:tc>
          <w:tcPr>
            <w:tcW w:w="1779" w:type="dxa"/>
            <w:shd w:val="clear" w:color="auto" w:fill="FFFFFF"/>
            <w:vAlign w:val="center"/>
          </w:tcPr>
          <w:p>
            <w:pPr>
              <w:jc w:val="center"/>
              <w:rPr>
                <w:rFonts w:hint="eastAsia"/>
                <w:sz w:val="24"/>
              </w:rPr>
            </w:pPr>
            <w:r>
              <w:rPr>
                <w:rFonts w:hint="eastAsia"/>
                <w:sz w:val="24"/>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376" w:type="dxa"/>
            <w:vAlign w:val="center"/>
          </w:tcPr>
          <w:p>
            <w:pPr>
              <w:spacing w:line="360" w:lineRule="auto"/>
              <w:jc w:val="center"/>
              <w:rPr>
                <w:sz w:val="24"/>
              </w:rPr>
            </w:pPr>
            <w:r>
              <w:rPr>
                <w:rFonts w:hAnsi="宋体"/>
                <w:sz w:val="24"/>
              </w:rPr>
              <w:t>机房位置</w:t>
            </w:r>
          </w:p>
        </w:tc>
        <w:tc>
          <w:tcPr>
            <w:tcW w:w="6457" w:type="dxa"/>
            <w:gridSpan w:val="4"/>
            <w:vAlign w:val="center"/>
          </w:tcPr>
          <w:p>
            <w:pPr>
              <w:jc w:val="center"/>
              <w:rPr>
                <w:rFonts w:hint="eastAsia" w:eastAsia="宋体"/>
                <w:sz w:val="24"/>
                <w:lang w:eastAsia="zh-CN"/>
              </w:rPr>
            </w:pPr>
            <w:r>
              <w:rPr>
                <w:rFonts w:hint="eastAsia" w:hAnsi="宋体"/>
                <w:sz w:val="24"/>
                <w:lang w:eastAsia="zh-CN"/>
              </w:rPr>
              <w:t>无机房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376" w:type="dxa"/>
            <w:vAlign w:val="center"/>
          </w:tcPr>
          <w:p>
            <w:pPr>
              <w:spacing w:line="360" w:lineRule="auto"/>
              <w:jc w:val="center"/>
              <w:rPr>
                <w:sz w:val="24"/>
              </w:rPr>
            </w:pPr>
            <w:r>
              <w:rPr>
                <w:rFonts w:hAnsi="宋体"/>
                <w:sz w:val="24"/>
              </w:rPr>
              <w:t>顶层高度（层高）（</w:t>
            </w:r>
            <w:r>
              <w:rPr>
                <w:sz w:val="24"/>
              </w:rPr>
              <w:t>m</w:t>
            </w:r>
            <w:r>
              <w:rPr>
                <w:rFonts w:hAnsi="宋体"/>
                <w:sz w:val="24"/>
              </w:rPr>
              <w:t>）</w:t>
            </w:r>
          </w:p>
        </w:tc>
        <w:tc>
          <w:tcPr>
            <w:tcW w:w="6457" w:type="dxa"/>
            <w:gridSpan w:val="4"/>
            <w:vAlign w:val="center"/>
          </w:tcPr>
          <w:p>
            <w:pPr>
              <w:jc w:val="center"/>
              <w:rPr>
                <w:rFonts w:hint="default" w:eastAsia="宋体"/>
                <w:sz w:val="24"/>
                <w:lang w:val="en-US" w:eastAsia="zh-CN"/>
              </w:rPr>
            </w:pPr>
            <w:r>
              <w:rPr>
                <w:rFonts w:hint="eastAsia"/>
                <w:sz w:val="24"/>
                <w:lang w:val="en-US" w:eastAsia="zh-CN"/>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2376" w:type="dxa"/>
            <w:vAlign w:val="center"/>
          </w:tcPr>
          <w:p>
            <w:pPr>
              <w:spacing w:line="360" w:lineRule="auto"/>
              <w:jc w:val="center"/>
              <w:rPr>
                <w:rFonts w:hint="eastAsia" w:hAnsi="宋体"/>
                <w:sz w:val="24"/>
              </w:rPr>
            </w:pPr>
            <w:r>
              <w:rPr>
                <w:rFonts w:hint="eastAsia" w:hAnsi="宋体"/>
                <w:sz w:val="24"/>
              </w:rPr>
              <w:t>提升高度(m)</w:t>
            </w:r>
          </w:p>
        </w:tc>
        <w:tc>
          <w:tcPr>
            <w:tcW w:w="6457" w:type="dxa"/>
            <w:gridSpan w:val="4"/>
            <w:vAlign w:val="center"/>
          </w:tcPr>
          <w:p>
            <w:pPr>
              <w:jc w:val="center"/>
              <w:rPr>
                <w:rFonts w:hint="default" w:eastAsia="宋体"/>
                <w:sz w:val="24"/>
                <w:lang w:val="en-US" w:eastAsia="zh-CN"/>
              </w:rPr>
            </w:pPr>
            <w:r>
              <w:rPr>
                <w:rFonts w:hint="eastAsia"/>
                <w:sz w:val="24"/>
              </w:rPr>
              <w:t>约</w:t>
            </w:r>
            <w:r>
              <w:rPr>
                <w:rFonts w:hint="eastAsia"/>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376" w:type="dxa"/>
            <w:vAlign w:val="center"/>
          </w:tcPr>
          <w:p>
            <w:pPr>
              <w:spacing w:line="360" w:lineRule="auto"/>
              <w:jc w:val="center"/>
              <w:rPr>
                <w:rFonts w:hint="eastAsia" w:hAnsi="宋体"/>
                <w:sz w:val="24"/>
              </w:rPr>
            </w:pPr>
            <w:r>
              <w:rPr>
                <w:rFonts w:hAnsi="宋体"/>
                <w:sz w:val="24"/>
              </w:rPr>
              <w:t>井道净尺寸</w:t>
            </w:r>
          </w:p>
          <w:p>
            <w:pPr>
              <w:spacing w:line="360" w:lineRule="auto"/>
              <w:jc w:val="center"/>
              <w:rPr>
                <w:sz w:val="24"/>
              </w:rPr>
            </w:pPr>
            <w:r>
              <w:rPr>
                <w:rFonts w:hAnsi="宋体"/>
                <w:sz w:val="24"/>
              </w:rPr>
              <w:t>（宽）</w:t>
            </w:r>
            <w:r>
              <w:rPr>
                <w:sz w:val="24"/>
              </w:rPr>
              <w:t>×</w:t>
            </w:r>
            <w:r>
              <w:rPr>
                <w:rFonts w:hAnsi="宋体"/>
                <w:sz w:val="24"/>
              </w:rPr>
              <w:t>（深）</w:t>
            </w:r>
            <w:r>
              <w:rPr>
                <w:sz w:val="24"/>
              </w:rPr>
              <w:t>mm</w:t>
            </w:r>
          </w:p>
        </w:tc>
        <w:tc>
          <w:tcPr>
            <w:tcW w:w="1843" w:type="dxa"/>
            <w:vAlign w:val="center"/>
          </w:tcPr>
          <w:p>
            <w:pPr>
              <w:jc w:val="center"/>
              <w:rPr>
                <w:rFonts w:hint="eastAsia"/>
                <w:sz w:val="24"/>
              </w:rPr>
            </w:pPr>
            <w:r>
              <w:rPr>
                <w:rFonts w:hint="eastAsia"/>
                <w:sz w:val="24"/>
              </w:rPr>
              <w:t>2</w:t>
            </w:r>
            <w:r>
              <w:rPr>
                <w:rFonts w:hint="eastAsia"/>
                <w:sz w:val="24"/>
                <w:lang w:val="en-US" w:eastAsia="zh-CN"/>
              </w:rPr>
              <w:t>4</w:t>
            </w:r>
            <w:r>
              <w:rPr>
                <w:rFonts w:hint="eastAsia"/>
                <w:sz w:val="24"/>
              </w:rPr>
              <w:t>00*3</w:t>
            </w:r>
            <w:r>
              <w:rPr>
                <w:rFonts w:hint="eastAsia"/>
                <w:sz w:val="24"/>
                <w:lang w:val="en-US" w:eastAsia="zh-CN"/>
              </w:rPr>
              <w:t>0</w:t>
            </w:r>
            <w:r>
              <w:rPr>
                <w:rFonts w:hint="eastAsia"/>
                <w:sz w:val="24"/>
              </w:rPr>
              <w:t>00</w:t>
            </w:r>
          </w:p>
        </w:tc>
        <w:tc>
          <w:tcPr>
            <w:tcW w:w="1417" w:type="dxa"/>
            <w:vAlign w:val="center"/>
          </w:tcPr>
          <w:p>
            <w:pPr>
              <w:jc w:val="center"/>
              <w:rPr>
                <w:rFonts w:hint="eastAsia"/>
                <w:sz w:val="24"/>
              </w:rPr>
            </w:pPr>
            <w:r>
              <w:rPr>
                <w:rFonts w:hint="eastAsia"/>
                <w:sz w:val="24"/>
              </w:rPr>
              <w:t>2</w:t>
            </w:r>
            <w:r>
              <w:rPr>
                <w:rFonts w:hint="eastAsia"/>
                <w:sz w:val="24"/>
                <w:lang w:val="en-US" w:eastAsia="zh-CN"/>
              </w:rPr>
              <w:t>4</w:t>
            </w:r>
            <w:r>
              <w:rPr>
                <w:rFonts w:hint="eastAsia"/>
                <w:sz w:val="24"/>
              </w:rPr>
              <w:t>00*3</w:t>
            </w:r>
            <w:r>
              <w:rPr>
                <w:rFonts w:hint="eastAsia"/>
                <w:sz w:val="24"/>
                <w:lang w:val="en-US" w:eastAsia="zh-CN"/>
              </w:rPr>
              <w:t>0</w:t>
            </w:r>
            <w:r>
              <w:rPr>
                <w:rFonts w:hint="eastAsia"/>
                <w:sz w:val="24"/>
              </w:rPr>
              <w:t>00</w:t>
            </w:r>
          </w:p>
        </w:tc>
        <w:tc>
          <w:tcPr>
            <w:tcW w:w="1418" w:type="dxa"/>
            <w:vAlign w:val="center"/>
          </w:tcPr>
          <w:p>
            <w:pPr>
              <w:jc w:val="center"/>
              <w:rPr>
                <w:rFonts w:hint="eastAsia"/>
                <w:sz w:val="24"/>
              </w:rPr>
            </w:pPr>
            <w:r>
              <w:rPr>
                <w:rFonts w:hint="eastAsia"/>
                <w:sz w:val="24"/>
              </w:rPr>
              <w:t>2</w:t>
            </w:r>
            <w:r>
              <w:rPr>
                <w:rFonts w:hint="eastAsia"/>
                <w:sz w:val="24"/>
                <w:lang w:val="en-US" w:eastAsia="zh-CN"/>
              </w:rPr>
              <w:t>4</w:t>
            </w:r>
            <w:r>
              <w:rPr>
                <w:rFonts w:hint="eastAsia"/>
                <w:sz w:val="24"/>
              </w:rPr>
              <w:t>00*3</w:t>
            </w:r>
            <w:r>
              <w:rPr>
                <w:rFonts w:hint="eastAsia"/>
                <w:sz w:val="24"/>
                <w:lang w:val="en-US" w:eastAsia="zh-CN"/>
              </w:rPr>
              <w:t>0</w:t>
            </w:r>
            <w:r>
              <w:rPr>
                <w:rFonts w:hint="eastAsia"/>
                <w:sz w:val="24"/>
              </w:rPr>
              <w:t>00</w:t>
            </w:r>
          </w:p>
        </w:tc>
        <w:tc>
          <w:tcPr>
            <w:tcW w:w="1779" w:type="dxa"/>
            <w:vAlign w:val="center"/>
          </w:tcPr>
          <w:p>
            <w:pPr>
              <w:jc w:val="center"/>
              <w:rPr>
                <w:rFonts w:hint="eastAsia"/>
                <w:sz w:val="24"/>
              </w:rPr>
            </w:pPr>
            <w:r>
              <w:rPr>
                <w:rFonts w:hint="eastAsia"/>
                <w:sz w:val="24"/>
              </w:rPr>
              <w:t>21</w:t>
            </w:r>
            <w:r>
              <w:rPr>
                <w:rFonts w:hint="eastAsia"/>
                <w:sz w:val="24"/>
                <w:lang w:val="en-US" w:eastAsia="zh-CN"/>
              </w:rPr>
              <w:t>0</w:t>
            </w:r>
            <w:r>
              <w:rPr>
                <w:rFonts w:hint="eastAsia"/>
                <w:sz w:val="24"/>
              </w:rPr>
              <w:t>0*2</w:t>
            </w:r>
            <w:r>
              <w:rPr>
                <w:rFonts w:hint="eastAsia"/>
                <w:sz w:val="24"/>
                <w:lang w:val="en-US" w:eastAsia="zh-CN"/>
              </w:rPr>
              <w:t>1</w:t>
            </w:r>
            <w:r>
              <w:rPr>
                <w:rFonts w:hint="eastAsia"/>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376" w:type="dxa"/>
            <w:vAlign w:val="center"/>
          </w:tcPr>
          <w:p>
            <w:pPr>
              <w:spacing w:line="360" w:lineRule="auto"/>
              <w:jc w:val="center"/>
              <w:rPr>
                <w:sz w:val="24"/>
              </w:rPr>
            </w:pPr>
            <w:r>
              <w:rPr>
                <w:rFonts w:hAnsi="宋体"/>
                <w:sz w:val="24"/>
              </w:rPr>
              <w:t>轿</w:t>
            </w:r>
            <w:r>
              <w:rPr>
                <w:rFonts w:hint="eastAsia" w:hAnsi="宋体"/>
                <w:sz w:val="24"/>
              </w:rPr>
              <w:t>厢</w:t>
            </w:r>
            <w:r>
              <w:rPr>
                <w:rFonts w:hAnsi="宋体"/>
                <w:sz w:val="24"/>
              </w:rPr>
              <w:t>尺寸（</w:t>
            </w:r>
            <w:r>
              <w:rPr>
                <w:sz w:val="24"/>
              </w:rPr>
              <w:t>mm</w:t>
            </w:r>
            <w:r>
              <w:rPr>
                <w:rFonts w:hAnsi="宋体"/>
                <w:sz w:val="24"/>
              </w:rPr>
              <w:t>）</w:t>
            </w:r>
          </w:p>
        </w:tc>
        <w:tc>
          <w:tcPr>
            <w:tcW w:w="1843" w:type="dxa"/>
            <w:vAlign w:val="center"/>
          </w:tcPr>
          <w:p>
            <w:pPr>
              <w:jc w:val="center"/>
              <w:rPr>
                <w:rFonts w:hint="eastAsia"/>
                <w:sz w:val="24"/>
              </w:rPr>
            </w:pPr>
            <w:r>
              <w:rPr>
                <w:rFonts w:hint="eastAsia"/>
                <w:sz w:val="24"/>
              </w:rPr>
              <w:t>根据井道提供最大轿厢尺寸</w:t>
            </w:r>
          </w:p>
        </w:tc>
        <w:tc>
          <w:tcPr>
            <w:tcW w:w="1417" w:type="dxa"/>
            <w:vAlign w:val="center"/>
          </w:tcPr>
          <w:p>
            <w:pPr>
              <w:jc w:val="center"/>
              <w:rPr>
                <w:rFonts w:hint="eastAsia"/>
                <w:sz w:val="24"/>
              </w:rPr>
            </w:pPr>
            <w:r>
              <w:rPr>
                <w:rFonts w:hint="eastAsia"/>
                <w:sz w:val="24"/>
              </w:rPr>
              <w:t>根据井道提供最大轿厢尺寸</w:t>
            </w:r>
          </w:p>
        </w:tc>
        <w:tc>
          <w:tcPr>
            <w:tcW w:w="1418" w:type="dxa"/>
            <w:vAlign w:val="center"/>
          </w:tcPr>
          <w:p>
            <w:pPr>
              <w:jc w:val="center"/>
              <w:rPr>
                <w:rFonts w:hint="eastAsia"/>
                <w:sz w:val="24"/>
              </w:rPr>
            </w:pPr>
            <w:r>
              <w:rPr>
                <w:rFonts w:hint="eastAsia"/>
                <w:sz w:val="24"/>
              </w:rPr>
              <w:t>根据井道提供最大轿厢尺寸</w:t>
            </w:r>
          </w:p>
        </w:tc>
        <w:tc>
          <w:tcPr>
            <w:tcW w:w="1779" w:type="dxa"/>
            <w:vAlign w:val="center"/>
          </w:tcPr>
          <w:p>
            <w:pPr>
              <w:jc w:val="center"/>
              <w:rPr>
                <w:rFonts w:hint="eastAsia"/>
                <w:sz w:val="24"/>
              </w:rPr>
            </w:pPr>
            <w:r>
              <w:rPr>
                <w:rFonts w:hint="eastAsia"/>
                <w:sz w:val="24"/>
              </w:rPr>
              <w:t>根据井道提供最大轿厢尺寸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376" w:type="dxa"/>
            <w:vAlign w:val="center"/>
          </w:tcPr>
          <w:p>
            <w:pPr>
              <w:spacing w:line="360" w:lineRule="auto"/>
              <w:jc w:val="center"/>
              <w:rPr>
                <w:sz w:val="24"/>
              </w:rPr>
            </w:pPr>
            <w:r>
              <w:rPr>
                <w:rFonts w:hAnsi="宋体"/>
                <w:sz w:val="24"/>
              </w:rPr>
              <w:t>开门尺寸（</w:t>
            </w:r>
            <w:r>
              <w:rPr>
                <w:sz w:val="24"/>
              </w:rPr>
              <w:t>mm</w:t>
            </w:r>
            <w:r>
              <w:rPr>
                <w:rFonts w:hAnsi="宋体"/>
                <w:sz w:val="24"/>
              </w:rPr>
              <w:t>）</w:t>
            </w:r>
          </w:p>
        </w:tc>
        <w:tc>
          <w:tcPr>
            <w:tcW w:w="1843" w:type="dxa"/>
            <w:vAlign w:val="center"/>
          </w:tcPr>
          <w:p>
            <w:pPr>
              <w:jc w:val="center"/>
              <w:rPr>
                <w:rFonts w:hint="eastAsia"/>
                <w:sz w:val="24"/>
              </w:rPr>
            </w:pPr>
            <w:r>
              <w:rPr>
                <w:rFonts w:hint="eastAsia"/>
                <w:sz w:val="24"/>
              </w:rPr>
              <w:t>1200*2100</w:t>
            </w:r>
          </w:p>
        </w:tc>
        <w:tc>
          <w:tcPr>
            <w:tcW w:w="1417" w:type="dxa"/>
            <w:vAlign w:val="center"/>
          </w:tcPr>
          <w:p>
            <w:pPr>
              <w:jc w:val="center"/>
              <w:rPr>
                <w:rFonts w:hint="eastAsia"/>
                <w:sz w:val="24"/>
              </w:rPr>
            </w:pPr>
            <w:r>
              <w:rPr>
                <w:rFonts w:hint="eastAsia"/>
                <w:sz w:val="24"/>
              </w:rPr>
              <w:t>1200*2100</w:t>
            </w:r>
          </w:p>
        </w:tc>
        <w:tc>
          <w:tcPr>
            <w:tcW w:w="1418" w:type="dxa"/>
            <w:vAlign w:val="center"/>
          </w:tcPr>
          <w:p>
            <w:pPr>
              <w:jc w:val="center"/>
              <w:rPr>
                <w:rFonts w:hint="eastAsia"/>
                <w:sz w:val="24"/>
              </w:rPr>
            </w:pPr>
            <w:r>
              <w:rPr>
                <w:rFonts w:hint="eastAsia"/>
                <w:sz w:val="24"/>
              </w:rPr>
              <w:t>1200*2100</w:t>
            </w:r>
          </w:p>
        </w:tc>
        <w:tc>
          <w:tcPr>
            <w:tcW w:w="1779" w:type="dxa"/>
            <w:vAlign w:val="center"/>
          </w:tcPr>
          <w:p>
            <w:pPr>
              <w:jc w:val="center"/>
              <w:rPr>
                <w:rFonts w:hint="eastAsia"/>
                <w:sz w:val="24"/>
              </w:rPr>
            </w:pPr>
            <w:r>
              <w:rPr>
                <w:rFonts w:hint="eastAsia"/>
                <w:sz w:val="24"/>
              </w:rPr>
              <w:t>根据现场条件提供最大开门尺寸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开门方式</w:t>
            </w:r>
          </w:p>
        </w:tc>
        <w:tc>
          <w:tcPr>
            <w:tcW w:w="6457" w:type="dxa"/>
            <w:gridSpan w:val="4"/>
            <w:vAlign w:val="center"/>
          </w:tcPr>
          <w:p>
            <w:pPr>
              <w:spacing w:line="360" w:lineRule="auto"/>
              <w:jc w:val="center"/>
              <w:rPr>
                <w:rFonts w:hint="eastAsia" w:hAnsi="宋体"/>
                <w:sz w:val="24"/>
              </w:rPr>
            </w:pPr>
            <w:r>
              <w:rPr>
                <w:rFonts w:hint="eastAsia" w:hAnsi="宋体"/>
                <w:sz w:val="24"/>
              </w:rPr>
              <w:t>双扇同向侧开式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驱动方式</w:t>
            </w:r>
          </w:p>
        </w:tc>
        <w:tc>
          <w:tcPr>
            <w:tcW w:w="6457" w:type="dxa"/>
            <w:gridSpan w:val="4"/>
            <w:vAlign w:val="center"/>
          </w:tcPr>
          <w:p>
            <w:pPr>
              <w:spacing w:line="360" w:lineRule="auto"/>
              <w:jc w:val="center"/>
              <w:rPr>
                <w:rFonts w:hint="eastAsia" w:hAnsi="宋体"/>
                <w:sz w:val="24"/>
              </w:rPr>
            </w:pPr>
            <w:r>
              <w:rPr>
                <w:rFonts w:hint="eastAsia" w:hAnsi="宋体"/>
                <w:sz w:val="24"/>
              </w:rPr>
              <w:t>交流变频变压调速（VVVF）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运行方式</w:t>
            </w:r>
          </w:p>
        </w:tc>
        <w:tc>
          <w:tcPr>
            <w:tcW w:w="6457" w:type="dxa"/>
            <w:gridSpan w:val="4"/>
            <w:vAlign w:val="center"/>
          </w:tcPr>
          <w:p>
            <w:pPr>
              <w:spacing w:line="360" w:lineRule="auto"/>
              <w:jc w:val="center"/>
              <w:rPr>
                <w:rFonts w:hint="eastAsia" w:hAnsi="宋体"/>
                <w:sz w:val="24"/>
              </w:rPr>
            </w:pPr>
            <w:r>
              <w:rPr>
                <w:rFonts w:hint="eastAsia" w:hAnsi="宋体"/>
                <w:sz w:val="24"/>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曳引机系统</w:t>
            </w:r>
          </w:p>
        </w:tc>
        <w:tc>
          <w:tcPr>
            <w:tcW w:w="6457" w:type="dxa"/>
            <w:gridSpan w:val="4"/>
            <w:vAlign w:val="center"/>
          </w:tcPr>
          <w:p>
            <w:pPr>
              <w:spacing w:line="360" w:lineRule="auto"/>
              <w:jc w:val="center"/>
              <w:rPr>
                <w:rFonts w:hint="eastAsia" w:hAnsi="宋体"/>
                <w:sz w:val="24"/>
              </w:rPr>
            </w:pPr>
            <w:r>
              <w:rPr>
                <w:rFonts w:hint="eastAsia" w:hAnsi="宋体"/>
                <w:sz w:val="24"/>
              </w:rPr>
              <w:t>永磁同步无齿轮曳引机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门机系统</w:t>
            </w:r>
          </w:p>
        </w:tc>
        <w:tc>
          <w:tcPr>
            <w:tcW w:w="6457" w:type="dxa"/>
            <w:gridSpan w:val="4"/>
            <w:vAlign w:val="center"/>
          </w:tcPr>
          <w:p>
            <w:pPr>
              <w:spacing w:line="360" w:lineRule="auto"/>
              <w:jc w:val="center"/>
              <w:rPr>
                <w:rFonts w:hint="eastAsia" w:hAnsi="宋体"/>
                <w:sz w:val="24"/>
              </w:rPr>
            </w:pPr>
            <w:r>
              <w:rPr>
                <w:rFonts w:hint="eastAsia" w:hAnsi="宋体"/>
                <w:sz w:val="24"/>
              </w:rPr>
              <w:t>变频调压调速 光幕保护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供电方式</w:t>
            </w:r>
          </w:p>
        </w:tc>
        <w:tc>
          <w:tcPr>
            <w:tcW w:w="6457" w:type="dxa"/>
            <w:gridSpan w:val="4"/>
            <w:vAlign w:val="center"/>
          </w:tcPr>
          <w:p>
            <w:pPr>
              <w:spacing w:line="360" w:lineRule="auto"/>
              <w:jc w:val="center"/>
              <w:rPr>
                <w:rFonts w:hint="eastAsia" w:hAnsi="宋体"/>
                <w:sz w:val="24"/>
              </w:rPr>
            </w:pPr>
            <w:r>
              <w:rPr>
                <w:rFonts w:hint="eastAsia" w:hAnsi="宋体"/>
                <w:sz w:val="24"/>
              </w:rPr>
              <w:t>交流三相380伏±10%、交流单相220伏±10%，50HZ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年平均故障率</w:t>
            </w:r>
          </w:p>
        </w:tc>
        <w:tc>
          <w:tcPr>
            <w:tcW w:w="6457" w:type="dxa"/>
            <w:gridSpan w:val="4"/>
            <w:vAlign w:val="center"/>
          </w:tcPr>
          <w:p>
            <w:pPr>
              <w:spacing w:line="360" w:lineRule="auto"/>
              <w:jc w:val="center"/>
              <w:rPr>
                <w:rFonts w:hint="eastAsia" w:hAnsi="宋体"/>
                <w:sz w:val="24"/>
              </w:rPr>
            </w:pPr>
            <w:r>
              <w:rPr>
                <w:rFonts w:hint="eastAsia" w:hAnsi="宋体"/>
                <w:sz w:val="24"/>
              </w:rPr>
              <w:t>起制动运行60000次，故障次数不超过2次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轿内噪音</w:t>
            </w:r>
          </w:p>
        </w:tc>
        <w:tc>
          <w:tcPr>
            <w:tcW w:w="6457" w:type="dxa"/>
            <w:gridSpan w:val="4"/>
            <w:vAlign w:val="center"/>
          </w:tcPr>
          <w:p>
            <w:pPr>
              <w:spacing w:line="360" w:lineRule="auto"/>
              <w:jc w:val="center"/>
              <w:rPr>
                <w:rFonts w:hint="eastAsia" w:hAnsi="宋体"/>
                <w:sz w:val="24"/>
              </w:rPr>
            </w:pPr>
            <w:r>
              <w:rPr>
                <w:rFonts w:hint="eastAsia" w:hAnsi="宋体"/>
                <w:sz w:val="24"/>
              </w:rPr>
              <w:t>≤50dB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Ansi="宋体"/>
                <w:sz w:val="24"/>
              </w:rPr>
            </w:pPr>
            <w:r>
              <w:rPr>
                <w:rFonts w:hint="eastAsia" w:hAnsi="宋体"/>
                <w:sz w:val="24"/>
              </w:rPr>
              <w:t>平层精度</w:t>
            </w:r>
          </w:p>
        </w:tc>
        <w:tc>
          <w:tcPr>
            <w:tcW w:w="6457" w:type="dxa"/>
            <w:gridSpan w:val="4"/>
            <w:vAlign w:val="center"/>
          </w:tcPr>
          <w:p>
            <w:pPr>
              <w:spacing w:line="360" w:lineRule="auto"/>
              <w:jc w:val="center"/>
              <w:rPr>
                <w:rFonts w:hint="eastAsia" w:hAnsi="宋体"/>
                <w:sz w:val="24"/>
              </w:rPr>
            </w:pPr>
            <w:r>
              <w:rPr>
                <w:rFonts w:hint="eastAsia" w:hAnsi="宋体"/>
                <w:sz w:val="24"/>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pStyle w:val="56"/>
              <w:spacing w:line="440" w:lineRule="exact"/>
              <w:ind w:left="103"/>
              <w:jc w:val="center"/>
              <w:rPr>
                <w:rFonts w:hint="eastAsia" w:hAnsi="宋体"/>
                <w:sz w:val="24"/>
              </w:rPr>
            </w:pPr>
            <w:r>
              <w:rPr>
                <w:rFonts w:hint="eastAsia" w:hAnsi="宋体"/>
                <w:sz w:val="24"/>
              </w:rPr>
              <w:t>召唤按钮</w:t>
            </w:r>
          </w:p>
        </w:tc>
        <w:tc>
          <w:tcPr>
            <w:tcW w:w="6457" w:type="dxa"/>
            <w:gridSpan w:val="4"/>
            <w:vAlign w:val="center"/>
          </w:tcPr>
          <w:p>
            <w:pPr>
              <w:pStyle w:val="56"/>
              <w:spacing w:line="440" w:lineRule="exact"/>
              <w:ind w:left="103"/>
              <w:jc w:val="center"/>
              <w:rPr>
                <w:rFonts w:hint="eastAsia" w:hAnsi="宋体"/>
                <w:sz w:val="24"/>
              </w:rPr>
            </w:pPr>
            <w:r>
              <w:rPr>
                <w:rFonts w:hint="eastAsia" w:hAnsi="宋体"/>
                <w:sz w:val="24"/>
              </w:rPr>
              <w:t>发纹不锈钢面板，不锈钢平板按钮，由投标人提供式样供招标人选择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pStyle w:val="56"/>
              <w:spacing w:line="440" w:lineRule="exact"/>
              <w:ind w:left="103"/>
              <w:jc w:val="center"/>
              <w:rPr>
                <w:rFonts w:hint="eastAsia" w:hAnsi="宋体"/>
                <w:sz w:val="24"/>
              </w:rPr>
            </w:pPr>
            <w:r>
              <w:rPr>
                <w:rFonts w:hint="eastAsia" w:hAnsi="宋体"/>
                <w:sz w:val="24"/>
              </w:rPr>
              <w:t>轿厢操作盘与通信方式</w:t>
            </w:r>
          </w:p>
        </w:tc>
        <w:tc>
          <w:tcPr>
            <w:tcW w:w="6457" w:type="dxa"/>
            <w:gridSpan w:val="4"/>
            <w:vAlign w:val="center"/>
          </w:tcPr>
          <w:p>
            <w:pPr>
              <w:pStyle w:val="56"/>
              <w:spacing w:line="440" w:lineRule="exact"/>
              <w:ind w:left="103"/>
              <w:jc w:val="center"/>
              <w:rPr>
                <w:rFonts w:hint="eastAsia" w:hAnsi="宋体"/>
                <w:sz w:val="24"/>
              </w:rPr>
            </w:pPr>
            <w:r>
              <w:rPr>
                <w:rFonts w:hint="eastAsia" w:hAnsi="宋体"/>
                <w:sz w:val="24"/>
              </w:rPr>
              <w:t>1个，发纹不锈钢面板，不锈钢平板警铃，五方无线通话，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pStyle w:val="56"/>
              <w:spacing w:line="440" w:lineRule="exact"/>
              <w:ind w:left="103"/>
              <w:jc w:val="center"/>
              <w:rPr>
                <w:rFonts w:hint="eastAsia" w:hAnsi="宋体"/>
                <w:sz w:val="24"/>
              </w:rPr>
            </w:pPr>
            <w:r>
              <w:rPr>
                <w:rFonts w:hint="eastAsia" w:hAnsi="宋体"/>
                <w:sz w:val="24"/>
              </w:rPr>
              <w:t>厅门和轿内显示</w:t>
            </w:r>
          </w:p>
        </w:tc>
        <w:tc>
          <w:tcPr>
            <w:tcW w:w="6457" w:type="dxa"/>
            <w:gridSpan w:val="4"/>
            <w:vAlign w:val="center"/>
          </w:tcPr>
          <w:p>
            <w:pPr>
              <w:pStyle w:val="56"/>
              <w:spacing w:line="440" w:lineRule="exact"/>
              <w:jc w:val="center"/>
              <w:rPr>
                <w:rFonts w:hint="eastAsia" w:hAnsi="宋体"/>
                <w:sz w:val="24"/>
              </w:rPr>
            </w:pPr>
            <w:r>
              <w:rPr>
                <w:rFonts w:hint="eastAsia" w:hAnsi="宋体"/>
                <w:sz w:val="24"/>
              </w:rPr>
              <w:t>全部为发纹不锈钢面板，数码显示，层层LCD厅显（楼层及方向）。由投标人提供式样及颜色供招标人选择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pStyle w:val="56"/>
              <w:spacing w:line="440" w:lineRule="exact"/>
              <w:ind w:left="105"/>
              <w:jc w:val="center"/>
              <w:rPr>
                <w:rFonts w:hint="eastAsia" w:hAnsi="宋体"/>
                <w:sz w:val="24"/>
              </w:rPr>
            </w:pPr>
            <w:r>
              <w:rPr>
                <w:rFonts w:hint="eastAsia" w:hAnsi="宋体"/>
                <w:sz w:val="24"/>
              </w:rPr>
              <w:t>轿门</w:t>
            </w:r>
          </w:p>
        </w:tc>
        <w:tc>
          <w:tcPr>
            <w:tcW w:w="6457" w:type="dxa"/>
            <w:gridSpan w:val="4"/>
            <w:vAlign w:val="center"/>
          </w:tcPr>
          <w:p>
            <w:pPr>
              <w:pStyle w:val="56"/>
              <w:spacing w:line="440" w:lineRule="exact"/>
              <w:ind w:left="103"/>
              <w:jc w:val="center"/>
              <w:rPr>
                <w:rFonts w:hint="eastAsia" w:hAnsi="宋体"/>
                <w:sz w:val="24"/>
              </w:rPr>
            </w:pPr>
            <w:r>
              <w:rPr>
                <w:rFonts w:hint="eastAsia" w:hAnsi="宋体"/>
                <w:sz w:val="24"/>
              </w:rPr>
              <w:t>发纹不锈钢304材质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pStyle w:val="56"/>
              <w:spacing w:line="440" w:lineRule="exact"/>
              <w:ind w:left="105"/>
              <w:jc w:val="center"/>
              <w:rPr>
                <w:rFonts w:hint="eastAsia" w:hAnsi="宋体"/>
                <w:sz w:val="24"/>
              </w:rPr>
            </w:pPr>
            <w:r>
              <w:rPr>
                <w:rFonts w:hint="eastAsia" w:hAnsi="宋体"/>
                <w:sz w:val="24"/>
              </w:rPr>
              <w:t>轿顶</w:t>
            </w:r>
          </w:p>
        </w:tc>
        <w:tc>
          <w:tcPr>
            <w:tcW w:w="6457" w:type="dxa"/>
            <w:gridSpan w:val="4"/>
            <w:vAlign w:val="center"/>
          </w:tcPr>
          <w:p>
            <w:pPr>
              <w:pStyle w:val="56"/>
              <w:spacing w:line="440" w:lineRule="exact"/>
              <w:ind w:left="103"/>
              <w:jc w:val="center"/>
              <w:rPr>
                <w:rFonts w:hint="eastAsia" w:hAnsi="宋体"/>
                <w:sz w:val="24"/>
              </w:rPr>
            </w:pPr>
            <w:r>
              <w:rPr>
                <w:rFonts w:hint="eastAsia" w:hAnsi="宋体"/>
                <w:sz w:val="24"/>
              </w:rPr>
              <w:t>标配、吸顶式冷暖空调、品牌LED灯、换气扇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pStyle w:val="56"/>
              <w:spacing w:line="440" w:lineRule="exact"/>
              <w:ind w:left="105"/>
              <w:jc w:val="center"/>
              <w:rPr>
                <w:rFonts w:hint="eastAsia" w:hAnsi="宋体"/>
                <w:sz w:val="24"/>
              </w:rPr>
            </w:pPr>
            <w:r>
              <w:rPr>
                <w:rFonts w:hint="eastAsia" w:hAnsi="宋体"/>
                <w:sz w:val="24"/>
              </w:rPr>
              <w:t>地坪</w:t>
            </w:r>
          </w:p>
        </w:tc>
        <w:tc>
          <w:tcPr>
            <w:tcW w:w="6457" w:type="dxa"/>
            <w:gridSpan w:val="4"/>
            <w:vAlign w:val="center"/>
          </w:tcPr>
          <w:p>
            <w:pPr>
              <w:pStyle w:val="56"/>
              <w:spacing w:line="440" w:lineRule="exact"/>
              <w:ind w:left="103"/>
              <w:jc w:val="center"/>
              <w:rPr>
                <w:rFonts w:hint="eastAsia" w:hAnsi="宋体"/>
                <w:sz w:val="24"/>
              </w:rPr>
            </w:pPr>
            <w:r>
              <w:rPr>
                <w:rFonts w:hint="eastAsia" w:hAnsi="宋体"/>
                <w:sz w:val="24"/>
              </w:rPr>
              <w:t>压花不锈钢板，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pStyle w:val="56"/>
              <w:spacing w:line="440" w:lineRule="exact"/>
              <w:ind w:left="105"/>
              <w:jc w:val="center"/>
              <w:rPr>
                <w:rFonts w:hint="eastAsia" w:hAnsi="宋体"/>
                <w:sz w:val="24"/>
              </w:rPr>
            </w:pPr>
            <w:r>
              <w:rPr>
                <w:rFonts w:hint="eastAsia" w:hAnsi="宋体"/>
                <w:sz w:val="24"/>
              </w:rPr>
              <w:t>四壁</w:t>
            </w:r>
          </w:p>
        </w:tc>
        <w:tc>
          <w:tcPr>
            <w:tcW w:w="6457" w:type="dxa"/>
            <w:gridSpan w:val="4"/>
            <w:vAlign w:val="center"/>
          </w:tcPr>
          <w:p>
            <w:pPr>
              <w:pStyle w:val="56"/>
              <w:spacing w:line="440" w:lineRule="exact"/>
              <w:ind w:left="103"/>
              <w:jc w:val="center"/>
              <w:rPr>
                <w:rFonts w:hint="eastAsia" w:hAnsi="宋体"/>
                <w:sz w:val="24"/>
              </w:rPr>
            </w:pPr>
            <w:r>
              <w:rPr>
                <w:rFonts w:hint="eastAsia" w:hAnsi="宋体"/>
                <w:sz w:val="24"/>
              </w:rPr>
              <w:t>发纹不锈钢304材质+不锈钢扶手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pStyle w:val="56"/>
              <w:spacing w:line="440" w:lineRule="exact"/>
              <w:ind w:left="105"/>
              <w:jc w:val="center"/>
              <w:rPr>
                <w:rFonts w:hint="eastAsia" w:hAnsi="宋体"/>
                <w:sz w:val="24"/>
              </w:rPr>
            </w:pPr>
            <w:r>
              <w:rPr>
                <w:rFonts w:hint="eastAsia" w:hAnsi="宋体"/>
                <w:sz w:val="24"/>
              </w:rPr>
              <w:t>厅门</w:t>
            </w:r>
          </w:p>
        </w:tc>
        <w:tc>
          <w:tcPr>
            <w:tcW w:w="6457" w:type="dxa"/>
            <w:gridSpan w:val="4"/>
            <w:vAlign w:val="center"/>
          </w:tcPr>
          <w:p>
            <w:pPr>
              <w:pStyle w:val="56"/>
              <w:spacing w:line="440" w:lineRule="exact"/>
              <w:ind w:left="103"/>
              <w:jc w:val="center"/>
              <w:rPr>
                <w:rFonts w:hint="eastAsia" w:hAnsi="宋体"/>
                <w:sz w:val="24"/>
              </w:rPr>
            </w:pPr>
            <w:r>
              <w:rPr>
                <w:rFonts w:hint="eastAsia" w:hAnsi="宋体"/>
                <w:sz w:val="24"/>
              </w:rPr>
              <w:t>所有楼层为发纹不锈钢，304材质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2376" w:type="dxa"/>
            <w:vAlign w:val="center"/>
          </w:tcPr>
          <w:p>
            <w:pPr>
              <w:spacing w:line="360" w:lineRule="auto"/>
              <w:jc w:val="center"/>
              <w:rPr>
                <w:rFonts w:hint="eastAsia" w:hAnsi="宋体"/>
                <w:sz w:val="24"/>
              </w:rPr>
            </w:pPr>
            <w:r>
              <w:rPr>
                <w:rFonts w:hint="eastAsia" w:hAnsi="宋体"/>
                <w:sz w:val="24"/>
              </w:rPr>
              <w:t>门套</w:t>
            </w:r>
          </w:p>
        </w:tc>
        <w:tc>
          <w:tcPr>
            <w:tcW w:w="6457" w:type="dxa"/>
            <w:gridSpan w:val="4"/>
            <w:vAlign w:val="center"/>
          </w:tcPr>
          <w:p>
            <w:pPr>
              <w:jc w:val="center"/>
              <w:rPr>
                <w:rFonts w:hint="eastAsia"/>
                <w:sz w:val="24"/>
              </w:rPr>
            </w:pPr>
            <w:r>
              <w:rPr>
                <w:rFonts w:hint="eastAsia" w:hAnsi="宋体"/>
                <w:sz w:val="24"/>
              </w:rPr>
              <w:t>所有楼层为发纹不锈钢标准大、小门套，304材质</w:t>
            </w:r>
          </w:p>
        </w:tc>
      </w:tr>
    </w:tbl>
    <w:p>
      <w:pPr>
        <w:rPr>
          <w:rFonts w:hint="eastAsia" w:ascii="宋体" w:hAnsi="宋体" w:cs="宋体"/>
          <w:b/>
          <w:bCs/>
          <w:kern w:val="0"/>
          <w:szCs w:val="21"/>
        </w:rPr>
      </w:pPr>
    </w:p>
    <w:p>
      <w:pPr>
        <w:rPr>
          <w:rFonts w:hint="eastAsia" w:ascii="宋体" w:hAnsi="宋体" w:cs="宋体"/>
          <w:b/>
          <w:bCs/>
          <w:kern w:val="0"/>
          <w:szCs w:val="21"/>
        </w:rPr>
      </w:pPr>
    </w:p>
    <w:p>
      <w:pPr>
        <w:rPr>
          <w:rFonts w:hint="eastAsia" w:ascii="宋体" w:hAnsi="宋体" w:cs="宋体"/>
          <w:b/>
          <w:bCs/>
          <w:kern w:val="0"/>
          <w:szCs w:val="21"/>
        </w:rPr>
      </w:pPr>
      <w:r>
        <w:rPr>
          <w:rFonts w:hint="eastAsia" w:ascii="宋体" w:hAnsi="宋体" w:cs="宋体"/>
          <w:b/>
          <w:bCs/>
          <w:kern w:val="0"/>
          <w:szCs w:val="21"/>
        </w:rPr>
        <w:t>　　</w:t>
      </w:r>
      <w:r>
        <w:rPr>
          <w:rFonts w:hint="eastAsia" w:ascii="宋体" w:hAnsi="宋体" w:cs="宋体"/>
          <w:b/>
          <w:bCs/>
          <w:kern w:val="0"/>
          <w:sz w:val="28"/>
          <w:szCs w:val="21"/>
        </w:rPr>
        <w:t>医用电梯功能</w:t>
      </w:r>
      <w:r>
        <w:rPr>
          <w:rFonts w:hint="eastAsia" w:ascii="宋体" w:hAnsi="宋体" w:cs="宋体"/>
          <w:b/>
          <w:bCs/>
          <w:kern w:val="0"/>
          <w:szCs w:val="21"/>
        </w:rPr>
        <w:t>：</w:t>
      </w:r>
    </w:p>
    <w:tbl>
      <w:tblPr>
        <w:tblStyle w:val="40"/>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jc w:val="center"/>
              <w:rPr>
                <w:rFonts w:hint="eastAsia" w:ascii="宋体" w:hAnsi="宋体"/>
                <w:sz w:val="24"/>
                <w:szCs w:val="24"/>
              </w:rPr>
            </w:pPr>
            <w:r>
              <w:rPr>
                <w:rFonts w:hint="eastAsia" w:ascii="宋体" w:hAnsi="宋体"/>
                <w:sz w:val="24"/>
                <w:szCs w:val="24"/>
              </w:rPr>
              <w:t>功 能 名 称</w:t>
            </w:r>
          </w:p>
        </w:tc>
        <w:tc>
          <w:tcPr>
            <w:tcW w:w="7039" w:type="dxa"/>
            <w:vAlign w:val="center"/>
          </w:tcPr>
          <w:p>
            <w:pPr>
              <w:spacing w:line="360" w:lineRule="exact"/>
              <w:jc w:val="center"/>
              <w:rPr>
                <w:rFonts w:hint="eastAsia" w:ascii="宋体" w:hAnsi="宋体"/>
                <w:sz w:val="24"/>
                <w:szCs w:val="24"/>
              </w:rPr>
            </w:pPr>
            <w:r>
              <w:rPr>
                <w:rFonts w:hint="eastAsia" w:ascii="宋体" w:hAnsi="宋体"/>
                <w:sz w:val="24"/>
                <w:szCs w:val="24"/>
              </w:rPr>
              <w:t>功   能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电梯变频驱动</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精确调整电动机转速，令电梯启动、运行、停止的速度曲线平稳、圆滑，获得良好的舒适感。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9" w:hRule="atLeast"/>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门机变频驱动</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精确调整电动机转速，使门机的开启、并闭更轻柔灵敏。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独立运行</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通过动作开关，使电梯不响应外召，仅响应轿内指令。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应急照明</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停电时，自动打开轿内应急照明。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光幕保护</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门开启和关闭期间，用覆盖整个门高度的红外光探测乘客和物体的门保护装置。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指定停靠</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由于某种原因，电梯在目的层无法开门，电梯将关门运行至下一指定层楼。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自动不停站通过</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当轿内挤满乘客，或负载接近预定值，为保持最大运行效率，该轿厢将自动越过召唤层站。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超载停梯</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轿厢超越时，鸣响蜂鸣器并停止于该层站。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轿厢风扇/照明自动开关</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在规定的时间内没有召唤或指令信号，轿厢内的风扇和照明会自动关闭，以节能。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远程关闭</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通过钥匙开关，电梯可以被召唤到基站（服务完成后），并自动退出服务。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防止失速内部计数器保护</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由于曳引钢丝绳打滑而无法正常运行时，电梯停止运行。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启动保护控制</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电梯启动后在指定的时间内，没有离开门区，电梯停止运行。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检修操作</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当进入检修状态时，轿厢以0.3m/s速度点动运行。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点动运行</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当进入紧急电动状态时，轿厢以0.3m/s速度点动运行。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安全停层</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电梯发生故障停在层楼之间，控制器先做诊断检测，然后运行至指定层楼。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故障自诊断</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控制器可记录最新的62个故障，以便快速排除故障，迅速恢复电梯运行。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电梯门重复开关</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有时因阻碍或干扰，电梯门未能关闭，电梯门会重复打开或关闭，直到杂物被清除。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开门时间自动调整</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按照层站召唤或轿厢召唤的区别，自动调整保持开门时间。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本层重开门</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关门途中，可以按本层站召唤按钮使门重新开启。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即时关门</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电梯停站开门到位时，按下关门按钮，门立即被关闭。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停梯开门</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电梯减速平层，直到完全停稳后才开门。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轿内及层站微动指令按钮</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轿内操纵箱指令按钮及层站召唤按钮采用新型微动型按钮。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五方通话装置</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通过对讲机，可实现机房、轿顶、底坑、轿厢内、值班室通话。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警铃</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紧急时，连续按下轿内操纵箱上的警铃按钮，安装于轿厢顶上的电铃会鸣响。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轿内层楼、方向指示</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轿内显示电梯所在层楼及当前运行方向。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层站层楼、方向指示</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层站显示电梯所在层楼及当前运行方向。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上下越层及上下极限保护装置</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该装置可有效地防止当电梯万一发生失控时的冲顶或撞底现象，使电梯更安全可靠。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超速保护装置</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当电梯下降运行的速度超过额定速度的1.2倍时，该装置自动切断控制电源，使电机停止运转以阻止电梯超速下行；如电梯继续超速下行，其速度超过额定速度的1.4倍时，安全钳动作，强制电梯停止运行，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vAlign w:val="center"/>
          </w:tcPr>
          <w:p>
            <w:pPr>
              <w:spacing w:line="360" w:lineRule="exact"/>
              <w:rPr>
                <w:rFonts w:hint="eastAsia" w:ascii="宋体" w:hAnsi="宋体"/>
                <w:sz w:val="24"/>
                <w:szCs w:val="24"/>
              </w:rPr>
            </w:pPr>
            <w:r>
              <w:rPr>
                <w:rFonts w:hint="eastAsia" w:ascii="宋体" w:hAnsi="宋体"/>
                <w:sz w:val="24"/>
                <w:szCs w:val="24"/>
              </w:rPr>
              <w:t>消防返回</w:t>
            </w:r>
          </w:p>
        </w:tc>
        <w:tc>
          <w:tcPr>
            <w:tcW w:w="7039" w:type="dxa"/>
            <w:vAlign w:val="center"/>
          </w:tcPr>
          <w:p>
            <w:pPr>
              <w:spacing w:line="360" w:lineRule="exact"/>
              <w:rPr>
                <w:rFonts w:hint="eastAsia" w:ascii="宋体" w:hAnsi="宋体"/>
                <w:sz w:val="24"/>
                <w:szCs w:val="24"/>
              </w:rPr>
            </w:pPr>
            <w:r>
              <w:rPr>
                <w:rFonts w:hint="eastAsia" w:ascii="宋体" w:hAnsi="宋体"/>
                <w:sz w:val="24"/>
                <w:szCs w:val="24"/>
              </w:rPr>
              <w:t>启动基站或监控屏上的钥匙开关，所有召唤均被取消，电梯立即驶往指定救援层站停靠，并自动开门，</w:t>
            </w:r>
            <w:r>
              <w:rPr>
                <w:rFonts w:hint="eastAsia" w:ascii="宋体" w:hAnsi="宋体"/>
                <w:sz w:val="22"/>
                <w:szCs w:val="21"/>
              </w:rPr>
              <w:t>并符合消防的其它功能要求。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轿厢意外移动</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在开锁区域内且开门状态下，轿厢无指令离开层站的移动，不包含装卸载引起的移动。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层门强度</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层门在锁住位置时，所有层门及其门锁应有GB7588-2003标准的机械强度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轿门的开启</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szCs w:val="24"/>
              </w:rPr>
            </w:pPr>
            <w:r>
              <w:rPr>
                <w:rFonts w:hint="eastAsia" w:ascii="宋体" w:hAnsi="宋体"/>
                <w:sz w:val="24"/>
                <w:szCs w:val="24"/>
              </w:rPr>
              <w:t>当轿厢位于开锁区域内时才能从轿厢内打开轿门，任何原因电梯停在开锁区域，应能在GB7588-2003规定的位置用不超过300N的力，手动打开轿门和层门。</w:t>
            </w:r>
          </w:p>
        </w:tc>
      </w:tr>
    </w:tbl>
    <w:p>
      <w:pPr>
        <w:spacing w:line="440" w:lineRule="exact"/>
        <w:ind w:firstLine="480" w:firstLineChars="200"/>
        <w:rPr>
          <w:rFonts w:hint="eastAsia"/>
          <w:sz w:val="24"/>
        </w:rPr>
      </w:pPr>
      <w:r>
        <w:rPr>
          <w:rFonts w:hint="eastAsia"/>
          <w:sz w:val="24"/>
        </w:rPr>
        <w:t>注：本</w:t>
      </w:r>
      <w:r>
        <w:rPr>
          <w:rFonts w:hint="eastAsia"/>
          <w:sz w:val="24"/>
          <w:lang w:eastAsia="zh-CN"/>
        </w:rPr>
        <w:t>项目</w:t>
      </w:r>
      <w:r>
        <w:rPr>
          <w:rFonts w:hint="eastAsia"/>
          <w:sz w:val="24"/>
        </w:rPr>
        <w:t>为交钥匙工程，所有未尽事宜均按国家有关标准执行。</w:t>
      </w:r>
    </w:p>
    <w:p>
      <w:pPr>
        <w:spacing w:line="440" w:lineRule="exact"/>
        <w:ind w:firstLine="480" w:firstLineChars="200"/>
        <w:rPr>
          <w:rFonts w:hint="eastAsia"/>
          <w:sz w:val="24"/>
        </w:rPr>
      </w:pPr>
    </w:p>
    <w:p>
      <w:pPr>
        <w:spacing w:line="440" w:lineRule="exact"/>
        <w:ind w:firstLine="480" w:firstLineChars="200"/>
        <w:rPr>
          <w:rFonts w:ascii="宋体" w:cs="宋体"/>
          <w:b/>
          <w:bCs/>
          <w:sz w:val="24"/>
          <w:szCs w:val="21"/>
        </w:rPr>
      </w:pPr>
      <w:r>
        <w:rPr>
          <w:rFonts w:hint="eastAsia"/>
          <w:sz w:val="24"/>
        </w:rPr>
        <w:t>　</w:t>
      </w:r>
      <w:r>
        <w:rPr>
          <w:rFonts w:hint="eastAsia" w:ascii="宋体" w:hAnsi="宋体" w:cs="宋体"/>
          <w:b/>
          <w:bCs/>
          <w:sz w:val="24"/>
          <w:szCs w:val="21"/>
        </w:rPr>
        <w:t>电梯系统要求</w:t>
      </w:r>
    </w:p>
    <w:p>
      <w:pPr>
        <w:spacing w:line="440" w:lineRule="exact"/>
        <w:ind w:firstLine="480" w:firstLineChars="200"/>
        <w:rPr>
          <w:rFonts w:ascii="宋体" w:cs="宋体"/>
          <w:sz w:val="24"/>
          <w:szCs w:val="21"/>
        </w:rPr>
      </w:pPr>
      <w:r>
        <w:rPr>
          <w:rFonts w:hint="eastAsia" w:ascii="宋体" w:hAnsi="宋体" w:cs="宋体"/>
          <w:sz w:val="24"/>
          <w:szCs w:val="21"/>
        </w:rPr>
        <w:t>要求提供电梯品牌，质量上乘，采用最新的可靠微处理机技术，使电梯具有高运行效率和舒适平稳的驱动性能，具有节能和便于维修保养的故障诊断等系统。</w:t>
      </w:r>
    </w:p>
    <w:p>
      <w:pPr>
        <w:spacing w:line="440" w:lineRule="exact"/>
        <w:ind w:firstLine="480" w:firstLineChars="200"/>
        <w:rPr>
          <w:rFonts w:ascii="宋体" w:cs="宋体"/>
          <w:sz w:val="24"/>
          <w:szCs w:val="21"/>
        </w:rPr>
      </w:pPr>
      <w:r>
        <w:rPr>
          <w:rFonts w:ascii="宋体" w:hAnsi="宋体" w:cs="宋体"/>
          <w:sz w:val="24"/>
          <w:szCs w:val="21"/>
        </w:rPr>
        <w:t>1</w:t>
      </w:r>
      <w:r>
        <w:rPr>
          <w:rFonts w:hint="eastAsia" w:ascii="宋体" w:hAnsi="宋体" w:cs="宋体"/>
          <w:sz w:val="24"/>
          <w:szCs w:val="21"/>
        </w:rPr>
        <w:t>、型号规格：在满足技术规格及要求的条件下，各投标单位提出推荐选择的型号规格。</w:t>
      </w:r>
    </w:p>
    <w:p>
      <w:pPr>
        <w:spacing w:line="440" w:lineRule="exact"/>
        <w:ind w:firstLine="480" w:firstLineChars="200"/>
        <w:rPr>
          <w:rFonts w:ascii="宋体" w:cs="宋体"/>
          <w:sz w:val="24"/>
          <w:szCs w:val="21"/>
        </w:rPr>
      </w:pPr>
      <w:r>
        <w:rPr>
          <w:rFonts w:ascii="宋体" w:hAnsi="宋体" w:cs="宋体"/>
          <w:sz w:val="24"/>
          <w:szCs w:val="21"/>
        </w:rPr>
        <w:t>2</w:t>
      </w:r>
      <w:r>
        <w:rPr>
          <w:rFonts w:hint="eastAsia" w:ascii="宋体" w:hAnsi="宋体" w:cs="宋体"/>
          <w:sz w:val="24"/>
          <w:szCs w:val="21"/>
        </w:rPr>
        <w:t>、控制系统：用</w:t>
      </w:r>
      <w:r>
        <w:rPr>
          <w:rFonts w:ascii="宋体" w:hAnsi="宋体" w:cs="宋体"/>
          <w:sz w:val="24"/>
          <w:szCs w:val="21"/>
        </w:rPr>
        <w:t>32</w:t>
      </w:r>
      <w:r>
        <w:rPr>
          <w:rFonts w:hint="eastAsia" w:ascii="宋体" w:hAnsi="宋体" w:cs="宋体"/>
          <w:sz w:val="24"/>
          <w:szCs w:val="21"/>
        </w:rPr>
        <w:t>位电脑网络化串行分散控制系统，串行传输通讯应能满足抗干扰能力强、实时性高、通信容量大等要求。拖动控制部分要求采用不低于</w:t>
      </w:r>
      <w:r>
        <w:rPr>
          <w:rFonts w:ascii="宋体" w:hAnsi="宋体" w:cs="宋体"/>
          <w:sz w:val="24"/>
          <w:szCs w:val="21"/>
        </w:rPr>
        <w:t>VVVF</w:t>
      </w:r>
      <w:r>
        <w:rPr>
          <w:rFonts w:hint="eastAsia" w:ascii="宋体" w:hAnsi="宋体" w:cs="宋体"/>
          <w:sz w:val="24"/>
          <w:szCs w:val="21"/>
        </w:rPr>
        <w:t>变压变频调速的控制技术。控制柜主板、变频要提供高效节能和具有良好动力特性的</w:t>
      </w:r>
      <w:r>
        <w:rPr>
          <w:rFonts w:ascii="宋体" w:hAnsi="宋体" w:cs="宋体"/>
          <w:sz w:val="24"/>
          <w:szCs w:val="21"/>
        </w:rPr>
        <w:t>PM</w:t>
      </w:r>
      <w:r>
        <w:rPr>
          <w:rFonts w:hint="eastAsia" w:ascii="宋体" w:hAnsi="宋体" w:cs="宋体"/>
          <w:sz w:val="24"/>
          <w:szCs w:val="21"/>
        </w:rPr>
        <w:t>永磁同齿进曳引机。</w:t>
      </w:r>
    </w:p>
    <w:p>
      <w:pPr>
        <w:spacing w:line="440" w:lineRule="exact"/>
        <w:ind w:firstLine="480" w:firstLineChars="200"/>
        <w:rPr>
          <w:rFonts w:ascii="宋体" w:cs="宋体"/>
          <w:sz w:val="24"/>
          <w:szCs w:val="21"/>
        </w:rPr>
      </w:pPr>
      <w:r>
        <w:rPr>
          <w:rFonts w:hint="eastAsia" w:ascii="宋体" w:hAnsi="宋体" w:cs="宋体"/>
          <w:sz w:val="24"/>
          <w:szCs w:val="21"/>
          <w:lang w:val="en-US" w:eastAsia="zh-CN"/>
        </w:rPr>
        <w:t>3</w:t>
      </w:r>
      <w:r>
        <w:rPr>
          <w:rFonts w:hint="eastAsia" w:ascii="宋体" w:hAnsi="宋体" w:cs="宋体"/>
          <w:sz w:val="24"/>
          <w:szCs w:val="21"/>
        </w:rPr>
        <w:t>、轿厢：轿体要求制作精良，连接紧固，抗变形能力强，符合相关安全标准，要求采用滑动式导靴和装置渐进式安全钳；轿厢外顶部设置轿顶防护栏杆，轿厢内饰精致典雅，照明和换气设备良好耐用，有断电应急照明、无噪音排风机。轿门边设置一个发纹不锈钢控制操纵盘。</w:t>
      </w:r>
    </w:p>
    <w:p>
      <w:pPr>
        <w:spacing w:line="440" w:lineRule="exact"/>
        <w:ind w:firstLine="480" w:firstLineChars="200"/>
        <w:rPr>
          <w:rFonts w:ascii="宋体" w:cs="宋体"/>
          <w:sz w:val="24"/>
          <w:szCs w:val="21"/>
        </w:rPr>
      </w:pPr>
      <w:r>
        <w:rPr>
          <w:rFonts w:hint="eastAsia" w:ascii="宋体" w:hAnsi="宋体" w:cs="宋体"/>
          <w:sz w:val="24"/>
          <w:szCs w:val="21"/>
          <w:lang w:val="en-US" w:eastAsia="zh-CN"/>
        </w:rPr>
        <w:t>4</w:t>
      </w:r>
      <w:r>
        <w:rPr>
          <w:rFonts w:hint="eastAsia" w:ascii="宋体" w:hAnsi="宋体" w:cs="宋体"/>
          <w:sz w:val="24"/>
          <w:szCs w:val="21"/>
        </w:rPr>
        <w:t>、轿厢内控制操纵盘：要求为按钮、显示操纵箱，为方便使用，不得把层站显示放置在门头上侧，状态显示灯、对讲机和内呼叫按钮等，提供给乘客方便的操作和显示电梯的主要运行状态。</w:t>
      </w:r>
    </w:p>
    <w:p>
      <w:pPr>
        <w:spacing w:line="440" w:lineRule="exact"/>
        <w:ind w:firstLine="480" w:firstLineChars="200"/>
        <w:rPr>
          <w:rFonts w:ascii="宋体" w:cs="宋体"/>
          <w:sz w:val="24"/>
          <w:szCs w:val="21"/>
        </w:rPr>
      </w:pPr>
      <w:r>
        <w:rPr>
          <w:rFonts w:hint="eastAsia" w:ascii="宋体" w:hAnsi="宋体" w:cs="宋体"/>
          <w:sz w:val="24"/>
          <w:szCs w:val="21"/>
          <w:lang w:val="en-US" w:eastAsia="zh-CN"/>
        </w:rPr>
        <w:t>5</w:t>
      </w:r>
      <w:r>
        <w:rPr>
          <w:rFonts w:hint="eastAsia" w:ascii="宋体" w:hAnsi="宋体" w:cs="宋体"/>
          <w:sz w:val="24"/>
          <w:szCs w:val="21"/>
        </w:rPr>
        <w:t>、门机系统：要求采用高性能交流</w:t>
      </w:r>
      <w:r>
        <w:rPr>
          <w:rFonts w:ascii="宋体" w:hAnsi="宋体" w:cs="宋体"/>
          <w:sz w:val="24"/>
          <w:szCs w:val="21"/>
        </w:rPr>
        <w:t>VVVF</w:t>
      </w:r>
      <w:r>
        <w:rPr>
          <w:rFonts w:hint="eastAsia" w:ascii="宋体" w:hAnsi="宋体" w:cs="宋体"/>
          <w:sz w:val="24"/>
          <w:szCs w:val="21"/>
        </w:rPr>
        <w:t>控制技术的变频门机，双门传动要求采用缆而非杆式机械传动机构，采用</w:t>
      </w:r>
      <w:r>
        <w:rPr>
          <w:rFonts w:ascii="宋体" w:hAnsi="宋体" w:cs="宋体"/>
          <w:sz w:val="24"/>
          <w:szCs w:val="21"/>
        </w:rPr>
        <w:t>304</w:t>
      </w:r>
      <w:r>
        <w:rPr>
          <w:rFonts w:hint="eastAsia" w:ascii="宋体" w:hAnsi="宋体" w:cs="宋体"/>
          <w:sz w:val="24"/>
          <w:szCs w:val="21"/>
        </w:rPr>
        <w:t>发纹不锈钢，开关门时间短，灵活自如，安静快捷；</w:t>
      </w:r>
      <w:r>
        <w:rPr>
          <w:rFonts w:ascii="宋体" w:cs="宋体"/>
          <w:sz w:val="24"/>
          <w:szCs w:val="21"/>
        </w:rPr>
        <w:t xml:space="preserve"> </w:t>
      </w:r>
    </w:p>
    <w:p>
      <w:pPr>
        <w:spacing w:line="440" w:lineRule="exact"/>
        <w:ind w:firstLine="480" w:firstLineChars="200"/>
        <w:rPr>
          <w:rFonts w:hint="eastAsia" w:ascii="宋体" w:hAnsi="宋体" w:cs="宋体"/>
          <w:sz w:val="24"/>
          <w:szCs w:val="21"/>
          <w:lang w:val="en-US" w:eastAsia="zh-CN"/>
        </w:rPr>
      </w:pPr>
      <w:r>
        <w:rPr>
          <w:rFonts w:hint="eastAsia" w:ascii="宋体" w:hAnsi="宋体" w:cs="宋体"/>
          <w:sz w:val="24"/>
          <w:szCs w:val="21"/>
          <w:lang w:val="en-US" w:eastAsia="zh-CN"/>
        </w:rPr>
        <w:t>6</w:t>
      </w:r>
      <w:r>
        <w:rPr>
          <w:rFonts w:hint="eastAsia" w:ascii="宋体" w:hAnsi="宋体" w:cs="宋体"/>
          <w:sz w:val="24"/>
          <w:szCs w:val="21"/>
        </w:rPr>
        <w:t>、光幕门保护装置：要求该装置有足够光束数交叉形成保护光幕，光幕上下端满至门顶和门底。</w:t>
      </w:r>
      <w:r>
        <w:rPr>
          <w:rFonts w:hint="eastAsia" w:ascii="宋体" w:hAnsi="宋体" w:cs="宋体"/>
          <w:sz w:val="24"/>
          <w:szCs w:val="21"/>
          <w:lang w:val="en-US" w:eastAsia="zh-CN"/>
        </w:rPr>
        <w:t xml:space="preserve"> </w:t>
      </w:r>
    </w:p>
    <w:p>
      <w:pPr>
        <w:spacing w:line="440" w:lineRule="exact"/>
        <w:ind w:firstLine="480" w:firstLineChars="200"/>
        <w:rPr>
          <w:rFonts w:ascii="宋体" w:cs="宋体"/>
          <w:sz w:val="24"/>
          <w:szCs w:val="21"/>
        </w:rPr>
      </w:pPr>
      <w:r>
        <w:rPr>
          <w:rFonts w:hint="eastAsia" w:ascii="宋体" w:hAnsi="宋体" w:cs="宋体"/>
          <w:sz w:val="24"/>
          <w:szCs w:val="21"/>
          <w:lang w:val="en-US" w:eastAsia="zh-CN"/>
        </w:rPr>
        <w:t>7</w:t>
      </w:r>
      <w:r>
        <w:rPr>
          <w:rFonts w:hint="eastAsia" w:ascii="宋体" w:hAnsi="宋体" w:cs="宋体"/>
          <w:sz w:val="24"/>
          <w:szCs w:val="21"/>
        </w:rPr>
        <w:t>、外呼梯按钮盒及外层站显示器：要求美观大方，结实耐用，数字清晰，采用楼层显示、按钮一体型（联控）外呼梯按钮盒，显示器为液晶显示。</w:t>
      </w:r>
    </w:p>
    <w:p>
      <w:pPr>
        <w:spacing w:line="440" w:lineRule="exact"/>
        <w:ind w:firstLine="480" w:firstLineChars="200"/>
        <w:rPr>
          <w:rFonts w:ascii="宋体" w:cs="宋体"/>
          <w:sz w:val="24"/>
          <w:szCs w:val="21"/>
        </w:rPr>
      </w:pPr>
      <w:r>
        <w:rPr>
          <w:rFonts w:hint="eastAsia" w:ascii="宋体" w:hAnsi="宋体" w:cs="宋体"/>
          <w:sz w:val="24"/>
          <w:szCs w:val="21"/>
          <w:lang w:val="en-US" w:eastAsia="zh-CN"/>
        </w:rPr>
        <w:t>8</w:t>
      </w:r>
      <w:r>
        <w:rPr>
          <w:rFonts w:hint="eastAsia" w:ascii="宋体" w:hAnsi="宋体" w:cs="宋体"/>
          <w:sz w:val="24"/>
          <w:szCs w:val="21"/>
        </w:rPr>
        <w:t>、导轨（轿厢导轨、对重导轨）：</w:t>
      </w:r>
      <w:r>
        <w:rPr>
          <w:rFonts w:ascii="宋体" w:hAnsi="宋体" w:cs="宋体"/>
          <w:sz w:val="24"/>
          <w:szCs w:val="21"/>
        </w:rPr>
        <w:t>T</w:t>
      </w:r>
      <w:r>
        <w:rPr>
          <w:rFonts w:hint="eastAsia" w:ascii="宋体" w:hAnsi="宋体" w:cs="宋体"/>
          <w:sz w:val="24"/>
          <w:szCs w:val="21"/>
        </w:rPr>
        <w:t>型耐磨导轨，抗变形能力强。</w:t>
      </w:r>
    </w:p>
    <w:p>
      <w:pPr>
        <w:spacing w:line="440" w:lineRule="exact"/>
        <w:ind w:firstLine="480" w:firstLineChars="200"/>
        <w:rPr>
          <w:rFonts w:ascii="宋体" w:cs="宋体"/>
          <w:sz w:val="24"/>
          <w:szCs w:val="21"/>
        </w:rPr>
      </w:pPr>
      <w:r>
        <w:rPr>
          <w:rFonts w:hint="eastAsia" w:ascii="宋体" w:hAnsi="宋体" w:cs="宋体"/>
          <w:sz w:val="24"/>
          <w:szCs w:val="21"/>
          <w:lang w:val="en-US" w:eastAsia="zh-CN"/>
        </w:rPr>
        <w:t>9</w:t>
      </w:r>
      <w:r>
        <w:rPr>
          <w:rFonts w:hint="eastAsia" w:ascii="宋体" w:hAnsi="宋体" w:cs="宋体"/>
          <w:sz w:val="24"/>
          <w:szCs w:val="21"/>
        </w:rPr>
        <w:t>、对重装置：对重架要求制作精细，抗变形能力强，符合相关安全标准。要求采用滑动式导靴</w:t>
      </w:r>
      <w:r>
        <w:rPr>
          <w:rFonts w:ascii="宋体" w:hAnsi="宋体" w:cs="宋体"/>
          <w:sz w:val="24"/>
          <w:szCs w:val="21"/>
        </w:rPr>
        <w:t xml:space="preserve">. </w:t>
      </w:r>
    </w:p>
    <w:p>
      <w:pPr>
        <w:spacing w:line="440" w:lineRule="exact"/>
        <w:ind w:firstLine="480" w:firstLineChars="200"/>
        <w:rPr>
          <w:rFonts w:ascii="宋体" w:cs="宋体"/>
          <w:sz w:val="24"/>
          <w:szCs w:val="21"/>
        </w:rPr>
      </w:pPr>
      <w:r>
        <w:rPr>
          <w:rFonts w:hint="eastAsia" w:ascii="宋体" w:hAnsi="宋体" w:cs="宋体"/>
          <w:sz w:val="24"/>
          <w:szCs w:val="21"/>
          <w:lang w:val="en-US" w:eastAsia="zh-CN"/>
        </w:rPr>
        <w:t>10</w:t>
      </w:r>
      <w:r>
        <w:rPr>
          <w:rFonts w:hint="eastAsia" w:ascii="宋体" w:hAnsi="宋体" w:cs="宋体"/>
          <w:sz w:val="24"/>
          <w:szCs w:val="21"/>
        </w:rPr>
        <w:t>、补偿装置：要求采用带胶套的无声补偿链。</w:t>
      </w:r>
    </w:p>
    <w:p>
      <w:pPr>
        <w:spacing w:line="440" w:lineRule="exact"/>
        <w:ind w:firstLine="480" w:firstLineChars="200"/>
        <w:rPr>
          <w:rFonts w:ascii="宋体" w:cs="宋体"/>
          <w:sz w:val="24"/>
          <w:szCs w:val="21"/>
        </w:rPr>
      </w:pPr>
      <w:r>
        <w:rPr>
          <w:rFonts w:ascii="宋体" w:hAnsi="宋体" w:cs="宋体"/>
          <w:sz w:val="24"/>
          <w:szCs w:val="21"/>
        </w:rPr>
        <w:t>1</w:t>
      </w:r>
      <w:r>
        <w:rPr>
          <w:rFonts w:hint="eastAsia" w:ascii="宋体" w:hAnsi="宋体" w:cs="宋体"/>
          <w:sz w:val="24"/>
          <w:szCs w:val="21"/>
          <w:lang w:val="en-US" w:eastAsia="zh-CN"/>
        </w:rPr>
        <w:t>1</w:t>
      </w:r>
      <w:r>
        <w:rPr>
          <w:rFonts w:hint="eastAsia" w:ascii="宋体" w:hAnsi="宋体" w:cs="宋体"/>
          <w:sz w:val="24"/>
          <w:szCs w:val="21"/>
        </w:rPr>
        <w:t>、钢丝绳：要求采用电梯专用的复绕式钢丝绳，其安全储备系数≥</w:t>
      </w:r>
      <w:r>
        <w:rPr>
          <w:rFonts w:ascii="宋体" w:hAnsi="宋体" w:cs="宋体"/>
          <w:sz w:val="24"/>
          <w:szCs w:val="21"/>
        </w:rPr>
        <w:t>12</w:t>
      </w:r>
      <w:r>
        <w:rPr>
          <w:rFonts w:hint="eastAsia" w:ascii="宋体" w:hAnsi="宋体" w:cs="宋体"/>
          <w:sz w:val="24"/>
          <w:szCs w:val="21"/>
        </w:rPr>
        <w:t>（或采用复合钢带），并提供使用寿命。</w:t>
      </w:r>
    </w:p>
    <w:p>
      <w:pPr>
        <w:spacing w:line="440" w:lineRule="exact"/>
        <w:ind w:firstLine="480" w:firstLineChars="200"/>
        <w:rPr>
          <w:rFonts w:ascii="宋体" w:cs="宋体"/>
          <w:sz w:val="24"/>
          <w:szCs w:val="21"/>
        </w:rPr>
      </w:pPr>
      <w:r>
        <w:rPr>
          <w:rFonts w:ascii="宋体" w:hAnsi="宋体" w:cs="宋体"/>
          <w:sz w:val="24"/>
          <w:szCs w:val="21"/>
        </w:rPr>
        <w:t>1</w:t>
      </w:r>
      <w:r>
        <w:rPr>
          <w:rFonts w:hint="eastAsia" w:ascii="宋体" w:hAnsi="宋体" w:cs="宋体"/>
          <w:sz w:val="24"/>
          <w:szCs w:val="21"/>
          <w:lang w:val="en-US" w:eastAsia="zh-CN"/>
        </w:rPr>
        <w:t>2</w:t>
      </w:r>
      <w:r>
        <w:rPr>
          <w:rFonts w:hint="eastAsia" w:ascii="宋体" w:hAnsi="宋体" w:cs="宋体"/>
          <w:sz w:val="24"/>
          <w:szCs w:val="21"/>
        </w:rPr>
        <w:t>、随行电缆：要求采用电梯专用电缆，防火性能与大楼的耐火等级相匹配。</w:t>
      </w:r>
    </w:p>
    <w:p>
      <w:pPr>
        <w:spacing w:line="440" w:lineRule="exact"/>
        <w:ind w:firstLine="480" w:firstLineChars="200"/>
        <w:rPr>
          <w:rFonts w:ascii="宋体" w:cs="宋体"/>
          <w:sz w:val="24"/>
          <w:szCs w:val="21"/>
        </w:rPr>
      </w:pPr>
      <w:r>
        <w:rPr>
          <w:rFonts w:ascii="宋体" w:hAnsi="宋体" w:cs="宋体"/>
          <w:sz w:val="24"/>
          <w:szCs w:val="21"/>
        </w:rPr>
        <w:t>1</w:t>
      </w:r>
      <w:r>
        <w:rPr>
          <w:rFonts w:hint="eastAsia" w:ascii="宋体" w:hAnsi="宋体" w:cs="宋体"/>
          <w:sz w:val="24"/>
          <w:szCs w:val="21"/>
          <w:lang w:val="en-US" w:eastAsia="zh-CN"/>
        </w:rPr>
        <w:t>3</w:t>
      </w:r>
      <w:r>
        <w:rPr>
          <w:rFonts w:hint="eastAsia" w:ascii="宋体" w:hAnsi="宋体" w:cs="宋体"/>
          <w:sz w:val="24"/>
          <w:szCs w:val="21"/>
        </w:rPr>
        <w:t>、井道内固定件：要求其零部件结构合理，牢固耐用，抗锈蚀能力强。</w:t>
      </w:r>
    </w:p>
    <w:p>
      <w:pPr>
        <w:spacing w:line="440" w:lineRule="exact"/>
        <w:ind w:firstLine="480" w:firstLineChars="200"/>
        <w:rPr>
          <w:rFonts w:ascii="宋体" w:cs="宋体"/>
          <w:sz w:val="24"/>
          <w:szCs w:val="21"/>
        </w:rPr>
      </w:pPr>
      <w:r>
        <w:rPr>
          <w:rFonts w:ascii="宋体" w:hAnsi="宋体" w:cs="宋体"/>
          <w:sz w:val="24"/>
          <w:szCs w:val="21"/>
        </w:rPr>
        <w:t>1</w:t>
      </w:r>
      <w:r>
        <w:rPr>
          <w:rFonts w:hint="eastAsia" w:ascii="宋体" w:hAnsi="宋体" w:cs="宋体"/>
          <w:sz w:val="24"/>
          <w:szCs w:val="21"/>
          <w:lang w:val="en-US" w:eastAsia="zh-CN"/>
        </w:rPr>
        <w:t>4</w:t>
      </w:r>
      <w:r>
        <w:rPr>
          <w:rFonts w:hint="eastAsia" w:ascii="宋体" w:hAnsi="宋体" w:cs="宋体"/>
          <w:sz w:val="24"/>
          <w:szCs w:val="21"/>
        </w:rPr>
        <w:t>、井道照明：按标配每部电梯每层安装一组井道照明装置。最高最低照明装置距井道上下端各为</w:t>
      </w:r>
      <w:r>
        <w:rPr>
          <w:rFonts w:ascii="宋体" w:hAnsi="宋体" w:cs="宋体"/>
          <w:sz w:val="24"/>
          <w:szCs w:val="21"/>
        </w:rPr>
        <w:t>0.5</w:t>
      </w:r>
      <w:r>
        <w:rPr>
          <w:rFonts w:hint="eastAsia" w:ascii="宋体" w:hAnsi="宋体" w:cs="宋体"/>
          <w:sz w:val="24"/>
          <w:szCs w:val="21"/>
        </w:rPr>
        <w:t>米。</w:t>
      </w:r>
    </w:p>
    <w:p>
      <w:pPr>
        <w:spacing w:line="440" w:lineRule="exact"/>
        <w:ind w:firstLine="480" w:firstLineChars="200"/>
        <w:rPr>
          <w:rFonts w:ascii="宋体" w:cs="宋体"/>
          <w:sz w:val="24"/>
          <w:szCs w:val="21"/>
        </w:rPr>
      </w:pPr>
      <w:r>
        <w:rPr>
          <w:rFonts w:hint="eastAsia" w:ascii="宋体" w:hAnsi="宋体" w:cs="宋体"/>
          <w:sz w:val="24"/>
          <w:szCs w:val="21"/>
          <w:lang w:val="en-US" w:eastAsia="zh-CN"/>
        </w:rPr>
        <w:t>15</w:t>
      </w:r>
      <w:r>
        <w:rPr>
          <w:rFonts w:hint="eastAsia" w:ascii="宋体" w:hAnsi="宋体" w:cs="宋体"/>
          <w:sz w:val="24"/>
          <w:szCs w:val="21"/>
        </w:rPr>
        <w:t>、限速器：要求采用离心式限速器。</w:t>
      </w:r>
    </w:p>
    <w:p>
      <w:pPr>
        <w:spacing w:line="440" w:lineRule="exact"/>
        <w:ind w:firstLine="480" w:firstLineChars="200"/>
        <w:jc w:val="left"/>
        <w:rPr>
          <w:rFonts w:asciiTheme="majorEastAsia" w:hAnsiTheme="majorEastAsia" w:eastAsiaTheme="majorEastAsia"/>
          <w:b/>
          <w:sz w:val="24"/>
          <w:szCs w:val="24"/>
        </w:rPr>
      </w:pPr>
      <w:r>
        <w:rPr>
          <w:rFonts w:hint="eastAsia" w:ascii="宋体" w:hAnsi="宋体" w:cs="宋体"/>
          <w:sz w:val="24"/>
          <w:szCs w:val="21"/>
          <w:lang w:val="en-US" w:eastAsia="zh-CN"/>
        </w:rPr>
        <w:t>16</w:t>
      </w:r>
      <w:r>
        <w:rPr>
          <w:rFonts w:hint="eastAsia" w:ascii="宋体" w:hAnsi="宋体" w:cs="宋体"/>
          <w:sz w:val="24"/>
          <w:szCs w:val="21"/>
        </w:rPr>
        <w:t>、消防控制</w:t>
      </w:r>
      <w:r>
        <w:rPr>
          <w:rFonts w:ascii="宋体" w:hAnsi="宋体" w:cs="宋体"/>
          <w:sz w:val="24"/>
          <w:szCs w:val="21"/>
        </w:rPr>
        <w:t>:</w:t>
      </w:r>
      <w:r>
        <w:rPr>
          <w:rFonts w:hint="eastAsia" w:ascii="宋体" w:hAnsi="宋体" w:cs="宋体"/>
          <w:sz w:val="24"/>
          <w:szCs w:val="21"/>
        </w:rPr>
        <w:t>首层消防电梯门边设有打碎玻璃按钮和钥匙开关，以便消防人员紧急救火时使用，钥匙开关具有优先权，并满足消防有关规定要求。</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bookmarkStart w:id="180" w:name="_Toc3649"/>
      <w:bookmarkStart w:id="181" w:name="_Toc1384"/>
      <w:r>
        <w:rPr>
          <w:rFonts w:hint="eastAsia" w:asciiTheme="majorEastAsia" w:hAnsiTheme="majorEastAsia" w:eastAsiaTheme="majorEastAsia"/>
          <w:b/>
          <w:sz w:val="24"/>
          <w:szCs w:val="24"/>
        </w:rPr>
        <w:t>第五章  合同签订及条款</w:t>
      </w:r>
      <w:bookmarkEnd w:id="180"/>
      <w:bookmarkEnd w:id="181"/>
    </w:p>
    <w:p>
      <w:pPr>
        <w:spacing w:line="440" w:lineRule="exact"/>
        <w:ind w:firstLine="480" w:firstLineChars="200"/>
        <w:rPr>
          <w:rFonts w:asciiTheme="majorEastAsia" w:hAnsiTheme="majorEastAsia" w:eastAsiaTheme="majorEastAsia"/>
          <w:sz w:val="24"/>
          <w:szCs w:val="24"/>
        </w:rPr>
      </w:pPr>
      <w:bookmarkStart w:id="182" w:name="_Toc1706"/>
      <w:r>
        <w:rPr>
          <w:rFonts w:asciiTheme="majorEastAsia" w:hAnsiTheme="majorEastAsia" w:eastAsiaTheme="majorEastAsia"/>
          <w:sz w:val="24"/>
          <w:szCs w:val="24"/>
        </w:rPr>
        <w:t>1.</w:t>
      </w:r>
      <w:r>
        <w:rPr>
          <w:rFonts w:hint="eastAsia" w:asciiTheme="majorEastAsia" w:hAnsiTheme="majorEastAsia" w:eastAsiaTheme="majorEastAsia"/>
          <w:sz w:val="24"/>
          <w:szCs w:val="24"/>
        </w:rPr>
        <w:t>合同签订</w:t>
      </w:r>
      <w:bookmarkEnd w:id="182"/>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1.1 </w:t>
      </w:r>
      <w:r>
        <w:rPr>
          <w:rFonts w:hint="eastAsia" w:asciiTheme="majorEastAsia" w:hAnsiTheme="majorEastAsia" w:eastAsiaTheme="majorEastAsia"/>
          <w:sz w:val="24"/>
          <w:szCs w:val="24"/>
        </w:rPr>
        <w:t>中标人应按中标通知书指定的时间、地点，与采购人签订合同。中标人与采购人不得签订背离招标文件实质性内容的合同，否则合同无效。</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1.2 </w:t>
      </w:r>
      <w:r>
        <w:rPr>
          <w:rFonts w:hint="eastAsia" w:asciiTheme="majorEastAsia" w:hAnsiTheme="majorEastAsia" w:eastAsiaTheme="majorEastAsia"/>
          <w:sz w:val="24"/>
          <w:szCs w:val="24"/>
        </w:rPr>
        <w:t>如采购人或中标人拒签合同，则按违约处理。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1.3 </w:t>
      </w:r>
      <w:r>
        <w:rPr>
          <w:rFonts w:hint="eastAsia" w:asciiTheme="majorEastAsia" w:hAnsiTheme="majorEastAsia" w:eastAsiaTheme="majorEastAsia"/>
          <w:sz w:val="24"/>
          <w:szCs w:val="24"/>
        </w:rPr>
        <w:t>如中标人不按本招标文件要求签订合同，则取消其中标资格。招标人并依法追究中标人的缔约过失责任及其他法律责任。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1.4 </w:t>
      </w:r>
      <w:r>
        <w:rPr>
          <w:rFonts w:hint="eastAsia" w:asciiTheme="majorEastAsia" w:hAnsiTheme="majorEastAsia" w:eastAsiaTheme="majorEastAsia"/>
          <w:sz w:val="24"/>
          <w:szCs w:val="24"/>
        </w:rPr>
        <w:t>采购人追加合同标的权利：签订合同后，采购人如需追加与合同标的相同的货物、工程或者服务的，在不改变本合同其他条款的前提下，可以与中标人协商签订补充合同，但所有补充合同的采购金额不得超过原合同采购金额的</w:t>
      </w:r>
      <w:r>
        <w:rPr>
          <w:rFonts w:asciiTheme="majorEastAsia" w:hAnsiTheme="majorEastAsia" w:eastAsiaTheme="majorEastAsia"/>
          <w:sz w:val="24"/>
          <w:szCs w:val="24"/>
        </w:rPr>
        <w:t>10%</w:t>
      </w:r>
      <w:r>
        <w:rPr>
          <w:rFonts w:hint="eastAsia" w:asciiTheme="majorEastAsia" w:hAnsiTheme="majorEastAsia" w:eastAsiaTheme="majorEastAsia"/>
          <w:sz w:val="24"/>
          <w:szCs w:val="24"/>
        </w:rPr>
        <w:t>。</w:t>
      </w:r>
      <w:r>
        <w:rPr>
          <w:rFonts w:asciiTheme="majorEastAsia" w:hAnsiTheme="majorEastAsia" w:eastAsiaTheme="majorEastAsia"/>
          <w:sz w:val="24"/>
          <w:szCs w:val="24"/>
        </w:rPr>
        <w:tab/>
      </w:r>
    </w:p>
    <w:p>
      <w:pPr>
        <w:spacing w:line="440" w:lineRule="exact"/>
        <w:ind w:firstLine="480" w:firstLineChars="200"/>
        <w:rPr>
          <w:rFonts w:asciiTheme="majorEastAsia" w:hAnsiTheme="majorEastAsia" w:eastAsiaTheme="majorEastAsia"/>
          <w:sz w:val="24"/>
          <w:szCs w:val="24"/>
        </w:rPr>
      </w:pPr>
      <w:bookmarkStart w:id="183" w:name="_Toc421284761"/>
      <w:bookmarkStart w:id="184" w:name="_Toc488422613"/>
      <w:bookmarkStart w:id="185" w:name="_Toc9383"/>
      <w:bookmarkStart w:id="186" w:name="_Toc3663"/>
      <w:bookmarkStart w:id="187" w:name="_Toc6716"/>
      <w:bookmarkStart w:id="188" w:name="_Toc8336"/>
      <w:bookmarkStart w:id="189" w:name="_Toc27043"/>
      <w:bookmarkStart w:id="190" w:name="_Toc488422014"/>
      <w:bookmarkStart w:id="191" w:name="_Toc32638"/>
      <w:bookmarkStart w:id="192" w:name="_Toc18545"/>
      <w:bookmarkStart w:id="193" w:name="_Toc21209"/>
      <w:r>
        <w:rPr>
          <w:rFonts w:asciiTheme="majorEastAsia" w:hAnsiTheme="majorEastAsia" w:eastAsiaTheme="majorEastAsia"/>
          <w:sz w:val="24"/>
          <w:szCs w:val="24"/>
        </w:rPr>
        <w:t>2.</w:t>
      </w:r>
      <w:r>
        <w:rPr>
          <w:rFonts w:hint="eastAsia" w:asciiTheme="majorEastAsia" w:hAnsiTheme="majorEastAsia" w:eastAsiaTheme="majorEastAsia"/>
          <w:sz w:val="24"/>
          <w:szCs w:val="24"/>
        </w:rPr>
        <w:t>合同一般条款</w:t>
      </w:r>
      <w:bookmarkEnd w:id="183"/>
      <w:bookmarkEnd w:id="184"/>
      <w:bookmarkEnd w:id="185"/>
      <w:bookmarkEnd w:id="186"/>
      <w:bookmarkEnd w:id="187"/>
      <w:bookmarkEnd w:id="188"/>
      <w:bookmarkEnd w:id="189"/>
      <w:bookmarkEnd w:id="190"/>
      <w:bookmarkEnd w:id="191"/>
      <w:bookmarkEnd w:id="192"/>
      <w:bookmarkEnd w:id="193"/>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2.1</w:t>
      </w:r>
      <w:r>
        <w:rPr>
          <w:rFonts w:hint="eastAsia" w:asciiTheme="majorEastAsia" w:hAnsiTheme="majorEastAsia" w:eastAsiaTheme="majorEastAsia"/>
          <w:sz w:val="24"/>
          <w:szCs w:val="24"/>
        </w:rPr>
        <w:t>、定义</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）甲方（需方）即采购人，是指通过招标采购，接受合同货物及服务的各级国家机关、事业单位和团体组织。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）乙方（供方）即中标供应商，是指中标后提供合同货物和服务的自然人、法人及其他组织。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）合同是指由甲乙双方按照招标文件和投标文件的实质性内容，通过协商一致达成的书面协议。</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4</w:t>
      </w:r>
      <w:r>
        <w:rPr>
          <w:rFonts w:hint="eastAsia" w:asciiTheme="majorEastAsia" w:hAnsiTheme="majorEastAsia" w:eastAsiaTheme="majorEastAsia"/>
          <w:sz w:val="24"/>
          <w:szCs w:val="24"/>
        </w:rPr>
        <w:t>）合同价格指以中标价格为依据，在供方全面履行合同义务后，需方应支付给供方的金额。</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5</w:t>
      </w:r>
      <w:r>
        <w:rPr>
          <w:rFonts w:hint="eastAsia" w:asciiTheme="majorEastAsia" w:hAnsiTheme="majorEastAsia" w:eastAsiaTheme="majorEastAsia"/>
          <w:sz w:val="24"/>
          <w:szCs w:val="24"/>
        </w:rPr>
        <w:t>）技术资料是指合同货物及其相关的设计、制造、监造、检验、验收等文件（包括图纸、各种文字说明、标准）。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2.2</w:t>
      </w:r>
      <w:r>
        <w:rPr>
          <w:rFonts w:hint="eastAsia" w:asciiTheme="majorEastAsia" w:hAnsiTheme="majorEastAsia" w:eastAsiaTheme="majorEastAsia"/>
          <w:sz w:val="24"/>
          <w:szCs w:val="24"/>
        </w:rPr>
        <w:t>、货物内容</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合同包括以下内容：货物名称、规格型号、技术参数、数量（单位）等内容。</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2.3</w:t>
      </w:r>
      <w:r>
        <w:rPr>
          <w:rFonts w:hint="eastAsia" w:asciiTheme="majorEastAsia" w:hAnsiTheme="majorEastAsia" w:eastAsiaTheme="majorEastAsia"/>
          <w:sz w:val="24"/>
          <w:szCs w:val="24"/>
        </w:rPr>
        <w:t>、合同价格</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）合同价格即合同总价。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）合同价格包括合同货物、技术资料、合同货物的税费、运杂费、保险费、包装费、装卸费及与货物有关的供方应纳的税费等，所有税费由乙方负担。</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2.4</w:t>
      </w:r>
      <w:r>
        <w:rPr>
          <w:rFonts w:hint="eastAsia" w:asciiTheme="majorEastAsia" w:hAnsiTheme="majorEastAsia" w:eastAsiaTheme="majorEastAsia"/>
          <w:sz w:val="24"/>
          <w:szCs w:val="24"/>
        </w:rPr>
        <w:t>、转包或分包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）本合同范围的货物，应由乙方直接供应，不得转让他人供应；</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）非经甲方书面同意，乙方不得将本合同范围的货物全部或部分分包给他人供应；</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）如有转让和未经甲方同意的分包行为，甲方有权解除合同，履约保证金不予退还并追究乙方的违约责任。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2.5</w:t>
      </w:r>
      <w:r>
        <w:rPr>
          <w:rFonts w:hint="eastAsia" w:asciiTheme="majorEastAsia" w:hAnsiTheme="majorEastAsia" w:eastAsiaTheme="majorEastAsia"/>
          <w:sz w:val="24"/>
          <w:szCs w:val="24"/>
        </w:rPr>
        <w:t>、质量保证及售后服务</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）乙方应按招标文件规定的货物性能、技术要求、质量标准向甲方提供未经使用的全新产品。</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）乙方提供的货物在质保期内因货物本身的质量问题发生故障，乙方应负责免费更换。对达不到技术要求者，根据实际情况，经双方协商，可按以下办法处理：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A</w:t>
      </w:r>
      <w:r>
        <w:rPr>
          <w:rFonts w:hint="eastAsia" w:asciiTheme="majorEastAsia" w:hAnsiTheme="majorEastAsia" w:eastAsiaTheme="majorEastAsia"/>
          <w:sz w:val="24"/>
          <w:szCs w:val="24"/>
        </w:rPr>
        <w:t>、更换：由乙方承担所发生的全部费用。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B</w:t>
      </w:r>
      <w:r>
        <w:rPr>
          <w:rFonts w:hint="eastAsia" w:asciiTheme="majorEastAsia" w:hAnsiTheme="majorEastAsia" w:eastAsiaTheme="majorEastAsia"/>
          <w:sz w:val="24"/>
          <w:szCs w:val="24"/>
        </w:rPr>
        <w:t>、退货处理：乙方应退还甲方支付的合同款，同时应承担该货物的直接费用（运输、保险、检验、货款利息及银行手续费等）。</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）如在使用过程中发生质量问题，乙方在接到甲方通知后在</w:t>
      </w:r>
      <w:r>
        <w:rPr>
          <w:rFonts w:asciiTheme="majorEastAsia" w:hAnsiTheme="majorEastAsia" w:eastAsiaTheme="majorEastAsia"/>
          <w:sz w:val="24"/>
          <w:szCs w:val="24"/>
        </w:rPr>
        <w:t>X</w:t>
      </w:r>
      <w:r>
        <w:rPr>
          <w:rFonts w:hint="eastAsia" w:asciiTheme="majorEastAsia" w:hAnsiTheme="majorEastAsia" w:eastAsiaTheme="majorEastAsia"/>
          <w:sz w:val="24"/>
          <w:szCs w:val="24"/>
        </w:rPr>
        <w:t>小时内到达甲方现场。</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4</w:t>
      </w:r>
      <w:r>
        <w:rPr>
          <w:rFonts w:hint="eastAsia" w:asciiTheme="majorEastAsia" w:hAnsiTheme="majorEastAsia" w:eastAsiaTheme="majorEastAsia"/>
          <w:sz w:val="24"/>
          <w:szCs w:val="24"/>
        </w:rPr>
        <w:t>）在质保期内，乙方应对货物出现的质量及安全问题负责处理解决并承担一切费用。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5</w:t>
      </w:r>
      <w:r>
        <w:rPr>
          <w:rFonts w:hint="eastAsia" w:asciiTheme="majorEastAsia" w:hAnsiTheme="majorEastAsia" w:eastAsiaTheme="majorEastAsia"/>
          <w:sz w:val="24"/>
          <w:szCs w:val="24"/>
        </w:rPr>
        <w:t>）上述货物的免费保修期按照国家有关规定标准执行，终生维修，维修时只收部件成本费。</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6</w:t>
      </w:r>
      <w:r>
        <w:rPr>
          <w:rFonts w:hint="eastAsia" w:asciiTheme="majorEastAsia" w:hAnsiTheme="majorEastAsia" w:eastAsiaTheme="majorEastAsia"/>
          <w:sz w:val="24"/>
          <w:szCs w:val="24"/>
        </w:rPr>
        <w:t>）乙方提供的货物由原厂提供售后服务的，乙方必须提供原厂商出具的售后服务承诺函（原件）。</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2.6</w:t>
      </w:r>
      <w:r>
        <w:rPr>
          <w:rFonts w:hint="eastAsia" w:asciiTheme="majorEastAsia" w:hAnsiTheme="majorEastAsia" w:eastAsiaTheme="majorEastAsia"/>
          <w:sz w:val="24"/>
          <w:szCs w:val="24"/>
        </w:rPr>
        <w:t>、付款</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）本合同使用货币币制为人民币。</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）付款方式及方法：按专用条款执行。</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2.7</w:t>
      </w:r>
      <w:r>
        <w:rPr>
          <w:rFonts w:hint="eastAsia" w:asciiTheme="majorEastAsia" w:hAnsiTheme="majorEastAsia" w:eastAsiaTheme="majorEastAsia"/>
          <w:sz w:val="24"/>
          <w:szCs w:val="24"/>
        </w:rPr>
        <w:t>、检查验收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1</w:t>
      </w:r>
      <w:r>
        <w:rPr>
          <w:rFonts w:hint="eastAsia" w:asciiTheme="majorEastAsia" w:hAnsiTheme="majorEastAsia" w:eastAsiaTheme="majorEastAsia"/>
          <w:sz w:val="24"/>
          <w:szCs w:val="24"/>
        </w:rPr>
        <w:t>）供方应随货物提供合格证和质量证明文件，如是国外进口的货物还须提供入关证明。</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2</w:t>
      </w:r>
      <w:r>
        <w:rPr>
          <w:rFonts w:hint="eastAsia" w:asciiTheme="majorEastAsia" w:hAnsiTheme="majorEastAsia" w:eastAsiaTheme="majorEastAsia"/>
          <w:sz w:val="24"/>
          <w:szCs w:val="24"/>
        </w:rPr>
        <w:t>）货物验收</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3</w:t>
      </w:r>
      <w:r>
        <w:rPr>
          <w:rFonts w:hint="eastAsia" w:asciiTheme="majorEastAsia" w:hAnsiTheme="majorEastAsia" w:eastAsiaTheme="majorEastAsia"/>
          <w:sz w:val="24"/>
          <w:szCs w:val="24"/>
        </w:rPr>
        <w:t>）货物验收报告应由需方、供方经办人签字，并加盖双方公章，以此作为支付凭据。</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2.8</w:t>
      </w:r>
      <w:r>
        <w:rPr>
          <w:rFonts w:hint="eastAsia" w:asciiTheme="majorEastAsia" w:hAnsiTheme="majorEastAsia" w:eastAsiaTheme="majorEastAsia"/>
          <w:sz w:val="24"/>
          <w:szCs w:val="24"/>
        </w:rPr>
        <w:t>、索赔</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供方所提供货物、工程或者服务不符合合同约定的，需方有权拒收货物、拒绝服务、解除合同，供方应赔偿需方所有损失。</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2.9</w:t>
      </w:r>
      <w:r>
        <w:rPr>
          <w:rFonts w:hint="eastAsia" w:asciiTheme="majorEastAsia" w:hAnsiTheme="majorEastAsia" w:eastAsiaTheme="majorEastAsia"/>
          <w:sz w:val="24"/>
          <w:szCs w:val="24"/>
        </w:rPr>
        <w:t>、知识产权</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乙方应保证所提供的货物或其任何一部分均不会侵犯任何第三方的知识产权，如若出现侵权行为，由乙方付全部责任。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2.10</w:t>
      </w:r>
      <w:r>
        <w:rPr>
          <w:rFonts w:hint="eastAsia" w:asciiTheme="majorEastAsia" w:hAnsiTheme="majorEastAsia" w:eastAsiaTheme="majorEastAsia"/>
          <w:sz w:val="24"/>
          <w:szCs w:val="24"/>
        </w:rPr>
        <w:t>、人员培训：供方免费对需方人员进行技术培训，直到需方人员熟练操作或掌握为准。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培训地点：；培训时间：；</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培训方式：</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2.11</w:t>
      </w:r>
      <w:r>
        <w:rPr>
          <w:rFonts w:hint="eastAsia" w:asciiTheme="majorEastAsia" w:hAnsiTheme="majorEastAsia" w:eastAsiaTheme="majorEastAsia"/>
          <w:sz w:val="24"/>
          <w:szCs w:val="24"/>
        </w:rPr>
        <w:t>、违约责任</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按专用条款及招标文件的其他有关约定执行。专用条款及招标文件约定不明或未约定的，按照《中华人民共和国合同法》、《中华人民共和国政府采购法》的有关规定执行。</w:t>
      </w:r>
      <w:bookmarkStart w:id="194" w:name="_Toc15325"/>
      <w:bookmarkStart w:id="195" w:name="_Toc17461"/>
      <w:bookmarkStart w:id="196" w:name="_Toc421284762"/>
      <w:bookmarkStart w:id="197" w:name="_Toc17676"/>
      <w:bookmarkStart w:id="198" w:name="_Toc13625"/>
      <w:bookmarkStart w:id="199" w:name="_Toc24549"/>
      <w:bookmarkStart w:id="200" w:name="_Toc5009"/>
      <w:bookmarkStart w:id="201" w:name="_Toc27148142"/>
      <w:bookmarkStart w:id="202" w:name="_Toc1746"/>
      <w:bookmarkStart w:id="203" w:name="_Toc18962"/>
      <w:bookmarkStart w:id="204" w:name="_Toc488422015"/>
      <w:bookmarkStart w:id="205" w:name="_Toc488422614"/>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w:t>
      </w:r>
      <w:bookmarkEnd w:id="194"/>
      <w:bookmarkEnd w:id="195"/>
      <w:bookmarkEnd w:id="196"/>
      <w:bookmarkEnd w:id="197"/>
      <w:bookmarkEnd w:id="198"/>
      <w:r>
        <w:rPr>
          <w:rFonts w:hint="eastAsia" w:asciiTheme="majorEastAsia" w:hAnsiTheme="majorEastAsia" w:eastAsiaTheme="majorEastAsia"/>
          <w:sz w:val="24"/>
          <w:szCs w:val="24"/>
        </w:rPr>
        <w:t>合同专用条款（特别约定条款）</w:t>
      </w:r>
      <w:bookmarkEnd w:id="199"/>
      <w:bookmarkEnd w:id="200"/>
      <w:bookmarkEnd w:id="201"/>
      <w:bookmarkEnd w:id="202"/>
      <w:bookmarkEnd w:id="203"/>
      <w:bookmarkEnd w:id="204"/>
      <w:bookmarkEnd w:id="205"/>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（注：可结合具体招标项目进行更明确的约定）</w:t>
      </w:r>
    </w:p>
    <w:p>
      <w:pPr>
        <w:spacing w:line="440" w:lineRule="exact"/>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温县政府集中采购合同</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合同编号：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需方（甲方）（采购人全称）：</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供方（乙方）（中标供应商全称）：</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供方持签发的中标</w:t>
      </w:r>
      <w:r>
        <w:rPr>
          <w:rFonts w:asciiTheme="majorEastAsia" w:hAnsiTheme="majorEastAsia" w:eastAsiaTheme="majorEastAsia"/>
          <w:sz w:val="24"/>
          <w:szCs w:val="24"/>
        </w:rPr>
        <w:t>/</w:t>
      </w:r>
      <w:r>
        <w:rPr>
          <w:rFonts w:hint="eastAsia" w:asciiTheme="majorEastAsia" w:hAnsiTheme="majorEastAsia" w:eastAsiaTheme="majorEastAsia"/>
          <w:sz w:val="24"/>
          <w:szCs w:val="24"/>
        </w:rPr>
        <w:t>成交通知书，根据招标文件、供方的投标</w:t>
      </w:r>
      <w:r>
        <w:rPr>
          <w:rFonts w:asciiTheme="majorEastAsia" w:hAnsiTheme="majorEastAsia" w:eastAsiaTheme="majorEastAsia"/>
          <w:sz w:val="24"/>
          <w:szCs w:val="24"/>
        </w:rPr>
        <w:t>/</w:t>
      </w:r>
      <w:r>
        <w:rPr>
          <w:rFonts w:hint="eastAsia" w:asciiTheme="majorEastAsia" w:hAnsiTheme="majorEastAsia" w:eastAsiaTheme="majorEastAsia"/>
          <w:sz w:val="24"/>
          <w:szCs w:val="24"/>
        </w:rPr>
        <w:t>报价等文件</w:t>
      </w:r>
      <w:r>
        <w:rPr>
          <w:rFonts w:asciiTheme="majorEastAsia" w:hAnsiTheme="majorEastAsia" w:eastAsiaTheme="majorEastAsia"/>
          <w:sz w:val="24"/>
          <w:szCs w:val="24"/>
        </w:rPr>
        <w:t>[</w:t>
      </w:r>
      <w:r>
        <w:rPr>
          <w:rFonts w:hint="eastAsia" w:asciiTheme="majorEastAsia" w:hAnsiTheme="majorEastAsia" w:eastAsiaTheme="majorEastAsia"/>
          <w:sz w:val="24"/>
          <w:szCs w:val="24"/>
        </w:rPr>
        <w:t>项目编号：温交易</w:t>
      </w:r>
      <w:r>
        <w:rPr>
          <w:rFonts w:asciiTheme="majorEastAsia" w:hAnsiTheme="majorEastAsia" w:eastAsiaTheme="majorEastAsia"/>
          <w:sz w:val="24"/>
          <w:szCs w:val="24"/>
        </w:rPr>
        <w:t>]</w:t>
      </w:r>
      <w:r>
        <w:rPr>
          <w:rFonts w:hint="eastAsia" w:asciiTheme="majorEastAsia" w:hAnsiTheme="majorEastAsia" w:eastAsiaTheme="majorEastAsia"/>
          <w:sz w:val="24"/>
          <w:szCs w:val="24"/>
        </w:rPr>
        <w:t>，按照《政府采购法》、《合同法》等有关法律、法规的规定，供需双方经协商一致，达成以下合同专用条款：</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一、本合同名称：。</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二、本合同总价：元（人民币）（大写：元）。供货范围、技术规格、及分项价格如下：单位：人民币元</w:t>
      </w:r>
    </w:p>
    <w:tbl>
      <w:tblPr>
        <w:tblStyle w:val="40"/>
        <w:tblW w:w="9380" w:type="dxa"/>
        <w:jc w:val="center"/>
        <w:tblInd w:w="0" w:type="dxa"/>
        <w:tblLayout w:type="fixed"/>
        <w:tblCellMar>
          <w:top w:w="0" w:type="dxa"/>
          <w:left w:w="108" w:type="dxa"/>
          <w:bottom w:w="0" w:type="dxa"/>
          <w:right w:w="108" w:type="dxa"/>
        </w:tblCellMar>
      </w:tblPr>
      <w:tblGrid>
        <w:gridCol w:w="873"/>
        <w:gridCol w:w="1196"/>
        <w:gridCol w:w="2233"/>
        <w:gridCol w:w="543"/>
        <w:gridCol w:w="709"/>
        <w:gridCol w:w="734"/>
        <w:gridCol w:w="723"/>
        <w:gridCol w:w="1031"/>
        <w:gridCol w:w="1338"/>
      </w:tblGrid>
      <w:tr>
        <w:tblPrEx>
          <w:tblLayout w:type="fixed"/>
          <w:tblCellMar>
            <w:top w:w="0" w:type="dxa"/>
            <w:left w:w="108" w:type="dxa"/>
            <w:bottom w:w="0" w:type="dxa"/>
            <w:right w:w="108" w:type="dxa"/>
          </w:tblCellMar>
        </w:tblPrEx>
        <w:trPr>
          <w:trHeight w:val="599"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1196"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543"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734"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723"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1031" w:type="dxa"/>
            <w:tcBorders>
              <w:top w:val="single" w:color="auto" w:sz="6" w:space="0"/>
              <w:left w:val="single" w:color="auto" w:sz="6" w:space="0"/>
              <w:bottom w:val="single" w:color="auto" w:sz="6"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338" w:type="dxa"/>
            <w:tcBorders>
              <w:top w:val="single" w:color="auto" w:sz="6" w:space="0"/>
              <w:left w:val="single" w:color="auto" w:sz="4"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108" w:type="dxa"/>
            <w:bottom w:w="0" w:type="dxa"/>
            <w:right w:w="108" w:type="dxa"/>
          </w:tblCellMar>
        </w:tblPrEx>
        <w:trPr>
          <w:trHeight w:val="599" w:hRule="atLeast"/>
          <w:jc w:val="center"/>
        </w:trPr>
        <w:tc>
          <w:tcPr>
            <w:tcW w:w="873"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1196"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2233"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543"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734"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723"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c>
          <w:tcPr>
            <w:tcW w:w="1031" w:type="dxa"/>
            <w:tcBorders>
              <w:top w:val="single" w:color="auto" w:sz="6" w:space="0"/>
              <w:left w:val="single" w:color="auto" w:sz="6" w:space="0"/>
              <w:bottom w:val="single" w:color="auto" w:sz="6"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338" w:type="dxa"/>
            <w:tcBorders>
              <w:top w:val="single" w:color="auto" w:sz="6" w:space="0"/>
              <w:left w:val="single" w:color="auto" w:sz="4" w:space="0"/>
              <w:bottom w:val="single" w:color="auto" w:sz="6" w:space="0"/>
              <w:right w:val="single" w:color="auto" w:sz="6" w:space="0"/>
            </w:tcBorders>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108" w:type="dxa"/>
            <w:bottom w:w="0" w:type="dxa"/>
            <w:right w:w="108" w:type="dxa"/>
          </w:tblCellMar>
        </w:tblPrEx>
        <w:trPr>
          <w:trHeight w:val="599" w:hRule="atLeast"/>
          <w:jc w:val="center"/>
        </w:trPr>
        <w:tc>
          <w:tcPr>
            <w:tcW w:w="873"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1196"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2233"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543"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709"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734"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723"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1031" w:type="dxa"/>
            <w:tcBorders>
              <w:top w:val="single" w:color="auto" w:sz="6" w:space="0"/>
              <w:left w:val="single" w:color="auto" w:sz="6" w:space="0"/>
              <w:bottom w:val="single" w:color="auto" w:sz="6" w:space="0"/>
              <w:right w:val="single" w:color="auto" w:sz="4" w:space="0"/>
            </w:tcBorders>
          </w:tcPr>
          <w:p>
            <w:pPr>
              <w:spacing w:line="440" w:lineRule="exact"/>
              <w:ind w:firstLine="480" w:firstLineChars="200"/>
              <w:rPr>
                <w:rFonts w:asciiTheme="majorEastAsia" w:hAnsiTheme="majorEastAsia" w:eastAsiaTheme="majorEastAsia"/>
                <w:sz w:val="24"/>
                <w:szCs w:val="24"/>
              </w:rPr>
            </w:pPr>
          </w:p>
        </w:tc>
        <w:tc>
          <w:tcPr>
            <w:tcW w:w="1338" w:type="dxa"/>
            <w:tcBorders>
              <w:top w:val="single" w:color="auto" w:sz="6" w:space="0"/>
              <w:left w:val="single" w:color="auto" w:sz="4"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108" w:type="dxa"/>
            <w:bottom w:w="0" w:type="dxa"/>
            <w:right w:w="108" w:type="dxa"/>
          </w:tblCellMar>
        </w:tblPrEx>
        <w:trPr>
          <w:trHeight w:val="599" w:hRule="atLeast"/>
          <w:jc w:val="center"/>
        </w:trPr>
        <w:tc>
          <w:tcPr>
            <w:tcW w:w="873"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1196"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2233"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543"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709"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734"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723"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1031" w:type="dxa"/>
            <w:tcBorders>
              <w:top w:val="single" w:color="auto" w:sz="6" w:space="0"/>
              <w:left w:val="single" w:color="auto" w:sz="6" w:space="0"/>
              <w:bottom w:val="single" w:color="auto" w:sz="6" w:space="0"/>
              <w:right w:val="single" w:color="auto" w:sz="4" w:space="0"/>
            </w:tcBorders>
          </w:tcPr>
          <w:p>
            <w:pPr>
              <w:spacing w:line="440" w:lineRule="exact"/>
              <w:ind w:firstLine="480" w:firstLineChars="200"/>
              <w:rPr>
                <w:rFonts w:asciiTheme="majorEastAsia" w:hAnsiTheme="majorEastAsia" w:eastAsiaTheme="majorEastAsia"/>
                <w:sz w:val="24"/>
                <w:szCs w:val="24"/>
              </w:rPr>
            </w:pPr>
          </w:p>
        </w:tc>
        <w:tc>
          <w:tcPr>
            <w:tcW w:w="1338" w:type="dxa"/>
            <w:tcBorders>
              <w:top w:val="single" w:color="auto" w:sz="6" w:space="0"/>
              <w:left w:val="single" w:color="auto" w:sz="4"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108" w:type="dxa"/>
            <w:bottom w:w="0" w:type="dxa"/>
            <w:right w:w="108" w:type="dxa"/>
          </w:tblCellMar>
        </w:tblPrEx>
        <w:trPr>
          <w:trHeight w:val="618" w:hRule="atLeast"/>
          <w:jc w:val="center"/>
        </w:trPr>
        <w:tc>
          <w:tcPr>
            <w:tcW w:w="873" w:type="dxa"/>
            <w:vMerge w:val="restart"/>
            <w:tcBorders>
              <w:top w:val="single" w:color="auto" w:sz="6" w:space="0"/>
              <w:left w:val="single" w:color="auto" w:sz="6" w:space="0"/>
              <w:bottom w:val="single" w:color="auto" w:sz="6" w:space="0"/>
              <w:right w:val="single" w:color="auto" w:sz="6" w:space="0"/>
            </w:tcBorders>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总价（人民币）</w:t>
            </w:r>
          </w:p>
        </w:tc>
        <w:tc>
          <w:tcPr>
            <w:tcW w:w="8507" w:type="dxa"/>
            <w:gridSpan w:val="8"/>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小写：</w:t>
            </w:r>
          </w:p>
        </w:tc>
      </w:tr>
      <w:tr>
        <w:tblPrEx>
          <w:tblLayout w:type="fixed"/>
          <w:tblCellMar>
            <w:top w:w="0" w:type="dxa"/>
            <w:left w:w="108" w:type="dxa"/>
            <w:bottom w:w="0" w:type="dxa"/>
            <w:right w:w="108" w:type="dxa"/>
          </w:tblCellMar>
        </w:tblPrEx>
        <w:trPr>
          <w:trHeight w:val="1156" w:hRule="atLeast"/>
          <w:jc w:val="center"/>
        </w:trPr>
        <w:tc>
          <w:tcPr>
            <w:tcW w:w="873" w:type="dxa"/>
            <w:vMerge w:val="continue"/>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p>
        </w:tc>
        <w:tc>
          <w:tcPr>
            <w:tcW w:w="8507" w:type="dxa"/>
            <w:gridSpan w:val="8"/>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大写：佰拾万仟佰拾元角分</w:t>
            </w:r>
          </w:p>
        </w:tc>
      </w:tr>
    </w:tbl>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三、质量要求及供方对质量负责条件和期限：</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所供货物必须首先符合有关国家强制性规定、国家（行业）标准或相关法律法规要求，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日内以书面形式向供方提出，需安装调试成套设备的提出异议的期限为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四、售后服务承诺：</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售后服务响应时间：</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解决问题时间：</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售后服务机构名称、地址及联系方式：</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其他服务承诺：</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五、合同履行地点及进度：</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合同生效后，供方应于年月日前按需方要求在（需方指定的地点）完成本项目的交货、安装、调试（或施工）。货物运送的费用由供方负责。需方应在货物到达指定地点后，提供符合安装条件的场地、电源、环境等。</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六、资料：供方在交付货物时应向需方提供货物的使用说明、合格证书及其它相关资料，否则按不能交货对待。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七、验收要求。</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、供方履约完毕及时向需方提出验收申请。</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、需方在收到供方验收申请后个工作日内组织验收。按照招标文件规定、中标供应商投标文件承诺，及国家有关规定认真组织验收工作</w:t>
      </w:r>
      <w:r>
        <w:rPr>
          <w:rFonts w:asciiTheme="majorEastAsia" w:hAnsiTheme="majorEastAsia" w:eastAsiaTheme="majorEastAsia"/>
          <w:sz w:val="24"/>
          <w:szCs w:val="24"/>
        </w:rPr>
        <w:t>.</w:t>
      </w:r>
    </w:p>
    <w:p>
      <w:pPr>
        <w:spacing w:line="44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3</w:t>
      </w:r>
      <w:r>
        <w:rPr>
          <w:rFonts w:hint="eastAsia" w:asciiTheme="majorEastAsia" w:hAnsiTheme="majorEastAsia" w:eastAsiaTheme="majorEastAsia"/>
          <w:color w:val="000000" w:themeColor="text1"/>
          <w:sz w:val="24"/>
          <w:szCs w:val="24"/>
          <w14:textFill>
            <w14:solidFill>
              <w14:schemeClr w14:val="tx1"/>
            </w14:solidFill>
          </w14:textFill>
        </w:rPr>
        <w:t>、验收合格后日内，需方出具《温县政府采购验收报告》。</w:t>
      </w:r>
    </w:p>
    <w:p>
      <w:pPr>
        <w:spacing w:line="44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八、付款程序、方式及期限：</w:t>
      </w:r>
    </w:p>
    <w:p>
      <w:pPr>
        <w:spacing w:line="440" w:lineRule="exact"/>
        <w:ind w:firstLine="480" w:firstLineChars="200"/>
        <w:rPr>
          <w:rFonts w:hint="eastAsia"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电梯全部到场付合同总额的60%，</w:t>
      </w: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完工后</w:t>
      </w:r>
      <w:r>
        <w:rPr>
          <w:rFonts w:hint="eastAsia" w:asciiTheme="majorEastAsia" w:hAnsiTheme="majorEastAsia" w:eastAsiaTheme="majorEastAsia"/>
          <w:b/>
          <w:color w:val="000000" w:themeColor="text1"/>
          <w:sz w:val="24"/>
          <w:szCs w:val="24"/>
          <w14:textFill>
            <w14:solidFill>
              <w14:schemeClr w14:val="tx1"/>
            </w14:solidFill>
          </w14:textFill>
        </w:rPr>
        <w:t>经质量监督部门验收合格并颁发合格验收报告后付至合同总额的97%；</w:t>
      </w: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两年</w:t>
      </w:r>
      <w:r>
        <w:rPr>
          <w:rFonts w:hint="eastAsia" w:asciiTheme="majorEastAsia" w:hAnsiTheme="majorEastAsia" w:eastAsiaTheme="majorEastAsia"/>
          <w:b/>
          <w:color w:val="000000" w:themeColor="text1"/>
          <w:sz w:val="24"/>
          <w:szCs w:val="24"/>
          <w14:textFill>
            <w14:solidFill>
              <w14:schemeClr w14:val="tx1"/>
            </w14:solidFill>
          </w14:textFill>
        </w:rPr>
        <w:t>质量保证期满后支付合同价款3%的余款。</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九、本合同单价及总价为不变价，不受市场风险等因素的影响。</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十、违约责任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、供方所交付的货物品种、型号、规格、质量不符合国家规定标准及合同要求的，或者供方不能交付货物或完成系统安装、调试的，供方应向需方支付合同金额总值</w:t>
      </w:r>
      <w:r>
        <w:rPr>
          <w:rFonts w:asciiTheme="majorEastAsia" w:hAnsiTheme="majorEastAsia" w:eastAsiaTheme="majorEastAsia"/>
          <w:sz w:val="24"/>
          <w:szCs w:val="24"/>
        </w:rPr>
        <w:t xml:space="preserve"> 10  %</w:t>
      </w:r>
      <w:r>
        <w:rPr>
          <w:rFonts w:hint="eastAsia" w:asciiTheme="majorEastAsia" w:hAnsiTheme="majorEastAsia" w:eastAsiaTheme="majorEastAsia"/>
          <w:sz w:val="24"/>
          <w:szCs w:val="24"/>
        </w:rPr>
        <w:t>的违约金；需方并有权解除合同，要求供方赔偿损失。供方如逾期交付的，每逾期一日供方应向需方支付合同金额的</w:t>
      </w:r>
      <w:r>
        <w:rPr>
          <w:rFonts w:asciiTheme="majorEastAsia" w:hAnsiTheme="majorEastAsia" w:eastAsiaTheme="majorEastAsia"/>
          <w:sz w:val="24"/>
          <w:szCs w:val="24"/>
        </w:rPr>
        <w:t xml:space="preserve">  0.1 %</w:t>
      </w:r>
      <w:r>
        <w:rPr>
          <w:rFonts w:hint="eastAsia" w:asciiTheme="majorEastAsia" w:hAnsiTheme="majorEastAsia" w:eastAsiaTheme="majorEastAsia"/>
          <w:sz w:val="24"/>
          <w:szCs w:val="24"/>
        </w:rPr>
        <w:t>的违约金。逾期交付的违约金总额不超过合同总金额的</w:t>
      </w:r>
      <w:r>
        <w:rPr>
          <w:rFonts w:asciiTheme="majorEastAsia" w:hAnsiTheme="majorEastAsia" w:eastAsiaTheme="majorEastAsia"/>
          <w:sz w:val="24"/>
          <w:szCs w:val="24"/>
        </w:rPr>
        <w:t>20%</w:t>
      </w:r>
      <w:r>
        <w:rPr>
          <w:rFonts w:hint="eastAsia" w:asciiTheme="majorEastAsia" w:hAnsiTheme="majorEastAsia" w:eastAsiaTheme="majorEastAsia"/>
          <w:sz w:val="24"/>
          <w:szCs w:val="24"/>
        </w:rPr>
        <w:t>。逾期超过日的，需方有权解除合同或者选择继续履行；需方要求供方继续履行合同的，不影响需方向供方主张违约责任。</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、如需方违约，按合同一般条款执行。</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十一、争议的解决：</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、双方友好协商；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、提请主管部门进行调解；</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、由需方所在地人民法院诉讼管辖。</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十二、合同生效、备案及其它</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、本合同经双方代表签字并加盖公章后生效。</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、本合同一式五份，供需双方各持一份，在合同签订之日起七个工作日内交付温县财政局备案一份、温县公共资源交易中心存档一份，办理资金支付手续时提交一份。</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、本合同未尽事宜，供需双方可签订补充协议，但补充协议不得违背本招标文件及供方的投标文件或报价文件的实质性约定内容。</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供方（公章）：需方（公章）：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地址：地址：</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法定代表人或委托法定代表人或委托</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代理人（签字）：代理人（签字）：</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电话：电话：</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开户行：开户行：</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账号：账号：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签约时间：年月日签约时间：年月日</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206" w:name="_Toc21953"/>
    </w:p>
    <w:p>
      <w:pPr>
        <w:spacing w:line="440" w:lineRule="exact"/>
        <w:ind w:firstLine="480" w:firstLineChars="200"/>
        <w:rPr>
          <w:rFonts w:hint="eastAsia" w:asciiTheme="majorEastAsia" w:hAnsiTheme="majorEastAsia" w:eastAsiaTheme="majorEastAsia"/>
          <w:sz w:val="24"/>
          <w:szCs w:val="24"/>
          <w:lang w:val="en-US" w:eastAsia="zh-CN"/>
        </w:rPr>
      </w:pPr>
      <w:bookmarkStart w:id="207" w:name="_Toc26661"/>
      <w:bookmarkStart w:id="208" w:name="_Toc1815"/>
      <w:bookmarkStart w:id="209" w:name="_Toc488422016"/>
      <w:bookmarkStart w:id="210" w:name="_Toc488422615"/>
      <w:bookmarkStart w:id="211" w:name="_Toc1640"/>
      <w:r>
        <w:rPr>
          <w:rFonts w:hint="eastAsia" w:asciiTheme="majorEastAsia" w:hAnsiTheme="majorEastAsia" w:eastAsiaTheme="majorEastAsia"/>
          <w:sz w:val="24"/>
          <w:szCs w:val="24"/>
          <w:lang w:val="en-US" w:eastAsia="zh-CN"/>
        </w:rPr>
        <w:t xml:space="preserve">   </w:t>
      </w:r>
    </w:p>
    <w:p>
      <w:pPr>
        <w:spacing w:line="440" w:lineRule="exact"/>
        <w:ind w:firstLine="480" w:firstLineChars="200"/>
        <w:rPr>
          <w:rFonts w:asciiTheme="majorEastAsia" w:hAnsiTheme="majorEastAsia" w:eastAsiaTheme="majorEastAsia"/>
          <w:sz w:val="24"/>
          <w:szCs w:val="24"/>
        </w:rPr>
      </w:pPr>
    </w:p>
    <w:p>
      <w:pPr>
        <w:spacing w:line="440" w:lineRule="exact"/>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第六章  投标文件格式</w:t>
      </w:r>
      <w:bookmarkEnd w:id="207"/>
      <w:bookmarkEnd w:id="208"/>
    </w:p>
    <w:bookmarkEnd w:id="206"/>
    <w:bookmarkEnd w:id="209"/>
    <w:bookmarkEnd w:id="210"/>
    <w:bookmarkEnd w:id="211"/>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r>
        <w:rPr>
          <w:rFonts w:asciiTheme="majorEastAsia" w:hAnsiTheme="majorEastAsia" w:eastAsiaTheme="majorEastAsia"/>
          <w:sz w:val="24"/>
          <w:szCs w:val="24"/>
        </w:rPr>
        <w:t>______________________</w:t>
      </w:r>
      <w:r>
        <w:rPr>
          <w:rFonts w:hint="eastAsia" w:asciiTheme="majorEastAsia" w:hAnsiTheme="majorEastAsia" w:eastAsiaTheme="majorEastAsia"/>
          <w:sz w:val="24"/>
          <w:szCs w:val="24"/>
        </w:rPr>
        <w:t>项目名称</w:t>
      </w: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投标文件</w:t>
      </w: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交易编号：温交易【</w:t>
      </w:r>
      <w:r>
        <w:rPr>
          <w:rFonts w:asciiTheme="majorEastAsia" w:hAnsiTheme="majorEastAsia" w:eastAsiaTheme="majorEastAsia"/>
          <w:sz w:val="24"/>
          <w:szCs w:val="24"/>
        </w:rPr>
        <w:t>202</w:t>
      </w:r>
      <w:r>
        <w:rPr>
          <w:rFonts w:hint="eastAsia" w:asciiTheme="majorEastAsia" w:hAnsiTheme="majorEastAsia" w:eastAsiaTheme="majorEastAsia"/>
          <w:sz w:val="24"/>
          <w:szCs w:val="24"/>
        </w:rPr>
        <w:t>1】  号</w:t>
      </w:r>
    </w:p>
    <w:p>
      <w:pPr>
        <w:spacing w:line="440" w:lineRule="exact"/>
        <w:ind w:firstLine="480" w:firstLineChars="2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采购编号：温政采【</w:t>
      </w:r>
      <w:r>
        <w:rPr>
          <w:rFonts w:asciiTheme="majorEastAsia" w:hAnsiTheme="majorEastAsia" w:eastAsiaTheme="majorEastAsia"/>
          <w:sz w:val="24"/>
          <w:szCs w:val="24"/>
        </w:rPr>
        <w:t>202</w:t>
      </w:r>
      <w:r>
        <w:rPr>
          <w:rFonts w:hint="eastAsia" w:asciiTheme="majorEastAsia" w:hAnsiTheme="majorEastAsia" w:eastAsiaTheme="majorEastAsia"/>
          <w:sz w:val="24"/>
          <w:szCs w:val="24"/>
        </w:rPr>
        <w:t>1】  号</w:t>
      </w: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2520" w:firstLineChars="1050"/>
        <w:rPr>
          <w:rFonts w:asciiTheme="majorEastAsia" w:hAnsiTheme="majorEastAsia" w:eastAsiaTheme="majorEastAsia"/>
          <w:sz w:val="24"/>
          <w:szCs w:val="24"/>
        </w:rPr>
      </w:pPr>
      <w:r>
        <w:rPr>
          <w:rFonts w:hint="eastAsia" w:asciiTheme="majorEastAsia" w:hAnsiTheme="majorEastAsia" w:eastAsiaTheme="majorEastAsia"/>
          <w:sz w:val="24"/>
          <w:szCs w:val="24"/>
        </w:rPr>
        <w:t>供应商：单位全称（加盖单位公章）</w:t>
      </w:r>
    </w:p>
    <w:p>
      <w:pPr>
        <w:spacing w:line="440" w:lineRule="exact"/>
        <w:ind w:firstLine="480" w:firstLineChars="2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法定代表人或授权代理人：（签字或加盖印鉴）</w:t>
      </w:r>
    </w:p>
    <w:p>
      <w:pPr>
        <w:spacing w:line="440" w:lineRule="exact"/>
        <w:ind w:firstLine="480" w:firstLineChars="2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年月日</w:t>
      </w:r>
    </w:p>
    <w:p>
      <w:pPr>
        <w:spacing w:line="440" w:lineRule="exact"/>
        <w:ind w:firstLine="480" w:firstLineChars="200"/>
        <w:jc w:val="center"/>
        <w:rPr>
          <w:rFonts w:asciiTheme="majorEastAsia" w:hAnsiTheme="majorEastAsia" w:eastAsiaTheme="majorEastAsia"/>
          <w:sz w:val="24"/>
          <w:szCs w:val="24"/>
        </w:rPr>
      </w:pPr>
      <w:r>
        <w:rPr>
          <w:rFonts w:asciiTheme="majorEastAsia" w:hAnsiTheme="majorEastAsia" w:eastAsiaTheme="majorEastAsia"/>
          <w:sz w:val="24"/>
          <w:szCs w:val="24"/>
        </w:rPr>
        <w:br w:type="page"/>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目录</w:t>
      </w:r>
    </w:p>
    <w:p>
      <w:pPr>
        <w:spacing w:line="440" w:lineRule="exact"/>
        <w:ind w:firstLine="480" w:firstLineChars="200"/>
        <w:rPr>
          <w:rFonts w:asciiTheme="majorEastAsia" w:hAnsiTheme="majorEastAsia" w:eastAsiaTheme="majorEastAsia"/>
          <w:b/>
          <w:sz w:val="24"/>
          <w:szCs w:val="24"/>
        </w:rPr>
      </w:pPr>
    </w:p>
    <w:p>
      <w:pPr>
        <w:spacing w:line="440" w:lineRule="exact"/>
        <w:ind w:firstLine="480" w:firstLineChars="200"/>
        <w:rPr>
          <w:rFonts w:asciiTheme="majorEastAsia" w:hAnsiTheme="majorEastAsia" w:eastAsiaTheme="majorEastAsia"/>
          <w:b/>
          <w:sz w:val="24"/>
          <w:szCs w:val="24"/>
        </w:rPr>
      </w:pP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（建议按照招标文件《参考格式》顺序编写）</w:t>
      </w:r>
    </w:p>
    <w:p>
      <w:pPr>
        <w:spacing w:line="440" w:lineRule="exact"/>
        <w:ind w:firstLine="480" w:firstLineChars="200"/>
        <w:rPr>
          <w:rFonts w:asciiTheme="majorEastAsia" w:hAnsiTheme="majorEastAsia" w:eastAsiaTheme="majorEastAsia"/>
          <w:b/>
          <w:sz w:val="24"/>
          <w:szCs w:val="24"/>
        </w:rPr>
      </w:pP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一、</w:t>
      </w:r>
      <w:bookmarkStart w:id="212" w:name="OLE_LINK3"/>
      <w:r>
        <w:rPr>
          <w:rFonts w:hint="eastAsia" w:asciiTheme="majorEastAsia" w:hAnsiTheme="majorEastAsia" w:eastAsiaTheme="majorEastAsia"/>
          <w:b/>
          <w:sz w:val="24"/>
          <w:szCs w:val="24"/>
        </w:rPr>
        <w:t>投标函</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二、投标一览表</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三、货物清单及报价明细表</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四、技术规格偏差表</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五、法定代表人（负责人）身份证明</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六、授权委托书</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七、供应商基本情况表</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八、投标承诺函</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九、企业业绩</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十、无行贿犯罪承诺书</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十一、反商业贿赂承诺书</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十二、供应商资格证明文件</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十三、小型、微型（监狱、残疾人福利性单位）企业产品明细表</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十三、节能产品、环境标志产品明细表</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十四、供应商认为应提供的其他材料</w:t>
      </w:r>
    </w:p>
    <w:bookmarkEnd w:id="212"/>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bookmarkStart w:id="213" w:name="_Toc27148144"/>
      <w:bookmarkStart w:id="214" w:name="_Toc26420"/>
      <w:r>
        <w:rPr>
          <w:rFonts w:hint="eastAsia" w:asciiTheme="majorEastAsia" w:hAnsiTheme="majorEastAsia" w:eastAsiaTheme="majorEastAsia"/>
          <w:b/>
          <w:sz w:val="24"/>
          <w:szCs w:val="24"/>
        </w:rPr>
        <w:t>一、投标函</w:t>
      </w:r>
      <w:bookmarkEnd w:id="213"/>
      <w:bookmarkEnd w:id="214"/>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致：（采购人名称）</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根据贵方（项目名称和项目编号）招标文件之投标邀请，签字代表：（法人代表或负责人）正式授权并代表供应商（单位名称、单位地址）提交电子投标文件</w:t>
      </w:r>
      <w:r>
        <w:rPr>
          <w:rFonts w:asciiTheme="majorEastAsia" w:hAnsiTheme="majorEastAsia" w:eastAsiaTheme="majorEastAsia"/>
          <w:sz w:val="24"/>
          <w:szCs w:val="24"/>
        </w:rPr>
        <w:t>___</w:t>
      </w:r>
      <w:r>
        <w:rPr>
          <w:rFonts w:hint="eastAsia" w:asciiTheme="majorEastAsia" w:hAnsiTheme="majorEastAsia" w:eastAsiaTheme="majorEastAsia"/>
          <w:sz w:val="24"/>
          <w:szCs w:val="24"/>
        </w:rPr>
        <w:t>份，并对之负法律责任。</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据此函，签字代表宣布同意如下：</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1</w:t>
      </w:r>
      <w:r>
        <w:rPr>
          <w:rFonts w:hint="eastAsia" w:asciiTheme="majorEastAsia" w:hAnsiTheme="majorEastAsia" w:eastAsiaTheme="majorEastAsia"/>
          <w:sz w:val="24"/>
          <w:szCs w:val="24"/>
        </w:rPr>
        <w:t>、我方投标总价为人民币（大写）</w:t>
      </w:r>
      <w:r>
        <w:rPr>
          <w:rFonts w:asciiTheme="majorEastAsia" w:hAnsiTheme="majorEastAsia" w:eastAsiaTheme="majorEastAsia"/>
          <w:sz w:val="24"/>
          <w:szCs w:val="24"/>
        </w:rPr>
        <w:t>_______________</w:t>
      </w:r>
      <w:r>
        <w:rPr>
          <w:rFonts w:hint="eastAsia" w:asciiTheme="majorEastAsia" w:hAnsiTheme="majorEastAsia" w:eastAsiaTheme="majorEastAsia"/>
          <w:sz w:val="24"/>
          <w:szCs w:val="24"/>
        </w:rPr>
        <w:t>（小写）</w:t>
      </w:r>
      <w:r>
        <w:rPr>
          <w:rFonts w:asciiTheme="majorEastAsia" w:hAnsiTheme="majorEastAsia" w:eastAsiaTheme="majorEastAsia"/>
          <w:sz w:val="24"/>
          <w:szCs w:val="24"/>
        </w:rPr>
        <w:t>___________</w:t>
      </w:r>
      <w:r>
        <w:rPr>
          <w:rFonts w:hint="eastAsia" w:asciiTheme="majorEastAsia" w:hAnsiTheme="majorEastAsia" w:eastAsiaTheme="majorEastAsia"/>
          <w:sz w:val="24"/>
          <w:szCs w:val="24"/>
        </w:rPr>
        <w:t>元人民币</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2</w:t>
      </w:r>
      <w:r>
        <w:rPr>
          <w:rFonts w:hint="eastAsia" w:asciiTheme="majorEastAsia" w:hAnsiTheme="majorEastAsia" w:eastAsiaTheme="majorEastAsia"/>
          <w:sz w:val="24"/>
          <w:szCs w:val="24"/>
        </w:rPr>
        <w:t>、期限：</w:t>
      </w:r>
      <w:r>
        <w:rPr>
          <w:rFonts w:asciiTheme="majorEastAsia" w:hAnsiTheme="majorEastAsia" w:eastAsiaTheme="majorEastAsia"/>
          <w:sz w:val="24"/>
          <w:szCs w:val="24"/>
        </w:rPr>
        <w:t>__________________</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3</w:t>
      </w:r>
      <w:r>
        <w:rPr>
          <w:rFonts w:hint="eastAsia" w:asciiTheme="majorEastAsia" w:hAnsiTheme="majorEastAsia" w:eastAsiaTheme="majorEastAsia"/>
          <w:sz w:val="24"/>
          <w:szCs w:val="24"/>
        </w:rPr>
        <w:t>、如果我们的投标文件被接受，我们将按招标文件的规定签订并严格履行合同中的责任和义务。</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4</w:t>
      </w:r>
      <w:r>
        <w:rPr>
          <w:rFonts w:hint="eastAsia" w:asciiTheme="majorEastAsia" w:hAnsiTheme="majorEastAsia" w:eastAsiaTheme="majorEastAsia"/>
          <w:sz w:val="24"/>
          <w:szCs w:val="24"/>
        </w:rPr>
        <w:t>、供应商已详细审查全部招标文件，包括修改文件以及全部参考资料和有关附件。我们完全理解并同意放弃对这方面有不明及误解的权利。</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5</w:t>
      </w:r>
      <w:r>
        <w:rPr>
          <w:rFonts w:hint="eastAsia" w:asciiTheme="majorEastAsia" w:hAnsiTheme="majorEastAsia" w:eastAsiaTheme="majorEastAsia"/>
          <w:sz w:val="24"/>
          <w:szCs w:val="24"/>
        </w:rPr>
        <w:t>、提供的货物是原装全新、符合招标文件规定技术参数的设备或产品；</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6</w:t>
      </w:r>
      <w:r>
        <w:rPr>
          <w:rFonts w:hint="eastAsia" w:asciiTheme="majorEastAsia" w:hAnsiTheme="majorEastAsia" w:eastAsiaTheme="majorEastAsia"/>
          <w:sz w:val="24"/>
          <w:szCs w:val="24"/>
        </w:rPr>
        <w:t>、本投标自开标日起有效期为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日历天。</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7</w:t>
      </w:r>
      <w:r>
        <w:rPr>
          <w:rFonts w:hint="eastAsia" w:asciiTheme="majorEastAsia" w:hAnsiTheme="majorEastAsia" w:eastAsiaTheme="majorEastAsia"/>
          <w:sz w:val="24"/>
          <w:szCs w:val="24"/>
        </w:rPr>
        <w:t>、如果在规定的开标时间后，供应商不能在投标有效期内撤回投标。</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 8</w:t>
      </w:r>
      <w:r>
        <w:rPr>
          <w:rFonts w:hint="eastAsia" w:asciiTheme="majorEastAsia" w:hAnsiTheme="majorEastAsia" w:eastAsiaTheme="majorEastAsia"/>
          <w:sz w:val="24"/>
          <w:szCs w:val="24"/>
        </w:rPr>
        <w:t>、供应商同意提供按照贵方可能要求的与其投标有关的一切数据或资料，完全理解贵方不一定接受最低价的投标或其他任何投标。</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供应商地址：</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电话（传真）</w:t>
      </w:r>
      <w:r>
        <w:rPr>
          <w:rFonts w:asciiTheme="majorEastAsia" w:hAnsiTheme="majorEastAsia" w:eastAsiaTheme="majorEastAsia"/>
          <w:sz w:val="24"/>
          <w:szCs w:val="24"/>
        </w:rPr>
        <w:t xml:space="preserve">:   </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邮政编码：</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开户银行及账号：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法定代表人或授权委托人签字</w:t>
      </w:r>
      <w:r>
        <w:rPr>
          <w:rFonts w:asciiTheme="majorEastAsia" w:hAnsiTheme="majorEastAsia" w:eastAsiaTheme="majorEastAsia"/>
          <w:sz w:val="24"/>
          <w:szCs w:val="24"/>
        </w:rPr>
        <w:t>:</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供应商名称（公章）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日期：年月日</w:t>
      </w:r>
      <w:bookmarkStart w:id="215" w:name="_Toc20179"/>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widowControl/>
        <w:jc w:val="left"/>
        <w:rPr>
          <w:rFonts w:asciiTheme="majorEastAsia" w:hAnsiTheme="majorEastAsia" w:eastAsiaTheme="majorEastAsia"/>
          <w:sz w:val="24"/>
          <w:szCs w:val="24"/>
        </w:rPr>
      </w:pPr>
      <w:bookmarkStart w:id="216" w:name="_Toc27148145"/>
      <w:bookmarkStart w:id="217" w:name="_Toc14327"/>
      <w:bookmarkStart w:id="218" w:name="_Toc26070"/>
      <w:bookmarkStart w:id="219" w:name="_Toc30491"/>
      <w:r>
        <w:rPr>
          <w:rFonts w:asciiTheme="majorEastAsia" w:hAnsiTheme="majorEastAsia" w:eastAsiaTheme="majorEastAsia"/>
          <w:sz w:val="24"/>
          <w:szCs w:val="24"/>
        </w:rPr>
        <w:br w:type="page"/>
      </w: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二、投标一览表</w:t>
      </w:r>
      <w:bookmarkEnd w:id="215"/>
      <w:bookmarkEnd w:id="216"/>
      <w:bookmarkEnd w:id="217"/>
      <w:bookmarkEnd w:id="218"/>
      <w:bookmarkEnd w:id="219"/>
    </w:p>
    <w:p>
      <w:pPr>
        <w:pStyle w:val="2"/>
      </w:pPr>
    </w:p>
    <w:tbl>
      <w:tblPr>
        <w:tblStyle w:val="40"/>
        <w:tblW w:w="9680" w:type="dxa"/>
        <w:tblInd w:w="0" w:type="dxa"/>
        <w:tblLayout w:type="fixed"/>
        <w:tblCellMar>
          <w:top w:w="0" w:type="dxa"/>
          <w:left w:w="0" w:type="dxa"/>
          <w:bottom w:w="0" w:type="dxa"/>
          <w:right w:w="0" w:type="dxa"/>
        </w:tblCellMar>
      </w:tblPr>
      <w:tblGrid>
        <w:gridCol w:w="1700"/>
        <w:gridCol w:w="4032"/>
        <w:gridCol w:w="1447"/>
        <w:gridCol w:w="2501"/>
      </w:tblGrid>
      <w:tr>
        <w:tblPrEx>
          <w:tblLayout w:type="fixed"/>
          <w:tblCellMar>
            <w:top w:w="0" w:type="dxa"/>
            <w:left w:w="0" w:type="dxa"/>
            <w:bottom w:w="0" w:type="dxa"/>
            <w:right w:w="0" w:type="dxa"/>
          </w:tblCellMar>
        </w:tblPrEx>
        <w:trPr>
          <w:cantSplit/>
          <w:trHeight w:val="838"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tc>
        <w:tc>
          <w:tcPr>
            <w:tcW w:w="40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p>
        </w:tc>
        <w:tc>
          <w:tcPr>
            <w:tcW w:w="1447" w:type="dxa"/>
            <w:tcBorders>
              <w:top w:val="single" w:color="auto" w:sz="4" w:space="0"/>
              <w:left w:val="nil"/>
              <w:bottom w:val="single" w:color="auto" w:sz="4" w:space="0"/>
              <w:right w:val="single" w:color="auto" w:sz="4" w:space="0"/>
            </w:tcBorders>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项目编号</w:t>
            </w:r>
          </w:p>
        </w:tc>
        <w:tc>
          <w:tcPr>
            <w:tcW w:w="250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cantSplit/>
          <w:trHeight w:val="1951" w:hRule="atLeast"/>
        </w:trPr>
        <w:tc>
          <w:tcPr>
            <w:tcW w:w="170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投标总报价（元）</w:t>
            </w:r>
          </w:p>
          <w:p>
            <w:pPr>
              <w:spacing w:line="440" w:lineRule="exact"/>
              <w:ind w:firstLine="480" w:firstLineChars="200"/>
              <w:rPr>
                <w:rFonts w:asciiTheme="majorEastAsia" w:hAnsiTheme="majorEastAsia" w:eastAsiaTheme="majorEastAsia"/>
                <w:sz w:val="24"/>
                <w:szCs w:val="24"/>
              </w:rPr>
            </w:pPr>
          </w:p>
        </w:tc>
        <w:tc>
          <w:tcPr>
            <w:tcW w:w="798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mc:AlternateContent>
                <mc:Choice Requires="wps">
                  <w:drawing>
                    <wp:anchor distT="0" distB="0" distL="114300" distR="114300" simplePos="0" relativeHeight="251659264" behindDoc="0" locked="0" layoutInCell="1" allowOverlap="1">
                      <wp:simplePos x="0" y="0"/>
                      <wp:positionH relativeFrom="column">
                        <wp:posOffset>2155825</wp:posOffset>
                      </wp:positionH>
                      <wp:positionV relativeFrom="paragraph">
                        <wp:posOffset>227330</wp:posOffset>
                      </wp:positionV>
                      <wp:extent cx="1066800" cy="635"/>
                      <wp:effectExtent l="0" t="0" r="0" b="0"/>
                      <wp:wrapNone/>
                      <wp:docPr id="5" name="Line 2"/>
                      <wp:cNvGraphicFramePr/>
                      <a:graphic xmlns:a="http://schemas.openxmlformats.org/drawingml/2006/main">
                        <a:graphicData uri="http://schemas.microsoft.com/office/word/2010/wordprocessingShape">
                          <wps:wsp>
                            <wps:cNvCnPr/>
                            <wps:spPr>
                              <a:xfrm>
                                <a:off x="0" y="0"/>
                                <a:ext cx="1066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69.75pt;margin-top:17.9pt;height:0.05pt;width:84pt;z-index:251659264;mso-width-relative:page;mso-height-relative:page;" filled="f" stroked="t" coordsize="21600,21600" o:gfxdata="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1Qd19cAAAAJAQAADwAAAAAAAAABACAAAAAiAAAAZHJzL2Rvd25y&#10;ZXYueG1sUEsBAhQAFAAAAAgAh07iQOkd/DzGAQAAmwMAAA4AAAAAAAAAAQAgAAAAJgEAAGRycy9l&#10;Mm9Eb2MueG1sUEsFBgAAAAAGAAYAWQEAAF4FAAAAAA==&#10;">
                      <v:fill on="f" focussize="0,0"/>
                      <v:stroke color="#000000" joinstyle="round"/>
                      <v:imagedata o:title=""/>
                      <o:lock v:ext="edit" aspectratio="f"/>
                    </v:line>
                  </w:pict>
                </mc:Fallback>
              </mc:AlternateContent>
            </w:r>
            <w:r>
              <w:rPr>
                <w:rFonts w:hint="eastAsia" w:asciiTheme="majorEastAsia" w:hAnsiTheme="majorEastAsia" w:eastAsiaTheme="majorEastAsia"/>
                <w:sz w:val="24"/>
                <w:szCs w:val="24"/>
              </w:rPr>
              <w:t>人民币大写：</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mc:AlternateContent>
                <mc:Choice Requires="wps">
                  <w:drawing>
                    <wp:anchor distT="0" distB="0" distL="114300" distR="114300" simplePos="0" relativeHeight="251660288" behindDoc="0" locked="0" layoutInCell="1" allowOverlap="1">
                      <wp:simplePos x="0" y="0"/>
                      <wp:positionH relativeFrom="column">
                        <wp:posOffset>2157095</wp:posOffset>
                      </wp:positionH>
                      <wp:positionV relativeFrom="paragraph">
                        <wp:posOffset>242570</wp:posOffset>
                      </wp:positionV>
                      <wp:extent cx="1066800" cy="635"/>
                      <wp:effectExtent l="0" t="0" r="0" b="0"/>
                      <wp:wrapNone/>
                      <wp:docPr id="6" name="Line 3"/>
                      <wp:cNvGraphicFramePr/>
                      <a:graphic xmlns:a="http://schemas.openxmlformats.org/drawingml/2006/main">
                        <a:graphicData uri="http://schemas.microsoft.com/office/word/2010/wordprocessingShape">
                          <wps:wsp>
                            <wps:cNvCnPr/>
                            <wps:spPr>
                              <a:xfrm>
                                <a:off x="0" y="0"/>
                                <a:ext cx="10668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169.85pt;margin-top:19.1pt;height:0.05pt;width:84pt;z-index:251660288;mso-width-relative:page;mso-height-relative:page;" filled="f" stroked="t" coordsize="21600,21600" o:gfxdata="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2/0kJtcAAAAJAQAADwAAAAAAAAABACAAAAAiAAAAZHJzL2Rvd25y&#10;ZXYueG1sUEsBAhQAFAAAAAgAh07iQKo/GD3GAQAAmwMAAA4AAAAAAAAAAQAgAAAAJgEAAGRycy9l&#10;Mm9Eb2MueG1sUEsFBgAAAAAGAAYAWQEAAF4FAAAAAA==&#10;">
                      <v:fill on="f" focussize="0,0"/>
                      <v:stroke color="#000000" joinstyle="round"/>
                      <v:imagedata o:title=""/>
                      <o:lock v:ext="edit" aspectratio="f"/>
                    </v:line>
                  </w:pict>
                </mc:Fallback>
              </mc:AlternateContent>
            </w:r>
            <w:r>
              <w:rPr>
                <w:rFonts w:hint="eastAsia" w:asciiTheme="majorEastAsia" w:hAnsiTheme="majorEastAsia" w:eastAsiaTheme="majorEastAsia"/>
                <w:sz w:val="24"/>
                <w:szCs w:val="24"/>
              </w:rPr>
              <w:t>人民币小写：</w:t>
            </w:r>
          </w:p>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cantSplit/>
          <w:trHeight w:val="813" w:hRule="atLeast"/>
        </w:trPr>
        <w:tc>
          <w:tcPr>
            <w:tcW w:w="170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质量</w:t>
            </w:r>
          </w:p>
        </w:tc>
        <w:tc>
          <w:tcPr>
            <w:tcW w:w="798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cantSplit/>
          <w:trHeight w:val="1093"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期限</w:t>
            </w:r>
          </w:p>
        </w:tc>
        <w:tc>
          <w:tcPr>
            <w:tcW w:w="79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cantSplit/>
          <w:trHeight w:val="1059"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质保期</w:t>
            </w:r>
          </w:p>
        </w:tc>
        <w:tc>
          <w:tcPr>
            <w:tcW w:w="79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cantSplit/>
          <w:trHeight w:val="1059"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优惠条件</w:t>
            </w:r>
          </w:p>
        </w:tc>
        <w:tc>
          <w:tcPr>
            <w:tcW w:w="79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80" w:firstLineChars="200"/>
              <w:rPr>
                <w:rFonts w:asciiTheme="majorEastAsia" w:hAnsiTheme="majorEastAsia" w:eastAsiaTheme="majorEastAsia"/>
                <w:sz w:val="24"/>
                <w:szCs w:val="24"/>
              </w:rPr>
            </w:pPr>
          </w:p>
        </w:tc>
      </w:tr>
    </w:tbl>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注：</w:t>
      </w:r>
      <w:r>
        <w:rPr>
          <w:rFonts w:asciiTheme="majorEastAsia" w:hAnsiTheme="majorEastAsia" w:eastAsiaTheme="majorEastAsia"/>
          <w:sz w:val="24"/>
          <w:szCs w:val="24"/>
        </w:rPr>
        <w:t>1.</w:t>
      </w:r>
      <w:r>
        <w:rPr>
          <w:rFonts w:hint="eastAsia" w:asciiTheme="majorEastAsia" w:hAnsiTheme="majorEastAsia" w:eastAsiaTheme="majorEastAsia"/>
          <w:sz w:val="24"/>
          <w:szCs w:val="24"/>
        </w:rPr>
        <w:t>供应商只允许有一个投标报价，采购人和采购代理机构不接受任何有选择的投标报价。</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本表投标总价应与投标文件中报价表的总报价一致，如有偏差，以投标文件正本大写报价为准。</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 xml:space="preserve">3. </w:t>
      </w:r>
      <w:r>
        <w:rPr>
          <w:rFonts w:hint="eastAsia" w:asciiTheme="majorEastAsia" w:hAnsiTheme="majorEastAsia" w:eastAsiaTheme="majorEastAsia"/>
          <w:sz w:val="24"/>
          <w:szCs w:val="24"/>
        </w:rPr>
        <w:t>投标报价应包括供应商中标后为完成招标文件规定的全部工作而发生的设计、制造、采购、试验、运保、安装、调试、试运行、质量检测费以及伴随的其它服务费等的全部成本、保险、税金及利润，并考虑了应承担的风险及相关费用。其中设备报价应包含设备运抵工作现场并且在此过程中发生的全部税金、运费、运保费、交付前保管费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供应商名称（公章）：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法定代表人或授权委托人签字</w:t>
      </w:r>
      <w:r>
        <w:rPr>
          <w:rFonts w:asciiTheme="majorEastAsia" w:hAnsiTheme="majorEastAsia" w:eastAsiaTheme="majorEastAsia"/>
          <w:sz w:val="24"/>
          <w:szCs w:val="24"/>
        </w:rPr>
        <w:t>:</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年月日</w:t>
      </w:r>
      <w:bookmarkStart w:id="220" w:name="_Toc2504"/>
    </w:p>
    <w:p>
      <w:pPr>
        <w:spacing w:line="440" w:lineRule="exact"/>
        <w:ind w:firstLine="480" w:firstLineChars="200"/>
        <w:rPr>
          <w:rFonts w:asciiTheme="majorEastAsia" w:hAnsiTheme="majorEastAsia" w:eastAsiaTheme="majorEastAsia"/>
          <w:sz w:val="24"/>
          <w:szCs w:val="24"/>
        </w:rPr>
      </w:pPr>
      <w:bookmarkStart w:id="221" w:name="_Toc1164"/>
    </w:p>
    <w:p>
      <w:pPr>
        <w:spacing w:line="440" w:lineRule="exact"/>
        <w:ind w:firstLine="480" w:firstLineChars="200"/>
        <w:rPr>
          <w:rFonts w:asciiTheme="majorEastAsia" w:hAnsiTheme="majorEastAsia" w:eastAsiaTheme="majorEastAsia"/>
          <w:sz w:val="24"/>
          <w:szCs w:val="24"/>
        </w:rPr>
      </w:pPr>
      <w:bookmarkStart w:id="222" w:name="_Toc14358"/>
      <w:bookmarkStart w:id="223" w:name="_Toc27148146"/>
      <w:bookmarkStart w:id="224" w:name="_Toc31604"/>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br w:type="page"/>
      </w: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三、</w:t>
      </w:r>
      <w:bookmarkEnd w:id="220"/>
      <w:bookmarkEnd w:id="221"/>
      <w:bookmarkEnd w:id="222"/>
      <w:r>
        <w:rPr>
          <w:rFonts w:hint="eastAsia" w:asciiTheme="majorEastAsia" w:hAnsiTheme="majorEastAsia" w:eastAsiaTheme="majorEastAsia"/>
          <w:b/>
          <w:sz w:val="24"/>
          <w:szCs w:val="24"/>
        </w:rPr>
        <w:t>货物清单及报价明细表</w:t>
      </w:r>
      <w:bookmarkEnd w:id="223"/>
      <w:bookmarkEnd w:id="224"/>
    </w:p>
    <w:p>
      <w:pPr>
        <w:spacing w:line="440" w:lineRule="exact"/>
        <w:ind w:firstLine="480" w:firstLineChars="200"/>
        <w:rPr>
          <w:rFonts w:asciiTheme="majorEastAsia" w:hAnsiTheme="majorEastAsia" w:eastAsiaTheme="majorEastAsia"/>
          <w:sz w:val="24"/>
          <w:szCs w:val="24"/>
        </w:rPr>
      </w:pPr>
    </w:p>
    <w:tbl>
      <w:tblPr>
        <w:tblStyle w:val="40"/>
        <w:tblW w:w="9700" w:type="dxa"/>
        <w:jc w:val="center"/>
        <w:tblInd w:w="0" w:type="dxa"/>
        <w:tblLayout w:type="fixed"/>
        <w:tblCellMar>
          <w:top w:w="0" w:type="dxa"/>
          <w:left w:w="0" w:type="dxa"/>
          <w:bottom w:w="0" w:type="dxa"/>
          <w:right w:w="0" w:type="dxa"/>
        </w:tblCellMar>
      </w:tblPr>
      <w:tblGrid>
        <w:gridCol w:w="559"/>
        <w:gridCol w:w="1555"/>
        <w:gridCol w:w="2289"/>
        <w:gridCol w:w="833"/>
        <w:gridCol w:w="905"/>
        <w:gridCol w:w="1204"/>
        <w:gridCol w:w="1134"/>
        <w:gridCol w:w="1221"/>
      </w:tblGrid>
      <w:tr>
        <w:tblPrEx>
          <w:tblLayout w:type="fixed"/>
          <w:tblCellMar>
            <w:top w:w="0" w:type="dxa"/>
            <w:left w:w="0" w:type="dxa"/>
            <w:bottom w:w="0" w:type="dxa"/>
            <w:right w:w="0" w:type="dxa"/>
          </w:tblCellMar>
        </w:tblPrEx>
        <w:trPr>
          <w:cantSplit/>
          <w:trHeight w:val="694" w:hRule="atLeast"/>
          <w:jc w:val="center"/>
        </w:trPr>
        <w:tc>
          <w:tcPr>
            <w:tcW w:w="9700" w:type="dxa"/>
            <w:gridSpan w:val="8"/>
            <w:tcBorders>
              <w:top w:val="single" w:color="auto" w:sz="4" w:space="0"/>
              <w:left w:val="single" w:color="auto" w:sz="4" w:space="0"/>
              <w:right w:val="single" w:color="auto" w:sz="4" w:space="0"/>
            </w:tcBorders>
            <w:tcMar>
              <w:top w:w="20" w:type="dxa"/>
              <w:left w:w="20" w:type="dxa"/>
              <w:bottom w:w="0" w:type="dxa"/>
              <w:right w:w="20" w:type="dxa"/>
            </w:tcMar>
            <w:vAlign w:val="center"/>
          </w:tcPr>
          <w:p>
            <w:pPr>
              <w:spacing w:line="440" w:lineRule="exact"/>
              <w:rPr>
                <w:rFonts w:asciiTheme="majorEastAsia" w:hAnsiTheme="majorEastAsia" w:eastAsiaTheme="majorEastAsia"/>
                <w:sz w:val="24"/>
                <w:szCs w:val="24"/>
              </w:rPr>
            </w:pPr>
            <w:bookmarkStart w:id="225" w:name="_Toc388091825"/>
            <w:r>
              <w:rPr>
                <w:rFonts w:hint="eastAsia" w:asciiTheme="majorEastAsia" w:hAnsiTheme="majorEastAsia" w:eastAsiaTheme="majorEastAsia"/>
                <w:sz w:val="24"/>
                <w:szCs w:val="24"/>
              </w:rPr>
              <w:t>供应商：（此处填名称并盖章）</w:t>
            </w:r>
            <w:bookmarkEnd w:id="225"/>
          </w:p>
        </w:tc>
      </w:tr>
      <w:tr>
        <w:tblPrEx>
          <w:tblLayout w:type="fixed"/>
          <w:tblCellMar>
            <w:top w:w="0" w:type="dxa"/>
            <w:left w:w="0" w:type="dxa"/>
            <w:bottom w:w="0" w:type="dxa"/>
            <w:right w:w="0" w:type="dxa"/>
          </w:tblCellMar>
        </w:tblPrEx>
        <w:trPr>
          <w:cantSplit/>
          <w:trHeight w:val="731" w:hRule="atLeast"/>
          <w:jc w:val="center"/>
        </w:trPr>
        <w:tc>
          <w:tcPr>
            <w:tcW w:w="9700" w:type="dxa"/>
            <w:gridSpan w:val="8"/>
            <w:tcBorders>
              <w:left w:val="single" w:color="auto" w:sz="4" w:space="0"/>
              <w:right w:val="single" w:color="auto" w:sz="4" w:space="0"/>
            </w:tcBorders>
            <w:tcMar>
              <w:top w:w="20" w:type="dxa"/>
              <w:left w:w="20" w:type="dxa"/>
              <w:bottom w:w="0" w:type="dxa"/>
              <w:right w:w="20" w:type="dxa"/>
            </w:tcMar>
            <w:vAlign w:val="center"/>
          </w:tcPr>
          <w:p>
            <w:pPr>
              <w:spacing w:line="440" w:lineRule="exact"/>
              <w:rPr>
                <w:rFonts w:asciiTheme="majorEastAsia" w:hAnsiTheme="majorEastAsia" w:eastAsiaTheme="majorEastAsia"/>
                <w:sz w:val="24"/>
                <w:szCs w:val="24"/>
              </w:rPr>
            </w:pPr>
            <w:bookmarkStart w:id="226" w:name="_Toc388091826"/>
            <w:r>
              <w:rPr>
                <w:rFonts w:hint="eastAsia" w:asciiTheme="majorEastAsia" w:hAnsiTheme="majorEastAsia" w:eastAsiaTheme="majorEastAsia"/>
                <w:sz w:val="24"/>
                <w:szCs w:val="24"/>
              </w:rPr>
              <w:t>项目：（此处填项目名称）金额单位：元</w:t>
            </w:r>
            <w:bookmarkEnd w:id="226"/>
          </w:p>
        </w:tc>
      </w:tr>
      <w:tr>
        <w:tblPrEx>
          <w:tblLayout w:type="fixed"/>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jc w:val="center"/>
              <w:rPr>
                <w:rFonts w:asciiTheme="majorEastAsia" w:hAnsiTheme="majorEastAsia" w:eastAsiaTheme="majorEastAsia"/>
                <w:sz w:val="24"/>
                <w:szCs w:val="24"/>
              </w:rPr>
            </w:pPr>
            <w:bookmarkStart w:id="227" w:name="_Toc388091827"/>
            <w:r>
              <w:rPr>
                <w:rFonts w:hint="eastAsia" w:asciiTheme="majorEastAsia" w:hAnsiTheme="majorEastAsia" w:eastAsiaTheme="majorEastAsia"/>
                <w:sz w:val="24"/>
                <w:szCs w:val="24"/>
              </w:rPr>
              <w:t>序号</w:t>
            </w:r>
            <w:bookmarkEnd w:id="227"/>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jc w:val="center"/>
              <w:rPr>
                <w:rFonts w:asciiTheme="majorEastAsia" w:hAnsiTheme="majorEastAsia" w:eastAsiaTheme="majorEastAsia"/>
                <w:sz w:val="24"/>
                <w:szCs w:val="24"/>
              </w:rPr>
            </w:pPr>
            <w:bookmarkStart w:id="228" w:name="_Toc388091828"/>
            <w:r>
              <w:rPr>
                <w:rFonts w:hint="eastAsia" w:asciiTheme="majorEastAsia" w:hAnsiTheme="majorEastAsia" w:eastAsiaTheme="majorEastAsia"/>
                <w:sz w:val="24"/>
                <w:szCs w:val="24"/>
              </w:rPr>
              <w:t>设备（项目）</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bookmarkEnd w:id="228"/>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jc w:val="center"/>
              <w:rPr>
                <w:rFonts w:asciiTheme="majorEastAsia" w:hAnsiTheme="majorEastAsia" w:eastAsiaTheme="majorEastAsia"/>
                <w:sz w:val="24"/>
                <w:szCs w:val="24"/>
              </w:rPr>
            </w:pPr>
            <w:bookmarkStart w:id="229" w:name="_Toc388091829"/>
            <w:r>
              <w:rPr>
                <w:rFonts w:hint="eastAsia" w:asciiTheme="majorEastAsia" w:hAnsiTheme="majorEastAsia" w:eastAsiaTheme="majorEastAsia"/>
                <w:sz w:val="24"/>
                <w:szCs w:val="24"/>
              </w:rPr>
              <w:t>品牌及规格型号参数</w:t>
            </w:r>
            <w:bookmarkEnd w:id="229"/>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jc w:val="center"/>
              <w:rPr>
                <w:rFonts w:asciiTheme="majorEastAsia" w:hAnsiTheme="majorEastAsia" w:eastAsiaTheme="majorEastAsia"/>
                <w:sz w:val="24"/>
                <w:szCs w:val="24"/>
              </w:rPr>
            </w:pPr>
            <w:bookmarkStart w:id="230" w:name="_Toc388091830"/>
            <w:r>
              <w:rPr>
                <w:rFonts w:hint="eastAsia" w:asciiTheme="majorEastAsia" w:hAnsiTheme="majorEastAsia" w:eastAsiaTheme="majorEastAsia"/>
                <w:sz w:val="24"/>
                <w:szCs w:val="24"/>
              </w:rPr>
              <w:t>单位</w:t>
            </w:r>
            <w:bookmarkEnd w:id="230"/>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jc w:val="center"/>
              <w:rPr>
                <w:rFonts w:asciiTheme="majorEastAsia" w:hAnsiTheme="majorEastAsia" w:eastAsiaTheme="majorEastAsia"/>
                <w:sz w:val="24"/>
                <w:szCs w:val="24"/>
              </w:rPr>
            </w:pPr>
            <w:bookmarkStart w:id="231" w:name="_Toc388091831"/>
            <w:r>
              <w:rPr>
                <w:rFonts w:hint="eastAsia" w:asciiTheme="majorEastAsia" w:hAnsiTheme="majorEastAsia" w:eastAsiaTheme="majorEastAsia"/>
                <w:sz w:val="24"/>
                <w:szCs w:val="24"/>
              </w:rPr>
              <w:t>数量</w:t>
            </w:r>
            <w:bookmarkEnd w:id="231"/>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jc w:val="center"/>
              <w:rPr>
                <w:rFonts w:asciiTheme="majorEastAsia" w:hAnsiTheme="majorEastAsia" w:eastAsiaTheme="majorEastAsia"/>
                <w:sz w:val="24"/>
                <w:szCs w:val="24"/>
              </w:rPr>
            </w:pPr>
            <w:bookmarkStart w:id="232" w:name="_Toc388091832"/>
            <w:r>
              <w:rPr>
                <w:rFonts w:hint="eastAsia" w:asciiTheme="majorEastAsia" w:hAnsiTheme="majorEastAsia" w:eastAsiaTheme="majorEastAsia"/>
                <w:sz w:val="24"/>
                <w:szCs w:val="24"/>
              </w:rPr>
              <w:t>单价</w:t>
            </w:r>
            <w:bookmarkEnd w:id="232"/>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jc w:val="center"/>
              <w:rPr>
                <w:rFonts w:asciiTheme="majorEastAsia" w:hAnsiTheme="majorEastAsia" w:eastAsiaTheme="majorEastAsia"/>
                <w:sz w:val="24"/>
                <w:szCs w:val="24"/>
              </w:rPr>
            </w:pPr>
            <w:bookmarkStart w:id="233" w:name="_Toc388091833"/>
            <w:r>
              <w:rPr>
                <w:rFonts w:hint="eastAsia" w:asciiTheme="majorEastAsia" w:hAnsiTheme="majorEastAsia" w:eastAsiaTheme="majorEastAsia"/>
                <w:sz w:val="24"/>
                <w:szCs w:val="24"/>
              </w:rPr>
              <w:t>合计</w:t>
            </w:r>
            <w:bookmarkEnd w:id="233"/>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jc w:val="center"/>
              <w:rPr>
                <w:rFonts w:asciiTheme="majorEastAsia" w:hAnsiTheme="majorEastAsia" w:eastAsiaTheme="majorEastAsia"/>
                <w:sz w:val="24"/>
                <w:szCs w:val="24"/>
              </w:rPr>
            </w:pPr>
            <w:bookmarkStart w:id="234" w:name="_Toc388091834"/>
            <w:r>
              <w:rPr>
                <w:rFonts w:hint="eastAsia" w:asciiTheme="majorEastAsia" w:hAnsiTheme="majorEastAsia" w:eastAsiaTheme="majorEastAsia"/>
                <w:sz w:val="24"/>
                <w:szCs w:val="24"/>
              </w:rPr>
              <w:t>备注</w:t>
            </w:r>
            <w:bookmarkEnd w:id="234"/>
          </w:p>
        </w:tc>
      </w:tr>
      <w:tr>
        <w:tblPrEx>
          <w:tblLayout w:type="fixed"/>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trHeight w:val="645" w:hRule="atLeast"/>
          <w:jc w:val="center"/>
        </w:trPr>
        <w:tc>
          <w:tcPr>
            <w:tcW w:w="559"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55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228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833"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90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0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2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trHeight w:val="64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55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228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83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90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0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134"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440" w:lineRule="exact"/>
              <w:ind w:firstLine="480" w:firstLineChars="200"/>
              <w:rPr>
                <w:rFonts w:asciiTheme="majorEastAsia" w:hAnsiTheme="majorEastAsia" w:eastAsiaTheme="majorEastAsia"/>
                <w:sz w:val="24"/>
                <w:szCs w:val="24"/>
              </w:rPr>
            </w:pPr>
          </w:p>
        </w:tc>
      </w:tr>
      <w:tr>
        <w:tblPrEx>
          <w:tblLayout w:type="fixed"/>
          <w:tblCellMar>
            <w:top w:w="0" w:type="dxa"/>
            <w:left w:w="0" w:type="dxa"/>
            <w:bottom w:w="0" w:type="dxa"/>
            <w:right w:w="0" w:type="dxa"/>
          </w:tblCellMar>
        </w:tblPrEx>
        <w:trPr>
          <w:trHeight w:val="765" w:hRule="atLeast"/>
          <w:jc w:val="center"/>
        </w:trPr>
        <w:tc>
          <w:tcPr>
            <w:tcW w:w="9700" w:type="dxa"/>
            <w:gridSpan w:val="8"/>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440" w:lineRule="exact"/>
              <w:rPr>
                <w:rFonts w:asciiTheme="majorEastAsia" w:hAnsiTheme="majorEastAsia" w:eastAsiaTheme="majorEastAsia"/>
                <w:sz w:val="24"/>
                <w:szCs w:val="24"/>
              </w:rPr>
            </w:pPr>
            <w:bookmarkStart w:id="235" w:name="_Toc388091835"/>
            <w:r>
              <w:rPr>
                <w:rFonts w:hint="eastAsia" w:asciiTheme="majorEastAsia" w:hAnsiTheme="majorEastAsia" w:eastAsiaTheme="majorEastAsia"/>
                <w:sz w:val="24"/>
                <w:szCs w:val="24"/>
              </w:rPr>
              <w:t>优惠条件：</w:t>
            </w:r>
            <w:bookmarkEnd w:id="235"/>
          </w:p>
        </w:tc>
      </w:tr>
    </w:tbl>
    <w:p>
      <w:pPr>
        <w:spacing w:line="440" w:lineRule="exact"/>
        <w:ind w:firstLine="480" w:firstLineChars="200"/>
        <w:rPr>
          <w:rFonts w:asciiTheme="majorEastAsia" w:hAnsiTheme="majorEastAsia" w:eastAsiaTheme="majorEastAsia"/>
          <w:sz w:val="24"/>
          <w:szCs w:val="24"/>
        </w:rPr>
      </w:pPr>
      <w:bookmarkStart w:id="236" w:name="_Toc388091838"/>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供应商名称：</w:t>
      </w:r>
      <w:r>
        <w:rPr>
          <w:rFonts w:asciiTheme="majorEastAsia" w:hAnsiTheme="majorEastAsia" w:eastAsiaTheme="majorEastAsia"/>
          <w:sz w:val="24"/>
          <w:szCs w:val="24"/>
        </w:rPr>
        <w:t xml:space="preserve">__________________ </w:t>
      </w:r>
      <w:r>
        <w:rPr>
          <w:rFonts w:hint="eastAsia" w:asciiTheme="majorEastAsia" w:hAnsiTheme="majorEastAsia" w:eastAsiaTheme="majorEastAsia"/>
          <w:sz w:val="24"/>
          <w:szCs w:val="24"/>
        </w:rPr>
        <w:t>（公章）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法定代表人或授权委托人签字并盖章：</w:t>
      </w:r>
      <w:bookmarkEnd w:id="236"/>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237" w:name="_Toc27148147"/>
      <w:bookmarkStart w:id="238" w:name="_Toc388091839"/>
      <w:bookmarkStart w:id="239" w:name="_Toc1441"/>
      <w:r>
        <w:rPr>
          <w:rFonts w:hint="eastAsia" w:asciiTheme="majorEastAsia" w:hAnsiTheme="majorEastAsia" w:eastAsiaTheme="majorEastAsia"/>
          <w:sz w:val="24"/>
          <w:szCs w:val="24"/>
        </w:rPr>
        <w:t>年月日</w:t>
      </w:r>
      <w:bookmarkEnd w:id="237"/>
      <w:bookmarkEnd w:id="238"/>
      <w:bookmarkEnd w:id="239"/>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bookmarkStart w:id="240" w:name="_Toc15920"/>
      <w:bookmarkStart w:id="241" w:name="_Toc388091840"/>
      <w:bookmarkStart w:id="242" w:name="_Toc9887"/>
      <w:bookmarkStart w:id="243" w:name="_Toc29244"/>
      <w:bookmarkStart w:id="244" w:name="_Toc18276"/>
      <w:bookmarkStart w:id="245" w:name="_Toc27148148"/>
      <w:r>
        <w:rPr>
          <w:rFonts w:hint="eastAsia" w:asciiTheme="majorEastAsia" w:hAnsiTheme="majorEastAsia" w:eastAsiaTheme="majorEastAsia"/>
          <w:b/>
          <w:sz w:val="24"/>
          <w:szCs w:val="24"/>
        </w:rPr>
        <w:t>四、</w:t>
      </w:r>
      <w:bookmarkEnd w:id="240"/>
      <w:bookmarkEnd w:id="241"/>
      <w:bookmarkEnd w:id="242"/>
      <w:bookmarkEnd w:id="243"/>
      <w:r>
        <w:rPr>
          <w:rFonts w:hint="eastAsia" w:asciiTheme="majorEastAsia" w:hAnsiTheme="majorEastAsia" w:eastAsiaTheme="majorEastAsia"/>
          <w:b/>
          <w:sz w:val="24"/>
          <w:szCs w:val="24"/>
        </w:rPr>
        <w:t>技术规格偏差表</w:t>
      </w:r>
      <w:bookmarkEnd w:id="244"/>
      <w:bookmarkEnd w:id="245"/>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项目编号：</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供应商名称：（公章）</w:t>
      </w:r>
    </w:p>
    <w:tbl>
      <w:tblPr>
        <w:tblStyle w:val="40"/>
        <w:tblpPr w:leftFromText="180" w:rightFromText="180" w:vertAnchor="text" w:horzAnchor="margin" w:tblpY="297"/>
        <w:tblW w:w="96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850"/>
        <w:gridCol w:w="2940"/>
        <w:gridCol w:w="1997"/>
        <w:gridCol w:w="2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53" w:hRule="atLeast"/>
        </w:trPr>
        <w:tc>
          <w:tcPr>
            <w:tcW w:w="566" w:type="dxa"/>
            <w:vAlign w:val="center"/>
          </w:tcPr>
          <w:p>
            <w:pPr>
              <w:spacing w:line="440" w:lineRule="exact"/>
              <w:ind w:firstLine="480" w:firstLineChars="200"/>
              <w:jc w:val="center"/>
              <w:rPr>
                <w:rFonts w:asciiTheme="majorEastAsia" w:hAnsiTheme="majorEastAsia" w:eastAsiaTheme="majorEastAsia"/>
                <w:sz w:val="24"/>
                <w:szCs w:val="24"/>
              </w:rPr>
            </w:pP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号</w:t>
            </w:r>
          </w:p>
        </w:tc>
        <w:tc>
          <w:tcPr>
            <w:tcW w:w="1850"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招标文件技术要求（详细列明技术配置）</w:t>
            </w:r>
          </w:p>
        </w:tc>
        <w:tc>
          <w:tcPr>
            <w:tcW w:w="2940"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投标文件技术响应情况（详细列明所投产品的技术配置）</w:t>
            </w:r>
          </w:p>
        </w:tc>
        <w:tc>
          <w:tcPr>
            <w:tcW w:w="1997"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偏差描述（详细描述技术是否具有正、负偏差）</w:t>
            </w:r>
          </w:p>
        </w:tc>
        <w:tc>
          <w:tcPr>
            <w:tcW w:w="2319" w:type="dxa"/>
            <w:tcBorders>
              <w:right w:val="single" w:color="auto" w:sz="4" w:space="0"/>
            </w:tcBorders>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作为评标性能技术参数依据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atLeast"/>
        </w:trPr>
        <w:tc>
          <w:tcPr>
            <w:tcW w:w="566" w:type="dxa"/>
            <w:tcBorders>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850" w:type="dxa"/>
            <w:tcBorders>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940" w:type="dxa"/>
            <w:tcBorders>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997" w:type="dxa"/>
            <w:tcBorders>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319" w:type="dxa"/>
            <w:tcBorders>
              <w:bottom w:val="single" w:color="auto" w:sz="4"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566"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850"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940"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997"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319" w:type="dxa"/>
            <w:tcBorders>
              <w:top w:val="single" w:color="auto" w:sz="4" w:space="0"/>
              <w:bottom w:val="single" w:color="auto" w:sz="4"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566"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850"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940"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997"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319" w:type="dxa"/>
            <w:tcBorders>
              <w:top w:val="single" w:color="auto" w:sz="4" w:space="0"/>
              <w:bottom w:val="single" w:color="auto" w:sz="4"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0" w:hRule="atLeast"/>
        </w:trPr>
        <w:tc>
          <w:tcPr>
            <w:tcW w:w="566"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850"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940"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1997" w:type="dxa"/>
            <w:tcBorders>
              <w:top w:val="single" w:color="auto" w:sz="4" w:space="0"/>
              <w:bottom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c>
          <w:tcPr>
            <w:tcW w:w="2319" w:type="dxa"/>
            <w:tcBorders>
              <w:top w:val="single" w:color="auto" w:sz="4" w:space="0"/>
              <w:bottom w:val="single" w:color="auto" w:sz="4" w:space="0"/>
              <w:right w:val="single" w:color="auto" w:sz="4" w:space="0"/>
            </w:tcBorders>
            <w:vAlign w:val="center"/>
          </w:tcPr>
          <w:p>
            <w:pPr>
              <w:spacing w:line="440" w:lineRule="exact"/>
              <w:ind w:firstLine="480" w:firstLineChars="200"/>
              <w:rPr>
                <w:rFonts w:asciiTheme="majorEastAsia" w:hAnsiTheme="majorEastAsia" w:eastAsiaTheme="majorEastAsia"/>
                <w:sz w:val="24"/>
                <w:szCs w:val="24"/>
              </w:rPr>
            </w:pPr>
          </w:p>
        </w:tc>
      </w:tr>
    </w:tbl>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、供应商必须按要求规范填写技术规范偏差表。</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、投标单位必须根据所投产品的实际情况如实填写，评委会如发现有虚假描述的，将不予推荐中标候选人。</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、如无偏差，本表可不予填写，但须在备注中注明完全符合招标文件要求，技术规格无偏差。</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供应商法定代表人或授权代表（签字或盖章）：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日期：年月日</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sectPr>
          <w:headerReference r:id="rId3" w:type="default"/>
          <w:footerReference r:id="rId4" w:type="default"/>
          <w:pgSz w:w="11906" w:h="16838"/>
          <w:pgMar w:top="1083" w:right="1083" w:bottom="1083" w:left="1083" w:header="851" w:footer="992" w:gutter="0"/>
          <w:pgNumType w:start="1"/>
          <w:cols w:space="720" w:num="1"/>
          <w:titlePg/>
          <w:docGrid w:type="linesAndChars" w:linePitch="312" w:charSpace="0"/>
        </w:sectPr>
      </w:pPr>
    </w:p>
    <w:p>
      <w:pPr>
        <w:spacing w:line="440" w:lineRule="exact"/>
        <w:ind w:firstLine="480" w:firstLineChars="200"/>
        <w:jc w:val="center"/>
        <w:rPr>
          <w:rFonts w:hint="eastAsia" w:asciiTheme="majorEastAsia" w:hAnsiTheme="majorEastAsia" w:eastAsiaTheme="majorEastAsia"/>
          <w:b/>
          <w:sz w:val="24"/>
          <w:szCs w:val="24"/>
        </w:rPr>
      </w:pPr>
      <w:bookmarkStart w:id="246" w:name="_Toc18905"/>
      <w:bookmarkStart w:id="247" w:name="_Toc1705"/>
      <w:bookmarkStart w:id="248" w:name="_Toc25303"/>
      <w:bookmarkStart w:id="249" w:name="_Toc27148149"/>
      <w:bookmarkStart w:id="250" w:name="_Toc11274"/>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五、法定代表人（负责人）身份证明</w:t>
      </w:r>
      <w:bookmarkEnd w:id="246"/>
      <w:bookmarkEnd w:id="247"/>
      <w:bookmarkEnd w:id="248"/>
      <w:bookmarkEnd w:id="249"/>
      <w:bookmarkEnd w:id="250"/>
    </w:p>
    <w:p>
      <w:pPr>
        <w:spacing w:line="440" w:lineRule="exact"/>
        <w:ind w:firstLine="480" w:firstLineChars="200"/>
        <w:jc w:val="center"/>
        <w:rPr>
          <w:rFonts w:asciiTheme="majorEastAsia" w:hAnsiTheme="majorEastAsia" w:eastAsiaTheme="majorEastAsia"/>
          <w:b/>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供应商名称：</w:t>
      </w:r>
      <w:r>
        <w:rPr>
          <w:rFonts w:asciiTheme="majorEastAsia" w:hAnsiTheme="majorEastAsia" w:eastAsiaTheme="majorEastAsia"/>
          <w:sz w:val="24"/>
          <w:szCs w:val="24"/>
        </w:rPr>
        <w:t>_________________________________</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单位性质：</w:t>
      </w:r>
      <w:r>
        <w:rPr>
          <w:rFonts w:asciiTheme="majorEastAsia" w:hAnsiTheme="majorEastAsia" w:eastAsiaTheme="majorEastAsia"/>
          <w:sz w:val="24"/>
          <w:szCs w:val="24"/>
        </w:rPr>
        <w:t>__________________________________</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地址：</w:t>
      </w:r>
      <w:r>
        <w:rPr>
          <w:rFonts w:asciiTheme="majorEastAsia" w:hAnsiTheme="majorEastAsia" w:eastAsiaTheme="majorEastAsia"/>
          <w:sz w:val="24"/>
          <w:szCs w:val="24"/>
        </w:rPr>
        <w:t>______________________________________</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成立时间：</w:t>
      </w:r>
      <w:r>
        <w:rPr>
          <w:rFonts w:asciiTheme="majorEastAsia" w:hAnsiTheme="majorEastAsia" w:eastAsiaTheme="majorEastAsia"/>
          <w:sz w:val="24"/>
          <w:szCs w:val="24"/>
        </w:rPr>
        <w:t>____</w:t>
      </w:r>
      <w:r>
        <w:rPr>
          <w:rFonts w:hint="eastAsia" w:asciiTheme="majorEastAsia" w:hAnsiTheme="majorEastAsia" w:eastAsiaTheme="majorEastAsia"/>
          <w:sz w:val="24"/>
          <w:szCs w:val="24"/>
        </w:rPr>
        <w:t>年</w:t>
      </w:r>
      <w:r>
        <w:rPr>
          <w:rFonts w:asciiTheme="majorEastAsia" w:hAnsiTheme="majorEastAsia" w:eastAsiaTheme="majorEastAsia"/>
          <w:sz w:val="24"/>
          <w:szCs w:val="24"/>
        </w:rPr>
        <w:t>_____</w:t>
      </w:r>
      <w:r>
        <w:rPr>
          <w:rFonts w:hint="eastAsia" w:asciiTheme="majorEastAsia" w:hAnsiTheme="majorEastAsia" w:eastAsiaTheme="majorEastAsia"/>
          <w:sz w:val="24"/>
          <w:szCs w:val="24"/>
        </w:rPr>
        <w:t>月</w:t>
      </w:r>
      <w:r>
        <w:rPr>
          <w:rFonts w:asciiTheme="majorEastAsia" w:hAnsiTheme="majorEastAsia" w:eastAsiaTheme="majorEastAsia"/>
          <w:sz w:val="24"/>
          <w:szCs w:val="24"/>
        </w:rPr>
        <w:t>_______</w:t>
      </w:r>
      <w:r>
        <w:rPr>
          <w:rFonts w:hint="eastAsia" w:asciiTheme="majorEastAsia" w:hAnsiTheme="majorEastAsia" w:eastAsiaTheme="majorEastAsia"/>
          <w:sz w:val="24"/>
          <w:szCs w:val="24"/>
        </w:rPr>
        <w:t>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经营期限：</w:t>
      </w:r>
      <w:r>
        <w:rPr>
          <w:rFonts w:asciiTheme="majorEastAsia" w:hAnsiTheme="majorEastAsia" w:eastAsiaTheme="majorEastAsia"/>
          <w:sz w:val="24"/>
          <w:szCs w:val="24"/>
        </w:rPr>
        <w:t>______________________</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姓名：</w:t>
      </w:r>
      <w:r>
        <w:rPr>
          <w:rFonts w:asciiTheme="majorEastAsia" w:hAnsiTheme="majorEastAsia" w:eastAsiaTheme="majorEastAsia"/>
          <w:sz w:val="24"/>
          <w:szCs w:val="24"/>
        </w:rPr>
        <w:t xml:space="preserve">_____ </w:t>
      </w:r>
      <w:r>
        <w:rPr>
          <w:rFonts w:hint="eastAsia" w:asciiTheme="majorEastAsia" w:hAnsiTheme="majorEastAsia" w:eastAsiaTheme="majorEastAsia"/>
          <w:sz w:val="24"/>
          <w:szCs w:val="24"/>
        </w:rPr>
        <w:t>性别：</w:t>
      </w:r>
      <w:r>
        <w:rPr>
          <w:rFonts w:asciiTheme="majorEastAsia" w:hAnsiTheme="majorEastAsia" w:eastAsiaTheme="majorEastAsia"/>
          <w:sz w:val="24"/>
          <w:szCs w:val="24"/>
        </w:rPr>
        <w:t>________</w:t>
      </w:r>
      <w:r>
        <w:rPr>
          <w:rFonts w:hint="eastAsia" w:asciiTheme="majorEastAsia" w:hAnsiTheme="majorEastAsia" w:eastAsiaTheme="majorEastAsia"/>
          <w:sz w:val="24"/>
          <w:szCs w:val="24"/>
        </w:rPr>
        <w:t>年龄：</w:t>
      </w:r>
      <w:r>
        <w:rPr>
          <w:rFonts w:asciiTheme="majorEastAsia" w:hAnsiTheme="majorEastAsia" w:eastAsiaTheme="majorEastAsia"/>
          <w:sz w:val="24"/>
          <w:szCs w:val="24"/>
        </w:rPr>
        <w:t>_________</w:t>
      </w:r>
      <w:r>
        <w:rPr>
          <w:rFonts w:hint="eastAsia" w:asciiTheme="majorEastAsia" w:hAnsiTheme="majorEastAsia" w:eastAsiaTheme="majorEastAsia"/>
          <w:sz w:val="24"/>
          <w:szCs w:val="24"/>
        </w:rPr>
        <w:t>职务：</w:t>
      </w:r>
      <w:r>
        <w:rPr>
          <w:rFonts w:asciiTheme="majorEastAsia" w:hAnsiTheme="majorEastAsia" w:eastAsiaTheme="majorEastAsia"/>
          <w:sz w:val="24"/>
          <w:szCs w:val="24"/>
        </w:rPr>
        <w:t>_________</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系</w:t>
      </w:r>
      <w:r>
        <w:rPr>
          <w:rFonts w:asciiTheme="majorEastAsia" w:hAnsiTheme="majorEastAsia" w:eastAsiaTheme="majorEastAsia"/>
          <w:sz w:val="24"/>
          <w:szCs w:val="24"/>
        </w:rPr>
        <w:t xml:space="preserve">_______________ </w:t>
      </w:r>
      <w:r>
        <w:rPr>
          <w:rFonts w:hint="eastAsia" w:asciiTheme="majorEastAsia" w:hAnsiTheme="majorEastAsia" w:eastAsiaTheme="majorEastAsia"/>
          <w:sz w:val="24"/>
          <w:szCs w:val="24"/>
        </w:rPr>
        <w:t>（供应商名称）的法定代表人。</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特此证明。</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附</w:t>
      </w:r>
      <w:r>
        <w:rPr>
          <w:rFonts w:asciiTheme="majorEastAsia" w:hAnsiTheme="majorEastAsia" w:eastAsiaTheme="majorEastAsia"/>
          <w:sz w:val="24"/>
          <w:szCs w:val="24"/>
        </w:rPr>
        <w:t>:</w:t>
      </w:r>
      <w:r>
        <w:rPr>
          <w:rFonts w:hint="eastAsia" w:asciiTheme="majorEastAsia" w:hAnsiTheme="majorEastAsia" w:eastAsiaTheme="majorEastAsia"/>
          <w:sz w:val="24"/>
          <w:szCs w:val="24"/>
        </w:rPr>
        <w:t>法定代表人身份证复印件加盖公章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w:t>
      </w:r>
      <w:r>
        <w:rPr>
          <w:rFonts w:asciiTheme="majorEastAsia" w:hAnsiTheme="majorEastAsia" w:eastAsiaTheme="majorEastAsia"/>
          <w:sz w:val="24"/>
          <w:szCs w:val="24"/>
        </w:rPr>
        <w:t>______________</w:t>
      </w:r>
      <w:r>
        <w:rPr>
          <w:rFonts w:hint="eastAsia" w:asciiTheme="majorEastAsia" w:hAnsiTheme="majorEastAsia" w:eastAsiaTheme="majorEastAsia"/>
          <w:sz w:val="24"/>
          <w:szCs w:val="24"/>
        </w:rPr>
        <w:t>（盖单位章）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年月日</w:t>
      </w:r>
    </w:p>
    <w:p>
      <w:pPr>
        <w:spacing w:line="440" w:lineRule="exact"/>
        <w:ind w:firstLine="480" w:firstLineChars="200"/>
        <w:jc w:val="center"/>
        <w:rPr>
          <w:rFonts w:asciiTheme="majorEastAsia" w:hAnsiTheme="majorEastAsia" w:eastAsiaTheme="majorEastAsia"/>
          <w:b/>
          <w:sz w:val="24"/>
          <w:szCs w:val="24"/>
        </w:rPr>
      </w:pPr>
      <w:r>
        <w:rPr>
          <w:rFonts w:asciiTheme="majorEastAsia" w:hAnsiTheme="majorEastAsia" w:eastAsiaTheme="majorEastAsia"/>
          <w:sz w:val="24"/>
          <w:szCs w:val="24"/>
        </w:rPr>
        <w:br w:type="page"/>
      </w:r>
      <w:bookmarkStart w:id="251" w:name="_Toc12202"/>
      <w:bookmarkStart w:id="252" w:name="_Toc2777"/>
      <w:bookmarkStart w:id="253" w:name="_Toc27148150"/>
      <w:bookmarkStart w:id="254" w:name="_Toc14665"/>
      <w:bookmarkStart w:id="255" w:name="_Toc4119"/>
      <w:r>
        <w:rPr>
          <w:rFonts w:hint="eastAsia" w:asciiTheme="majorEastAsia" w:hAnsiTheme="majorEastAsia" w:eastAsiaTheme="majorEastAsia"/>
          <w:b/>
          <w:sz w:val="24"/>
          <w:szCs w:val="24"/>
        </w:rPr>
        <w:t>六、授权委托书</w:t>
      </w:r>
      <w:bookmarkEnd w:id="251"/>
      <w:bookmarkEnd w:id="252"/>
      <w:bookmarkEnd w:id="253"/>
      <w:bookmarkEnd w:id="254"/>
      <w:bookmarkEnd w:id="255"/>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本人</w:t>
      </w:r>
      <w:r>
        <w:rPr>
          <w:rFonts w:asciiTheme="majorEastAsia" w:hAnsiTheme="majorEastAsia" w:eastAsiaTheme="majorEastAsia"/>
          <w:sz w:val="24"/>
          <w:szCs w:val="24"/>
        </w:rPr>
        <w:t>_________</w:t>
      </w:r>
      <w:r>
        <w:rPr>
          <w:rFonts w:hint="eastAsia" w:asciiTheme="majorEastAsia" w:hAnsiTheme="majorEastAsia" w:eastAsiaTheme="majorEastAsia"/>
          <w:sz w:val="24"/>
          <w:szCs w:val="24"/>
        </w:rPr>
        <w:t>（姓名）系</w:t>
      </w:r>
      <w:r>
        <w:rPr>
          <w:rFonts w:asciiTheme="majorEastAsia" w:hAnsiTheme="majorEastAsia" w:eastAsiaTheme="majorEastAsia"/>
          <w:sz w:val="24"/>
          <w:szCs w:val="24"/>
        </w:rPr>
        <w:t>____________</w:t>
      </w:r>
      <w:r>
        <w:rPr>
          <w:rFonts w:hint="eastAsia" w:asciiTheme="majorEastAsia" w:hAnsiTheme="majorEastAsia" w:eastAsiaTheme="majorEastAsia"/>
          <w:sz w:val="24"/>
          <w:szCs w:val="24"/>
        </w:rPr>
        <w:t>（供应商名称）的法定代表人（负责人），现委托</w:t>
      </w:r>
      <w:r>
        <w:rPr>
          <w:rFonts w:asciiTheme="majorEastAsia" w:hAnsiTheme="majorEastAsia" w:eastAsiaTheme="majorEastAsia"/>
          <w:sz w:val="24"/>
          <w:szCs w:val="24"/>
        </w:rPr>
        <w:t>__________</w:t>
      </w:r>
      <w:r>
        <w:rPr>
          <w:rFonts w:hint="eastAsia" w:asciiTheme="majorEastAsia" w:hAnsiTheme="majorEastAsia" w:eastAsiaTheme="majorEastAsia"/>
          <w:sz w:val="24"/>
          <w:szCs w:val="24"/>
        </w:rPr>
        <w:t>（姓名）为我方代理人。代理人根据授权，以我方名义签署、澄清、说明、补正、递交、撤回、修改</w:t>
      </w:r>
      <w:r>
        <w:rPr>
          <w:rFonts w:asciiTheme="majorEastAsia" w:hAnsiTheme="majorEastAsia" w:eastAsiaTheme="majorEastAsia"/>
          <w:sz w:val="24"/>
          <w:szCs w:val="24"/>
        </w:rPr>
        <w:t>____________</w:t>
      </w:r>
      <w:r>
        <w:rPr>
          <w:rFonts w:hint="eastAsia" w:asciiTheme="majorEastAsia" w:hAnsiTheme="majorEastAsia" w:eastAsiaTheme="majorEastAsia"/>
          <w:sz w:val="24"/>
          <w:szCs w:val="24"/>
        </w:rPr>
        <w:t>（项目名称）投标文件、签订合同和处理有关事宜，其法律后果由我方承担。</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委托期限：</w:t>
      </w:r>
      <w:r>
        <w:rPr>
          <w:rFonts w:asciiTheme="majorEastAsia" w:hAnsiTheme="majorEastAsia" w:eastAsiaTheme="majorEastAsia"/>
          <w:sz w:val="24"/>
          <w:szCs w:val="24"/>
        </w:rPr>
        <w:t>__________________________</w:t>
      </w:r>
      <w:r>
        <w:rPr>
          <w:rFonts w:hint="eastAsia" w:asciiTheme="majorEastAsia" w:hAnsiTheme="majorEastAsia" w:eastAsiaTheme="majorEastAsia"/>
          <w:sz w:val="24"/>
          <w:szCs w:val="24"/>
        </w:rPr>
        <w:t>。</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代理人无转委托权。</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附：委托代理人身份证复印件加盖公章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w:t>
      </w:r>
      <w:r>
        <w:rPr>
          <w:rFonts w:asciiTheme="majorEastAsia" w:hAnsiTheme="majorEastAsia" w:eastAsiaTheme="majorEastAsia"/>
          <w:sz w:val="24"/>
          <w:szCs w:val="24"/>
        </w:rPr>
        <w:t>_______________</w:t>
      </w:r>
      <w:r>
        <w:rPr>
          <w:rFonts w:hint="eastAsia" w:asciiTheme="majorEastAsia" w:hAnsiTheme="majorEastAsia" w:eastAsiaTheme="majorEastAsia"/>
          <w:sz w:val="24"/>
          <w:szCs w:val="24"/>
        </w:rPr>
        <w:t>（盖单位章）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w:t>
      </w:r>
      <w:r>
        <w:rPr>
          <w:rFonts w:asciiTheme="majorEastAsia" w:hAnsiTheme="majorEastAsia" w:eastAsiaTheme="majorEastAsia"/>
          <w:sz w:val="24"/>
          <w:szCs w:val="24"/>
        </w:rPr>
        <w:t>________________</w:t>
      </w:r>
      <w:r>
        <w:rPr>
          <w:rFonts w:hint="eastAsia" w:asciiTheme="majorEastAsia" w:hAnsiTheme="majorEastAsia" w:eastAsiaTheme="majorEastAsia"/>
          <w:sz w:val="24"/>
          <w:szCs w:val="24"/>
        </w:rPr>
        <w:t>（签字章）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r>
        <w:rPr>
          <w:rFonts w:asciiTheme="majorEastAsia" w:hAnsiTheme="majorEastAsia" w:eastAsiaTheme="majorEastAsia"/>
          <w:sz w:val="24"/>
          <w:szCs w:val="24"/>
        </w:rPr>
        <w:t>_____________________________</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委托代理人：</w:t>
      </w:r>
      <w:r>
        <w:rPr>
          <w:rFonts w:asciiTheme="majorEastAsia" w:hAnsiTheme="majorEastAsia" w:eastAsiaTheme="majorEastAsia"/>
          <w:sz w:val="24"/>
          <w:szCs w:val="24"/>
        </w:rPr>
        <w:t>___________________________</w:t>
      </w:r>
      <w:r>
        <w:rPr>
          <w:rFonts w:hint="eastAsia" w:asciiTheme="majorEastAsia" w:hAnsiTheme="majorEastAsia" w:eastAsiaTheme="majorEastAsia"/>
          <w:sz w:val="24"/>
          <w:szCs w:val="24"/>
        </w:rPr>
        <w:t>（签字）</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r>
        <w:rPr>
          <w:rFonts w:asciiTheme="majorEastAsia" w:hAnsiTheme="majorEastAsia" w:eastAsiaTheme="majorEastAsia"/>
          <w:sz w:val="24"/>
          <w:szCs w:val="24"/>
        </w:rPr>
        <w:t>________________________</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年月日</w:t>
      </w:r>
    </w:p>
    <w:p>
      <w:pPr>
        <w:spacing w:line="440" w:lineRule="exact"/>
        <w:ind w:firstLine="480" w:firstLineChars="200"/>
        <w:jc w:val="center"/>
        <w:rPr>
          <w:rFonts w:asciiTheme="majorEastAsia" w:hAnsiTheme="majorEastAsia" w:eastAsiaTheme="majorEastAsia"/>
          <w:b/>
          <w:sz w:val="24"/>
          <w:szCs w:val="24"/>
        </w:rPr>
      </w:pPr>
      <w:bookmarkStart w:id="256" w:name="_Toc27148153"/>
      <w:bookmarkStart w:id="257" w:name="_Toc10585"/>
      <w:bookmarkStart w:id="258" w:name="_Toc31274"/>
      <w:r>
        <w:rPr>
          <w:rFonts w:asciiTheme="majorEastAsia" w:hAnsiTheme="majorEastAsia" w:eastAsiaTheme="majorEastAsia"/>
          <w:sz w:val="24"/>
          <w:szCs w:val="24"/>
        </w:rPr>
        <w:br w:type="page"/>
      </w:r>
      <w:bookmarkStart w:id="259" w:name="_Toc2363"/>
      <w:bookmarkStart w:id="260" w:name="_Toc27148151"/>
      <w:bookmarkStart w:id="261" w:name="_Toc14830"/>
      <w:bookmarkStart w:id="262" w:name="_Toc19605"/>
      <w:bookmarkStart w:id="263" w:name="_Toc8525"/>
      <w:r>
        <w:rPr>
          <w:rFonts w:hint="eastAsia" w:asciiTheme="majorEastAsia" w:hAnsiTheme="majorEastAsia" w:eastAsiaTheme="majorEastAsia"/>
          <w:b/>
          <w:sz w:val="24"/>
          <w:szCs w:val="24"/>
        </w:rPr>
        <w:t>七、供应商基本情况表</w:t>
      </w:r>
      <w:bookmarkEnd w:id="259"/>
      <w:bookmarkEnd w:id="260"/>
      <w:bookmarkEnd w:id="261"/>
      <w:bookmarkEnd w:id="262"/>
      <w:bookmarkEnd w:id="263"/>
    </w:p>
    <w:p>
      <w:pPr>
        <w:spacing w:line="440" w:lineRule="exact"/>
        <w:ind w:firstLine="480" w:firstLineChars="200"/>
        <w:rPr>
          <w:rFonts w:asciiTheme="majorEastAsia" w:hAnsiTheme="majorEastAsia" w:eastAsiaTheme="majorEastAsia"/>
          <w:sz w:val="24"/>
          <w:szCs w:val="24"/>
        </w:rPr>
      </w:pPr>
    </w:p>
    <w:tbl>
      <w:tblPr>
        <w:tblStyle w:val="40"/>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66"/>
        <w:gridCol w:w="1306"/>
        <w:gridCol w:w="1306"/>
        <w:gridCol w:w="958"/>
        <w:gridCol w:w="348"/>
        <w:gridCol w:w="139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供应商名称</w:t>
            </w:r>
          </w:p>
        </w:tc>
        <w:tc>
          <w:tcPr>
            <w:tcW w:w="7697" w:type="dxa"/>
            <w:gridSpan w:val="7"/>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注册地址</w:t>
            </w:r>
          </w:p>
        </w:tc>
        <w:tc>
          <w:tcPr>
            <w:tcW w:w="3578" w:type="dxa"/>
            <w:gridSpan w:val="3"/>
            <w:vAlign w:val="center"/>
          </w:tcPr>
          <w:p>
            <w:pPr>
              <w:spacing w:line="440" w:lineRule="exact"/>
              <w:ind w:firstLine="480" w:firstLineChars="200"/>
              <w:jc w:val="center"/>
              <w:rPr>
                <w:rFonts w:asciiTheme="majorEastAsia" w:hAnsiTheme="majorEastAsia" w:eastAsiaTheme="majorEastAsia"/>
                <w:sz w:val="24"/>
                <w:szCs w:val="24"/>
              </w:rPr>
            </w:pPr>
          </w:p>
        </w:tc>
        <w:tc>
          <w:tcPr>
            <w:tcW w:w="1306" w:type="dxa"/>
            <w:gridSpan w:val="2"/>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邮政编码</w:t>
            </w:r>
          </w:p>
        </w:tc>
        <w:tc>
          <w:tcPr>
            <w:tcW w:w="2813" w:type="dxa"/>
            <w:gridSpan w:val="2"/>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843" w:type="dxa"/>
            <w:vMerge w:val="restart"/>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联系方式</w:t>
            </w:r>
          </w:p>
        </w:tc>
        <w:tc>
          <w:tcPr>
            <w:tcW w:w="96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联系人</w:t>
            </w:r>
          </w:p>
        </w:tc>
        <w:tc>
          <w:tcPr>
            <w:tcW w:w="2612" w:type="dxa"/>
            <w:gridSpan w:val="2"/>
            <w:vAlign w:val="center"/>
          </w:tcPr>
          <w:p>
            <w:pPr>
              <w:spacing w:line="440" w:lineRule="exact"/>
              <w:ind w:firstLine="480" w:firstLineChars="200"/>
              <w:jc w:val="center"/>
              <w:rPr>
                <w:rFonts w:asciiTheme="majorEastAsia" w:hAnsiTheme="majorEastAsia" w:eastAsiaTheme="majorEastAsia"/>
                <w:sz w:val="24"/>
                <w:szCs w:val="24"/>
              </w:rPr>
            </w:pPr>
          </w:p>
        </w:tc>
        <w:tc>
          <w:tcPr>
            <w:tcW w:w="1306" w:type="dxa"/>
            <w:gridSpan w:val="2"/>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电话</w:t>
            </w:r>
          </w:p>
        </w:tc>
        <w:tc>
          <w:tcPr>
            <w:tcW w:w="2813" w:type="dxa"/>
            <w:gridSpan w:val="2"/>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843" w:type="dxa"/>
            <w:vMerge w:val="continue"/>
            <w:vAlign w:val="center"/>
          </w:tcPr>
          <w:p>
            <w:pPr>
              <w:spacing w:line="440" w:lineRule="exact"/>
              <w:ind w:firstLine="480" w:firstLineChars="200"/>
              <w:jc w:val="center"/>
              <w:rPr>
                <w:rFonts w:asciiTheme="majorEastAsia" w:hAnsiTheme="majorEastAsia" w:eastAsiaTheme="majorEastAsia"/>
                <w:sz w:val="24"/>
                <w:szCs w:val="24"/>
              </w:rPr>
            </w:pPr>
          </w:p>
        </w:tc>
        <w:tc>
          <w:tcPr>
            <w:tcW w:w="96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传真</w:t>
            </w:r>
          </w:p>
        </w:tc>
        <w:tc>
          <w:tcPr>
            <w:tcW w:w="2612" w:type="dxa"/>
            <w:gridSpan w:val="2"/>
            <w:vAlign w:val="center"/>
          </w:tcPr>
          <w:p>
            <w:pPr>
              <w:spacing w:line="440" w:lineRule="exact"/>
              <w:ind w:firstLine="480" w:firstLineChars="200"/>
              <w:jc w:val="center"/>
              <w:rPr>
                <w:rFonts w:asciiTheme="majorEastAsia" w:hAnsiTheme="majorEastAsia" w:eastAsiaTheme="majorEastAsia"/>
                <w:sz w:val="24"/>
                <w:szCs w:val="24"/>
              </w:rPr>
            </w:pPr>
          </w:p>
        </w:tc>
        <w:tc>
          <w:tcPr>
            <w:tcW w:w="1306" w:type="dxa"/>
            <w:gridSpan w:val="2"/>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网址</w:t>
            </w:r>
          </w:p>
        </w:tc>
        <w:tc>
          <w:tcPr>
            <w:tcW w:w="2813" w:type="dxa"/>
            <w:gridSpan w:val="2"/>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组织结构</w:t>
            </w:r>
          </w:p>
        </w:tc>
        <w:tc>
          <w:tcPr>
            <w:tcW w:w="7697" w:type="dxa"/>
            <w:gridSpan w:val="7"/>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w:t>
            </w:r>
          </w:p>
        </w:tc>
        <w:tc>
          <w:tcPr>
            <w:tcW w:w="96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306" w:type="dxa"/>
            <w:vAlign w:val="center"/>
          </w:tcPr>
          <w:p>
            <w:pPr>
              <w:spacing w:line="440" w:lineRule="exact"/>
              <w:ind w:firstLine="480" w:firstLineChars="200"/>
              <w:jc w:val="center"/>
              <w:rPr>
                <w:rFonts w:asciiTheme="majorEastAsia" w:hAnsiTheme="majorEastAsia" w:eastAsiaTheme="majorEastAsia"/>
                <w:sz w:val="24"/>
                <w:szCs w:val="24"/>
              </w:rPr>
            </w:pPr>
          </w:p>
        </w:tc>
        <w:tc>
          <w:tcPr>
            <w:tcW w:w="130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技术职称</w:t>
            </w:r>
          </w:p>
        </w:tc>
        <w:tc>
          <w:tcPr>
            <w:tcW w:w="1306" w:type="dxa"/>
            <w:gridSpan w:val="2"/>
            <w:vAlign w:val="center"/>
          </w:tcPr>
          <w:p>
            <w:pPr>
              <w:spacing w:line="440" w:lineRule="exact"/>
              <w:ind w:firstLine="480" w:firstLineChars="200"/>
              <w:jc w:val="center"/>
              <w:rPr>
                <w:rFonts w:asciiTheme="majorEastAsia" w:hAnsiTheme="majorEastAsia" w:eastAsiaTheme="majorEastAsia"/>
                <w:sz w:val="24"/>
                <w:szCs w:val="24"/>
              </w:rPr>
            </w:pPr>
          </w:p>
        </w:tc>
        <w:tc>
          <w:tcPr>
            <w:tcW w:w="139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电话</w:t>
            </w:r>
          </w:p>
        </w:tc>
        <w:tc>
          <w:tcPr>
            <w:tcW w:w="1417" w:type="dxa"/>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技术负责人</w:t>
            </w:r>
          </w:p>
        </w:tc>
        <w:tc>
          <w:tcPr>
            <w:tcW w:w="96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306" w:type="dxa"/>
            <w:vAlign w:val="center"/>
          </w:tcPr>
          <w:p>
            <w:pPr>
              <w:spacing w:line="440" w:lineRule="exact"/>
              <w:ind w:firstLine="480" w:firstLineChars="200"/>
              <w:jc w:val="center"/>
              <w:rPr>
                <w:rFonts w:asciiTheme="majorEastAsia" w:hAnsiTheme="majorEastAsia" w:eastAsiaTheme="majorEastAsia"/>
                <w:sz w:val="24"/>
                <w:szCs w:val="24"/>
              </w:rPr>
            </w:pPr>
          </w:p>
        </w:tc>
        <w:tc>
          <w:tcPr>
            <w:tcW w:w="130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技术职称</w:t>
            </w:r>
          </w:p>
        </w:tc>
        <w:tc>
          <w:tcPr>
            <w:tcW w:w="1306" w:type="dxa"/>
            <w:gridSpan w:val="2"/>
            <w:vAlign w:val="center"/>
          </w:tcPr>
          <w:p>
            <w:pPr>
              <w:spacing w:line="440" w:lineRule="exact"/>
              <w:ind w:firstLine="480" w:firstLineChars="200"/>
              <w:jc w:val="center"/>
              <w:rPr>
                <w:rFonts w:asciiTheme="majorEastAsia" w:hAnsiTheme="majorEastAsia" w:eastAsiaTheme="majorEastAsia"/>
                <w:sz w:val="24"/>
                <w:szCs w:val="24"/>
              </w:rPr>
            </w:pPr>
          </w:p>
        </w:tc>
        <w:tc>
          <w:tcPr>
            <w:tcW w:w="139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电话</w:t>
            </w:r>
          </w:p>
        </w:tc>
        <w:tc>
          <w:tcPr>
            <w:tcW w:w="1417" w:type="dxa"/>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成立时间</w:t>
            </w:r>
          </w:p>
        </w:tc>
        <w:tc>
          <w:tcPr>
            <w:tcW w:w="3578" w:type="dxa"/>
            <w:gridSpan w:val="3"/>
            <w:vAlign w:val="center"/>
          </w:tcPr>
          <w:p>
            <w:pPr>
              <w:spacing w:line="440" w:lineRule="exact"/>
              <w:ind w:firstLine="480" w:firstLineChars="200"/>
              <w:jc w:val="center"/>
              <w:rPr>
                <w:rFonts w:asciiTheme="majorEastAsia" w:hAnsiTheme="majorEastAsia" w:eastAsiaTheme="majorEastAsia"/>
                <w:sz w:val="24"/>
                <w:szCs w:val="24"/>
              </w:rPr>
            </w:pPr>
          </w:p>
        </w:tc>
        <w:tc>
          <w:tcPr>
            <w:tcW w:w="4119" w:type="dxa"/>
            <w:gridSpan w:val="4"/>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企业资质等级</w:t>
            </w:r>
          </w:p>
        </w:tc>
        <w:tc>
          <w:tcPr>
            <w:tcW w:w="3578" w:type="dxa"/>
            <w:gridSpan w:val="3"/>
            <w:vAlign w:val="center"/>
          </w:tcPr>
          <w:p>
            <w:pPr>
              <w:spacing w:line="440" w:lineRule="exact"/>
              <w:ind w:firstLine="480" w:firstLineChars="200"/>
              <w:jc w:val="center"/>
              <w:rPr>
                <w:rFonts w:asciiTheme="majorEastAsia" w:hAnsiTheme="majorEastAsia" w:eastAsiaTheme="majorEastAsia"/>
                <w:sz w:val="24"/>
                <w:szCs w:val="24"/>
              </w:rPr>
            </w:pPr>
          </w:p>
        </w:tc>
        <w:tc>
          <w:tcPr>
            <w:tcW w:w="958" w:type="dxa"/>
            <w:vMerge w:val="restart"/>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其中</w:t>
            </w:r>
          </w:p>
        </w:tc>
        <w:tc>
          <w:tcPr>
            <w:tcW w:w="1744" w:type="dxa"/>
            <w:gridSpan w:val="2"/>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高级职称人员</w:t>
            </w:r>
          </w:p>
        </w:tc>
        <w:tc>
          <w:tcPr>
            <w:tcW w:w="1417" w:type="dxa"/>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营业执照号</w:t>
            </w:r>
          </w:p>
        </w:tc>
        <w:tc>
          <w:tcPr>
            <w:tcW w:w="3578" w:type="dxa"/>
            <w:gridSpan w:val="3"/>
            <w:vAlign w:val="center"/>
          </w:tcPr>
          <w:p>
            <w:pPr>
              <w:spacing w:line="440" w:lineRule="exact"/>
              <w:ind w:firstLine="480" w:firstLineChars="200"/>
              <w:jc w:val="center"/>
              <w:rPr>
                <w:rFonts w:asciiTheme="majorEastAsia" w:hAnsiTheme="majorEastAsia" w:eastAsiaTheme="majorEastAsia"/>
                <w:sz w:val="24"/>
                <w:szCs w:val="24"/>
              </w:rPr>
            </w:pPr>
          </w:p>
        </w:tc>
        <w:tc>
          <w:tcPr>
            <w:tcW w:w="958" w:type="dxa"/>
            <w:vMerge w:val="continue"/>
            <w:vAlign w:val="center"/>
          </w:tcPr>
          <w:p>
            <w:pPr>
              <w:spacing w:line="440" w:lineRule="exact"/>
              <w:ind w:firstLine="480" w:firstLineChars="200"/>
              <w:jc w:val="center"/>
              <w:rPr>
                <w:rFonts w:asciiTheme="majorEastAsia" w:hAnsiTheme="majorEastAsia" w:eastAsiaTheme="majorEastAsia"/>
                <w:sz w:val="24"/>
                <w:szCs w:val="24"/>
              </w:rPr>
            </w:pPr>
          </w:p>
        </w:tc>
        <w:tc>
          <w:tcPr>
            <w:tcW w:w="1744" w:type="dxa"/>
            <w:gridSpan w:val="2"/>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中级职称人员</w:t>
            </w:r>
          </w:p>
        </w:tc>
        <w:tc>
          <w:tcPr>
            <w:tcW w:w="1417" w:type="dxa"/>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注册资金</w:t>
            </w:r>
          </w:p>
        </w:tc>
        <w:tc>
          <w:tcPr>
            <w:tcW w:w="3578" w:type="dxa"/>
            <w:gridSpan w:val="3"/>
            <w:vAlign w:val="center"/>
          </w:tcPr>
          <w:p>
            <w:pPr>
              <w:spacing w:line="440" w:lineRule="exact"/>
              <w:ind w:firstLine="480" w:firstLineChars="200"/>
              <w:jc w:val="center"/>
              <w:rPr>
                <w:rFonts w:asciiTheme="majorEastAsia" w:hAnsiTheme="majorEastAsia" w:eastAsiaTheme="majorEastAsia"/>
                <w:sz w:val="24"/>
                <w:szCs w:val="24"/>
              </w:rPr>
            </w:pPr>
          </w:p>
        </w:tc>
        <w:tc>
          <w:tcPr>
            <w:tcW w:w="958" w:type="dxa"/>
            <w:vMerge w:val="continue"/>
            <w:vAlign w:val="center"/>
          </w:tcPr>
          <w:p>
            <w:pPr>
              <w:spacing w:line="440" w:lineRule="exact"/>
              <w:ind w:firstLine="480" w:firstLineChars="200"/>
              <w:jc w:val="center"/>
              <w:rPr>
                <w:rFonts w:asciiTheme="majorEastAsia" w:hAnsiTheme="majorEastAsia" w:eastAsiaTheme="majorEastAsia"/>
                <w:sz w:val="24"/>
                <w:szCs w:val="24"/>
              </w:rPr>
            </w:pPr>
          </w:p>
        </w:tc>
        <w:tc>
          <w:tcPr>
            <w:tcW w:w="1744" w:type="dxa"/>
            <w:gridSpan w:val="2"/>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初级职称人员</w:t>
            </w:r>
          </w:p>
        </w:tc>
        <w:tc>
          <w:tcPr>
            <w:tcW w:w="1417" w:type="dxa"/>
            <w:vAlign w:val="center"/>
          </w:tcPr>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经营范围</w:t>
            </w:r>
          </w:p>
        </w:tc>
        <w:tc>
          <w:tcPr>
            <w:tcW w:w="7697" w:type="dxa"/>
            <w:gridSpan w:val="7"/>
            <w:vAlign w:val="center"/>
          </w:tcPr>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jc w:val="center"/>
        </w:trPr>
        <w:tc>
          <w:tcPr>
            <w:tcW w:w="184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备注</w:t>
            </w:r>
          </w:p>
        </w:tc>
        <w:tc>
          <w:tcPr>
            <w:tcW w:w="7697" w:type="dxa"/>
            <w:gridSpan w:val="7"/>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供应商可跟据企业实际情况增加或删减填写此表</w:t>
            </w:r>
          </w:p>
        </w:tc>
      </w:tr>
    </w:tbl>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264" w:name="_Toc24712"/>
    </w:p>
    <w:p>
      <w:pPr>
        <w:spacing w:line="440" w:lineRule="exact"/>
        <w:rPr>
          <w:rFonts w:asciiTheme="majorEastAsia" w:hAnsiTheme="majorEastAsia" w:eastAsiaTheme="majorEastAsia"/>
          <w:b/>
          <w:sz w:val="24"/>
          <w:szCs w:val="24"/>
        </w:rPr>
      </w:pPr>
      <w:bookmarkStart w:id="265" w:name="_Toc8967"/>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八、</w:t>
      </w:r>
      <w:bookmarkEnd w:id="264"/>
      <w:bookmarkEnd w:id="265"/>
      <w:r>
        <w:rPr>
          <w:rFonts w:hint="eastAsia" w:asciiTheme="majorEastAsia" w:hAnsiTheme="majorEastAsia" w:eastAsiaTheme="majorEastAsia"/>
          <w:b/>
          <w:sz w:val="24"/>
          <w:szCs w:val="24"/>
        </w:rPr>
        <w:t>投标承诺函</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我单位对项目名称（采购编号：）投标行为做出承诺，保证所提交材料的真实性。</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我单位承诺：</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、在投标文件递交截止时间后至确定成交人的</w:t>
      </w:r>
      <w:r>
        <w:fldChar w:fldCharType="begin"/>
      </w:r>
      <w:r>
        <w:instrText xml:space="preserve"> HYPERLINK "https://baike.so.com/doc/5394983-5632135.html" \t "https://baike.so.com/doc/_blank" </w:instrText>
      </w:r>
      <w:r>
        <w:fldChar w:fldCharType="separate"/>
      </w:r>
      <w:r>
        <w:rPr>
          <w:rStyle w:val="36"/>
          <w:rFonts w:hint="eastAsia" w:asciiTheme="majorEastAsia" w:hAnsiTheme="majorEastAsia" w:eastAsiaTheme="majorEastAsia"/>
          <w:sz w:val="24"/>
          <w:szCs w:val="24"/>
        </w:rPr>
        <w:t>投标有效期</w:t>
      </w:r>
      <w:r>
        <w:rPr>
          <w:rStyle w:val="36"/>
          <w:rFonts w:hint="eastAsia" w:asciiTheme="majorEastAsia" w:hAnsiTheme="majorEastAsia" w:eastAsiaTheme="majorEastAsia"/>
          <w:sz w:val="24"/>
          <w:szCs w:val="24"/>
        </w:rPr>
        <w:fldChar w:fldCharType="end"/>
      </w:r>
      <w:r>
        <w:rPr>
          <w:rFonts w:hint="eastAsia" w:asciiTheme="majorEastAsia" w:hAnsiTheme="majorEastAsia" w:eastAsiaTheme="majorEastAsia"/>
          <w:sz w:val="24"/>
          <w:szCs w:val="24"/>
        </w:rPr>
        <w:t>内，我单位不得要求退出竞标或者修改投标文件且对递交的投标文件负责，受其约束。</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、若我单位中标，在接到成交通知书后，除不可抗力因素外，及时按规定与采购人签订合同并认真履约。</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非因不可抗力因素放弃成交或未按规定期限与采购人签订合同，愿赔偿采购人由此造成的损失（损失费由采购人按相关规定计算），并愿接受采购金额千分之五以上千分之十以下罚款、列入不良行为记录名单、在</w:t>
      </w:r>
      <w:r>
        <w:rPr>
          <w:rFonts w:asciiTheme="majorEastAsia" w:hAnsiTheme="majorEastAsia" w:eastAsiaTheme="majorEastAsia"/>
          <w:sz w:val="24"/>
          <w:szCs w:val="24"/>
        </w:rPr>
        <w:t>1</w:t>
      </w:r>
      <w:r>
        <w:rPr>
          <w:rFonts w:hint="eastAsia" w:asciiTheme="majorEastAsia" w:hAnsiTheme="majorEastAsia" w:eastAsiaTheme="majorEastAsia"/>
          <w:sz w:val="24"/>
          <w:szCs w:val="24"/>
        </w:rPr>
        <w:t>至</w:t>
      </w:r>
      <w:r>
        <w:rPr>
          <w:rFonts w:asciiTheme="majorEastAsia" w:hAnsiTheme="majorEastAsia" w:eastAsiaTheme="majorEastAsia"/>
          <w:sz w:val="24"/>
          <w:szCs w:val="24"/>
        </w:rPr>
        <w:t>3</w:t>
      </w:r>
      <w:r>
        <w:rPr>
          <w:rFonts w:hint="eastAsia" w:asciiTheme="majorEastAsia" w:hAnsiTheme="majorEastAsia" w:eastAsiaTheme="majorEastAsia"/>
          <w:sz w:val="24"/>
          <w:szCs w:val="24"/>
        </w:rPr>
        <w:t>年内禁止参加政府采购活动、给予通报的处罚。</w:t>
      </w:r>
    </w:p>
    <w:p>
      <w:pPr>
        <w:spacing w:line="440" w:lineRule="exact"/>
        <w:ind w:firstLine="480" w:firstLineChars="200"/>
        <w:rPr>
          <w:rFonts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、不存在法律法规规定的其他违法违规行为。</w:t>
      </w:r>
      <w:r>
        <w:rPr>
          <w:rFonts w:asciiTheme="majorEastAsia" w:hAnsiTheme="majorEastAsia" w:eastAsiaTheme="majorEastAsia"/>
          <w:sz w:val="24"/>
          <w:szCs w:val="24"/>
        </w:rPr>
        <w:br w:type="textWrapping"/>
      </w:r>
      <w:r>
        <w:rPr>
          <w:rFonts w:asciiTheme="majorEastAsia" w:hAnsiTheme="majorEastAsia" w:eastAsiaTheme="majorEastAsia"/>
          <w:sz w:val="24"/>
          <w:szCs w:val="24"/>
        </w:rPr>
        <w:br w:type="textWrapping"/>
      </w:r>
      <w:r>
        <w:rPr>
          <w:rFonts w:hint="eastAsia" w:asciiTheme="majorEastAsia" w:hAnsiTheme="majorEastAsia" w:eastAsiaTheme="majorEastAsia"/>
          <w:sz w:val="24"/>
          <w:szCs w:val="24"/>
        </w:rPr>
        <w:t>供应商名称（盖章）：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法人代表或授权委托人（签字或盖章）：</w:t>
      </w:r>
    </w:p>
    <w:p>
      <w:pPr>
        <w:spacing w:line="440" w:lineRule="exact"/>
        <w:ind w:firstLine="480" w:firstLineChars="200"/>
        <w:rPr>
          <w:rFonts w:asciiTheme="majorEastAsia" w:hAnsiTheme="majorEastAsia" w:eastAsiaTheme="majorEastAsia"/>
          <w:sz w:val="24"/>
          <w:szCs w:val="24"/>
        </w:rPr>
      </w:pPr>
      <w:bookmarkStart w:id="266" w:name="_Toc27148152"/>
    </w:p>
    <w:p>
      <w:pPr>
        <w:spacing w:line="440" w:lineRule="exact"/>
        <w:ind w:firstLine="480" w:firstLineChars="200"/>
        <w:rPr>
          <w:rFonts w:asciiTheme="majorEastAsia" w:hAnsiTheme="majorEastAsia" w:eastAsiaTheme="majorEastAsia"/>
          <w:sz w:val="24"/>
          <w:szCs w:val="24"/>
        </w:rPr>
      </w:pPr>
      <w:bookmarkStart w:id="267" w:name="_Toc14962"/>
      <w:r>
        <w:rPr>
          <w:rFonts w:hint="eastAsia" w:asciiTheme="majorEastAsia" w:hAnsiTheme="majorEastAsia" w:eastAsiaTheme="majorEastAsia"/>
          <w:sz w:val="24"/>
          <w:szCs w:val="24"/>
        </w:rPr>
        <w:t>年月日</w:t>
      </w:r>
      <w:bookmarkEnd w:id="266"/>
      <w:bookmarkEnd w:id="267"/>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bookmarkEnd w:id="256"/>
    <w:bookmarkEnd w:id="257"/>
    <w:bookmarkEnd w:id="258"/>
    <w:p>
      <w:pPr>
        <w:spacing w:line="440" w:lineRule="exact"/>
        <w:ind w:firstLine="480" w:firstLineChars="200"/>
        <w:jc w:val="center"/>
        <w:rPr>
          <w:rFonts w:asciiTheme="majorEastAsia" w:hAnsiTheme="majorEastAsia" w:eastAsiaTheme="majorEastAsia"/>
          <w:b/>
          <w:sz w:val="24"/>
          <w:szCs w:val="24"/>
        </w:rPr>
      </w:pPr>
      <w:bookmarkStart w:id="268" w:name="_Toc26015"/>
      <w:bookmarkStart w:id="269" w:name="_Toc25974"/>
      <w:bookmarkStart w:id="270" w:name="_Toc27148155"/>
      <w:bookmarkStart w:id="271" w:name="_Toc26740"/>
      <w:r>
        <w:rPr>
          <w:rFonts w:hint="eastAsia" w:asciiTheme="majorEastAsia" w:hAnsiTheme="majorEastAsia" w:eastAsiaTheme="majorEastAsia"/>
          <w:b/>
          <w:sz w:val="24"/>
          <w:szCs w:val="24"/>
        </w:rPr>
        <w:t>九、企业业绩表</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近三年类似业绩（附复印件）（如有）</w:t>
      </w:r>
    </w:p>
    <w:p>
      <w:pPr>
        <w:spacing w:line="440" w:lineRule="exact"/>
        <w:ind w:firstLine="480" w:firstLineChars="200"/>
        <w:rPr>
          <w:rFonts w:asciiTheme="majorEastAsia" w:hAnsiTheme="majorEastAsia" w:eastAsiaTheme="majorEastAsia"/>
          <w:sz w:val="24"/>
          <w:szCs w:val="24"/>
        </w:rPr>
      </w:pPr>
    </w:p>
    <w:tbl>
      <w:tblPr>
        <w:tblStyle w:val="40"/>
        <w:tblW w:w="8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1708"/>
        <w:gridCol w:w="3204"/>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2137" w:type="dxa"/>
            <w:vAlign w:val="center"/>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tc>
        <w:tc>
          <w:tcPr>
            <w:tcW w:w="1708"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签约日期</w:t>
            </w:r>
          </w:p>
        </w:tc>
        <w:tc>
          <w:tcPr>
            <w:tcW w:w="3204" w:type="dxa"/>
            <w:vAlign w:val="center"/>
          </w:tcPr>
          <w:p>
            <w:pPr>
              <w:spacing w:line="44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业绩（中标通知书及合同）</w:t>
            </w:r>
          </w:p>
        </w:tc>
        <w:tc>
          <w:tcPr>
            <w:tcW w:w="1731"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合同额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440" w:lineRule="exact"/>
              <w:ind w:firstLine="480" w:firstLineChars="200"/>
              <w:rPr>
                <w:rFonts w:asciiTheme="majorEastAsia" w:hAnsiTheme="majorEastAsia" w:eastAsiaTheme="majorEastAsia"/>
                <w:sz w:val="24"/>
                <w:szCs w:val="24"/>
              </w:rPr>
            </w:pPr>
          </w:p>
        </w:tc>
        <w:tc>
          <w:tcPr>
            <w:tcW w:w="1708" w:type="dxa"/>
          </w:tcPr>
          <w:p>
            <w:pPr>
              <w:spacing w:line="440" w:lineRule="exact"/>
              <w:ind w:firstLine="480" w:firstLineChars="200"/>
              <w:rPr>
                <w:rFonts w:asciiTheme="majorEastAsia" w:hAnsiTheme="majorEastAsia" w:eastAsiaTheme="majorEastAsia"/>
                <w:sz w:val="24"/>
                <w:szCs w:val="24"/>
              </w:rPr>
            </w:pPr>
          </w:p>
        </w:tc>
        <w:tc>
          <w:tcPr>
            <w:tcW w:w="3204" w:type="dxa"/>
          </w:tcPr>
          <w:p>
            <w:pPr>
              <w:spacing w:line="440" w:lineRule="exact"/>
              <w:ind w:firstLine="480" w:firstLineChars="200"/>
              <w:rPr>
                <w:rFonts w:asciiTheme="majorEastAsia" w:hAnsiTheme="majorEastAsia" w:eastAsiaTheme="majorEastAsia"/>
                <w:sz w:val="24"/>
                <w:szCs w:val="24"/>
              </w:rPr>
            </w:pPr>
          </w:p>
        </w:tc>
        <w:tc>
          <w:tcPr>
            <w:tcW w:w="1731"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440" w:lineRule="exact"/>
              <w:ind w:firstLine="480" w:firstLineChars="200"/>
              <w:rPr>
                <w:rFonts w:asciiTheme="majorEastAsia" w:hAnsiTheme="majorEastAsia" w:eastAsiaTheme="majorEastAsia"/>
                <w:sz w:val="24"/>
                <w:szCs w:val="24"/>
              </w:rPr>
            </w:pPr>
          </w:p>
        </w:tc>
        <w:tc>
          <w:tcPr>
            <w:tcW w:w="1708" w:type="dxa"/>
          </w:tcPr>
          <w:p>
            <w:pPr>
              <w:spacing w:line="440" w:lineRule="exact"/>
              <w:ind w:firstLine="480" w:firstLineChars="200"/>
              <w:rPr>
                <w:rFonts w:asciiTheme="majorEastAsia" w:hAnsiTheme="majorEastAsia" w:eastAsiaTheme="majorEastAsia"/>
                <w:sz w:val="24"/>
                <w:szCs w:val="24"/>
              </w:rPr>
            </w:pPr>
          </w:p>
        </w:tc>
        <w:tc>
          <w:tcPr>
            <w:tcW w:w="3204" w:type="dxa"/>
          </w:tcPr>
          <w:p>
            <w:pPr>
              <w:spacing w:line="440" w:lineRule="exact"/>
              <w:ind w:firstLine="480" w:firstLineChars="200"/>
              <w:rPr>
                <w:rFonts w:asciiTheme="majorEastAsia" w:hAnsiTheme="majorEastAsia" w:eastAsiaTheme="majorEastAsia"/>
                <w:sz w:val="24"/>
                <w:szCs w:val="24"/>
              </w:rPr>
            </w:pPr>
          </w:p>
        </w:tc>
        <w:tc>
          <w:tcPr>
            <w:tcW w:w="1731"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440" w:lineRule="exact"/>
              <w:ind w:firstLine="480" w:firstLineChars="200"/>
              <w:rPr>
                <w:rFonts w:asciiTheme="majorEastAsia" w:hAnsiTheme="majorEastAsia" w:eastAsiaTheme="majorEastAsia"/>
                <w:sz w:val="24"/>
                <w:szCs w:val="24"/>
              </w:rPr>
            </w:pPr>
          </w:p>
        </w:tc>
        <w:tc>
          <w:tcPr>
            <w:tcW w:w="1708" w:type="dxa"/>
          </w:tcPr>
          <w:p>
            <w:pPr>
              <w:spacing w:line="440" w:lineRule="exact"/>
              <w:ind w:firstLine="480" w:firstLineChars="200"/>
              <w:rPr>
                <w:rFonts w:asciiTheme="majorEastAsia" w:hAnsiTheme="majorEastAsia" w:eastAsiaTheme="majorEastAsia"/>
                <w:sz w:val="24"/>
                <w:szCs w:val="24"/>
              </w:rPr>
            </w:pPr>
          </w:p>
        </w:tc>
        <w:tc>
          <w:tcPr>
            <w:tcW w:w="3204" w:type="dxa"/>
          </w:tcPr>
          <w:p>
            <w:pPr>
              <w:spacing w:line="440" w:lineRule="exact"/>
              <w:ind w:firstLine="480" w:firstLineChars="200"/>
              <w:rPr>
                <w:rFonts w:asciiTheme="majorEastAsia" w:hAnsiTheme="majorEastAsia" w:eastAsiaTheme="majorEastAsia"/>
                <w:sz w:val="24"/>
                <w:szCs w:val="24"/>
              </w:rPr>
            </w:pPr>
          </w:p>
        </w:tc>
        <w:tc>
          <w:tcPr>
            <w:tcW w:w="1731"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440" w:lineRule="exact"/>
              <w:ind w:firstLine="480" w:firstLineChars="200"/>
              <w:rPr>
                <w:rFonts w:asciiTheme="majorEastAsia" w:hAnsiTheme="majorEastAsia" w:eastAsiaTheme="majorEastAsia"/>
                <w:sz w:val="24"/>
                <w:szCs w:val="24"/>
              </w:rPr>
            </w:pPr>
          </w:p>
        </w:tc>
        <w:tc>
          <w:tcPr>
            <w:tcW w:w="1708" w:type="dxa"/>
          </w:tcPr>
          <w:p>
            <w:pPr>
              <w:spacing w:line="440" w:lineRule="exact"/>
              <w:ind w:firstLine="480" w:firstLineChars="200"/>
              <w:rPr>
                <w:rFonts w:asciiTheme="majorEastAsia" w:hAnsiTheme="majorEastAsia" w:eastAsiaTheme="majorEastAsia"/>
                <w:sz w:val="24"/>
                <w:szCs w:val="24"/>
              </w:rPr>
            </w:pPr>
          </w:p>
        </w:tc>
        <w:tc>
          <w:tcPr>
            <w:tcW w:w="3204" w:type="dxa"/>
          </w:tcPr>
          <w:p>
            <w:pPr>
              <w:spacing w:line="440" w:lineRule="exact"/>
              <w:ind w:firstLine="480" w:firstLineChars="200"/>
              <w:rPr>
                <w:rFonts w:asciiTheme="majorEastAsia" w:hAnsiTheme="majorEastAsia" w:eastAsiaTheme="majorEastAsia"/>
                <w:sz w:val="24"/>
                <w:szCs w:val="24"/>
              </w:rPr>
            </w:pPr>
          </w:p>
        </w:tc>
        <w:tc>
          <w:tcPr>
            <w:tcW w:w="1731"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jc w:val="center"/>
        </w:trPr>
        <w:tc>
          <w:tcPr>
            <w:tcW w:w="2137" w:type="dxa"/>
          </w:tcPr>
          <w:p>
            <w:pPr>
              <w:spacing w:line="440" w:lineRule="exact"/>
              <w:ind w:firstLine="480" w:firstLineChars="200"/>
              <w:rPr>
                <w:rFonts w:asciiTheme="majorEastAsia" w:hAnsiTheme="majorEastAsia" w:eastAsiaTheme="majorEastAsia"/>
                <w:sz w:val="24"/>
                <w:szCs w:val="24"/>
              </w:rPr>
            </w:pPr>
          </w:p>
        </w:tc>
        <w:tc>
          <w:tcPr>
            <w:tcW w:w="1708" w:type="dxa"/>
          </w:tcPr>
          <w:p>
            <w:pPr>
              <w:spacing w:line="440" w:lineRule="exact"/>
              <w:ind w:firstLine="480" w:firstLineChars="200"/>
              <w:rPr>
                <w:rFonts w:asciiTheme="majorEastAsia" w:hAnsiTheme="majorEastAsia" w:eastAsiaTheme="majorEastAsia"/>
                <w:sz w:val="24"/>
                <w:szCs w:val="24"/>
              </w:rPr>
            </w:pPr>
          </w:p>
        </w:tc>
        <w:tc>
          <w:tcPr>
            <w:tcW w:w="3204" w:type="dxa"/>
          </w:tcPr>
          <w:p>
            <w:pPr>
              <w:spacing w:line="440" w:lineRule="exact"/>
              <w:ind w:firstLine="480" w:firstLineChars="200"/>
              <w:rPr>
                <w:rFonts w:asciiTheme="majorEastAsia" w:hAnsiTheme="majorEastAsia" w:eastAsiaTheme="majorEastAsia"/>
                <w:sz w:val="24"/>
                <w:szCs w:val="24"/>
              </w:rPr>
            </w:pPr>
          </w:p>
        </w:tc>
        <w:tc>
          <w:tcPr>
            <w:tcW w:w="1731"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2137" w:type="dxa"/>
          </w:tcPr>
          <w:p>
            <w:pPr>
              <w:spacing w:line="440" w:lineRule="exact"/>
              <w:ind w:firstLine="480" w:firstLineChars="200"/>
              <w:rPr>
                <w:rFonts w:asciiTheme="majorEastAsia" w:hAnsiTheme="majorEastAsia" w:eastAsiaTheme="majorEastAsia"/>
                <w:sz w:val="24"/>
                <w:szCs w:val="24"/>
              </w:rPr>
            </w:pPr>
          </w:p>
        </w:tc>
        <w:tc>
          <w:tcPr>
            <w:tcW w:w="1708" w:type="dxa"/>
          </w:tcPr>
          <w:p>
            <w:pPr>
              <w:spacing w:line="440" w:lineRule="exact"/>
              <w:ind w:firstLine="480" w:firstLineChars="200"/>
              <w:rPr>
                <w:rFonts w:asciiTheme="majorEastAsia" w:hAnsiTheme="majorEastAsia" w:eastAsiaTheme="majorEastAsia"/>
                <w:sz w:val="24"/>
                <w:szCs w:val="24"/>
              </w:rPr>
            </w:pPr>
          </w:p>
        </w:tc>
        <w:tc>
          <w:tcPr>
            <w:tcW w:w="3204" w:type="dxa"/>
          </w:tcPr>
          <w:p>
            <w:pPr>
              <w:spacing w:line="440" w:lineRule="exact"/>
              <w:ind w:firstLine="480" w:firstLineChars="200"/>
              <w:rPr>
                <w:rFonts w:asciiTheme="majorEastAsia" w:hAnsiTheme="majorEastAsia" w:eastAsiaTheme="majorEastAsia"/>
                <w:sz w:val="24"/>
                <w:szCs w:val="24"/>
              </w:rPr>
            </w:pPr>
          </w:p>
        </w:tc>
        <w:tc>
          <w:tcPr>
            <w:tcW w:w="1731" w:type="dxa"/>
          </w:tcPr>
          <w:p>
            <w:pPr>
              <w:spacing w:line="440" w:lineRule="exact"/>
              <w:ind w:firstLine="480" w:firstLineChars="200"/>
              <w:rPr>
                <w:rFonts w:asciiTheme="majorEastAsia" w:hAnsiTheme="majorEastAsia" w:eastAsiaTheme="majorEastAsia"/>
                <w:sz w:val="24"/>
                <w:szCs w:val="24"/>
              </w:rPr>
            </w:pPr>
          </w:p>
        </w:tc>
      </w:tr>
    </w:tbl>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表格后附：</w:t>
      </w:r>
    </w:p>
    <w:p>
      <w:pPr>
        <w:spacing w:line="440" w:lineRule="exact"/>
        <w:ind w:firstLine="480" w:firstLineChars="200"/>
        <w:rPr>
          <w:rFonts w:asciiTheme="majorEastAsia" w:hAnsiTheme="majorEastAsia" w:eastAsiaTheme="majorEastAsia"/>
          <w:sz w:val="24"/>
          <w:szCs w:val="24"/>
        </w:rPr>
      </w:pPr>
      <w:bookmarkStart w:id="272" w:name="_Toc30618"/>
      <w:bookmarkStart w:id="273" w:name="_Toc488422625"/>
      <w:bookmarkStart w:id="274" w:name="_Toc22559"/>
      <w:bookmarkStart w:id="275" w:name="_Toc29082"/>
      <w:bookmarkStart w:id="276" w:name="_Toc14917"/>
      <w:bookmarkStart w:id="277" w:name="_Toc20257"/>
      <w:bookmarkStart w:id="278" w:name="_Toc13762"/>
      <w:bookmarkStart w:id="279" w:name="_Toc488422026"/>
      <w:bookmarkStart w:id="280" w:name="_Toc27148154"/>
      <w:r>
        <w:rPr>
          <w:rFonts w:hint="eastAsia" w:asciiTheme="majorEastAsia" w:hAnsiTheme="majorEastAsia" w:eastAsiaTheme="majorEastAsia"/>
          <w:sz w:val="24"/>
          <w:szCs w:val="24"/>
        </w:rPr>
        <w:t>1、供应商提供 2018年 1月 1 日以来类似项目业绩的中标通知书、合同；</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2、投标人可根据自身实际情况增减类似业绩数量</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年月日</w:t>
      </w:r>
      <w:bookmarkEnd w:id="272"/>
      <w:bookmarkEnd w:id="273"/>
      <w:bookmarkEnd w:id="274"/>
      <w:bookmarkEnd w:id="275"/>
      <w:bookmarkEnd w:id="276"/>
      <w:bookmarkEnd w:id="277"/>
      <w:bookmarkEnd w:id="278"/>
      <w:bookmarkEnd w:id="279"/>
      <w:bookmarkEnd w:id="280"/>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281" w:name="_Toc8980"/>
    </w:p>
    <w:p>
      <w:pPr>
        <w:spacing w:line="440" w:lineRule="exact"/>
        <w:ind w:firstLine="480" w:firstLineChars="200"/>
        <w:rPr>
          <w:rFonts w:asciiTheme="majorEastAsia" w:hAnsiTheme="majorEastAsia" w:eastAsiaTheme="majorEastAsia"/>
          <w:sz w:val="24"/>
          <w:szCs w:val="24"/>
        </w:rPr>
      </w:pPr>
    </w:p>
    <w:bookmarkEnd w:id="281"/>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十、</w:t>
      </w:r>
      <w:bookmarkEnd w:id="268"/>
      <w:r>
        <w:rPr>
          <w:rFonts w:hint="eastAsia" w:asciiTheme="majorEastAsia" w:hAnsiTheme="majorEastAsia" w:eastAsiaTheme="majorEastAsia"/>
          <w:b/>
          <w:sz w:val="24"/>
          <w:szCs w:val="24"/>
        </w:rPr>
        <w:t>无行贿犯罪承诺书</w:t>
      </w:r>
      <w:bookmarkEnd w:id="269"/>
      <w:bookmarkEnd w:id="270"/>
    </w:p>
    <w:p>
      <w:pPr>
        <w:spacing w:line="440" w:lineRule="exact"/>
        <w:ind w:firstLine="480" w:firstLineChars="200"/>
        <w:rPr>
          <w:rFonts w:asciiTheme="majorEastAsia" w:hAnsiTheme="majorEastAsia" w:eastAsiaTheme="majorEastAsia"/>
          <w:sz w:val="24"/>
          <w:szCs w:val="24"/>
        </w:rPr>
      </w:pPr>
      <w:bookmarkStart w:id="282" w:name="_Toc27148156"/>
      <w:bookmarkStart w:id="283" w:name="_Toc21896"/>
      <w:r>
        <w:rPr>
          <w:rFonts w:hint="eastAsia" w:asciiTheme="majorEastAsia" w:hAnsiTheme="majorEastAsia" w:eastAsiaTheme="majorEastAsia"/>
          <w:sz w:val="24"/>
          <w:szCs w:val="24"/>
        </w:rPr>
        <w:t>我公司承诺：</w:t>
      </w:r>
      <w:bookmarkEnd w:id="282"/>
      <w:bookmarkEnd w:id="283"/>
    </w:p>
    <w:p>
      <w:pPr>
        <w:spacing w:line="440" w:lineRule="exact"/>
        <w:ind w:firstLine="480" w:firstLineChars="200"/>
        <w:rPr>
          <w:rFonts w:asciiTheme="majorEastAsia" w:hAnsiTheme="majorEastAsia" w:eastAsiaTheme="majorEastAsia"/>
          <w:sz w:val="24"/>
          <w:szCs w:val="24"/>
        </w:rPr>
      </w:pPr>
      <w:bookmarkStart w:id="284" w:name="_Toc27148157"/>
      <w:bookmarkStart w:id="285" w:name="_Toc21450"/>
      <w:r>
        <w:rPr>
          <w:rFonts w:hint="eastAsia" w:asciiTheme="majorEastAsia" w:hAnsiTheme="majorEastAsia" w:eastAsiaTheme="majorEastAsia"/>
          <w:sz w:val="24"/>
          <w:szCs w:val="24"/>
        </w:rPr>
        <w:t>在（投标项目名称）投标活动中，我公司保证做到：</w:t>
      </w:r>
      <w:bookmarkEnd w:id="284"/>
      <w:bookmarkEnd w:id="285"/>
    </w:p>
    <w:p>
      <w:pPr>
        <w:spacing w:line="440" w:lineRule="exact"/>
        <w:ind w:firstLine="480" w:firstLineChars="200"/>
        <w:rPr>
          <w:rFonts w:asciiTheme="majorEastAsia" w:hAnsiTheme="majorEastAsia" w:eastAsiaTheme="majorEastAsia"/>
          <w:sz w:val="24"/>
          <w:szCs w:val="24"/>
        </w:rPr>
      </w:pPr>
      <w:bookmarkStart w:id="286" w:name="_Toc27148158"/>
      <w:bookmarkStart w:id="287" w:name="_Toc15182"/>
      <w:r>
        <w:rPr>
          <w:rFonts w:hint="eastAsia" w:asciiTheme="majorEastAsia" w:hAnsiTheme="majorEastAsia" w:eastAsiaTheme="majorEastAsia"/>
          <w:sz w:val="24"/>
          <w:szCs w:val="24"/>
        </w:rPr>
        <w:t>一、公平参加本次投标活动。</w:t>
      </w:r>
      <w:bookmarkEnd w:id="286"/>
      <w:bookmarkEnd w:id="287"/>
    </w:p>
    <w:p>
      <w:pPr>
        <w:spacing w:line="440" w:lineRule="exact"/>
        <w:ind w:firstLine="480" w:firstLineChars="200"/>
        <w:rPr>
          <w:rFonts w:asciiTheme="majorEastAsia" w:hAnsiTheme="majorEastAsia" w:eastAsiaTheme="majorEastAsia"/>
          <w:sz w:val="24"/>
          <w:szCs w:val="24"/>
        </w:rPr>
      </w:pPr>
      <w:bookmarkStart w:id="288" w:name="_Toc13527"/>
      <w:bookmarkStart w:id="289" w:name="_Toc27148159"/>
      <w:r>
        <w:rPr>
          <w:rFonts w:hint="eastAsia" w:asciiTheme="majorEastAsia" w:hAnsiTheme="majorEastAsia" w:eastAsiaTheme="majorEastAsia"/>
          <w:sz w:val="24"/>
          <w:szCs w:val="24"/>
        </w:rPr>
        <w:t>二、杜绝任何形式的商业贿赂行为。不向国家工作人员、政府采购代理机构工作人员、评审专家及</w:t>
      </w:r>
      <w:bookmarkEnd w:id="288"/>
      <w:bookmarkEnd w:id="289"/>
    </w:p>
    <w:p>
      <w:pPr>
        <w:spacing w:line="440" w:lineRule="exact"/>
        <w:ind w:firstLine="480" w:firstLineChars="200"/>
        <w:rPr>
          <w:rFonts w:asciiTheme="majorEastAsia" w:hAnsiTheme="majorEastAsia" w:eastAsiaTheme="majorEastAsia"/>
          <w:sz w:val="24"/>
          <w:szCs w:val="24"/>
        </w:rPr>
      </w:pPr>
      <w:bookmarkStart w:id="290" w:name="_Toc27148160"/>
      <w:bookmarkStart w:id="291" w:name="_Toc29485"/>
      <w:r>
        <w:rPr>
          <w:rFonts w:hint="eastAsia" w:asciiTheme="majorEastAsia" w:hAnsiTheme="majorEastAsia" w:eastAsiaTheme="majorEastAsia"/>
          <w:sz w:val="24"/>
          <w:szCs w:val="24"/>
        </w:rPr>
        <w:t>其亲属提供礼品礼金、回扣、佣金等费用。</w:t>
      </w:r>
      <w:bookmarkEnd w:id="290"/>
      <w:bookmarkEnd w:id="291"/>
    </w:p>
    <w:p>
      <w:pPr>
        <w:spacing w:line="440" w:lineRule="exact"/>
        <w:ind w:firstLine="480" w:firstLineChars="200"/>
        <w:rPr>
          <w:rFonts w:asciiTheme="majorEastAsia" w:hAnsiTheme="majorEastAsia" w:eastAsiaTheme="majorEastAsia"/>
          <w:sz w:val="24"/>
          <w:szCs w:val="24"/>
        </w:rPr>
      </w:pPr>
      <w:bookmarkStart w:id="292" w:name="_Toc17864"/>
      <w:bookmarkStart w:id="293" w:name="_Toc27148161"/>
      <w:r>
        <w:rPr>
          <w:rFonts w:hint="eastAsia" w:asciiTheme="majorEastAsia" w:hAnsiTheme="majorEastAsia" w:eastAsiaTheme="majorEastAsia"/>
          <w:sz w:val="24"/>
          <w:szCs w:val="24"/>
        </w:rPr>
        <w:t>三、若出现上述行为，我公司及参与投标的工作人员愿意接受按照国家法律法规等有关规定的处罚。</w:t>
      </w:r>
      <w:bookmarkEnd w:id="292"/>
      <w:bookmarkEnd w:id="293"/>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294" w:name="_Toc27148162"/>
      <w:bookmarkStart w:id="295" w:name="_Toc14798"/>
      <w:r>
        <w:rPr>
          <w:rFonts w:hint="eastAsia" w:asciiTheme="majorEastAsia" w:hAnsiTheme="majorEastAsia" w:eastAsiaTheme="majorEastAsia"/>
          <w:sz w:val="24"/>
          <w:szCs w:val="24"/>
        </w:rPr>
        <w:t>供应商：</w:t>
      </w:r>
      <w:r>
        <w:rPr>
          <w:rFonts w:asciiTheme="majorEastAsia" w:hAnsiTheme="majorEastAsia" w:eastAsiaTheme="majorEastAsia"/>
          <w:sz w:val="24"/>
          <w:szCs w:val="24"/>
        </w:rPr>
        <w:t xml:space="preserve">________ </w:t>
      </w:r>
      <w:r>
        <w:rPr>
          <w:rFonts w:hint="eastAsia" w:asciiTheme="majorEastAsia" w:hAnsiTheme="majorEastAsia" w:eastAsiaTheme="majorEastAsia"/>
          <w:sz w:val="24"/>
          <w:szCs w:val="24"/>
        </w:rPr>
        <w:t>（单位公章）</w:t>
      </w:r>
      <w:bookmarkEnd w:id="294"/>
      <w:bookmarkEnd w:id="295"/>
    </w:p>
    <w:p>
      <w:pPr>
        <w:spacing w:line="440" w:lineRule="exact"/>
        <w:ind w:firstLine="480" w:firstLineChars="200"/>
        <w:rPr>
          <w:rFonts w:asciiTheme="majorEastAsia" w:hAnsiTheme="majorEastAsia" w:eastAsiaTheme="majorEastAsia"/>
          <w:sz w:val="24"/>
          <w:szCs w:val="24"/>
        </w:rPr>
      </w:pPr>
      <w:bookmarkStart w:id="296" w:name="_Toc7205"/>
      <w:bookmarkStart w:id="297" w:name="_Toc27148163"/>
      <w:r>
        <w:rPr>
          <w:rFonts w:hint="eastAsia" w:asciiTheme="majorEastAsia" w:hAnsiTheme="majorEastAsia" w:eastAsiaTheme="majorEastAsia"/>
          <w:sz w:val="24"/>
          <w:szCs w:val="24"/>
        </w:rPr>
        <w:t>法定代表人或其委托代理人：</w:t>
      </w:r>
      <w:r>
        <w:rPr>
          <w:rFonts w:asciiTheme="majorEastAsia" w:hAnsiTheme="majorEastAsia" w:eastAsiaTheme="majorEastAsia"/>
          <w:sz w:val="24"/>
          <w:szCs w:val="24"/>
        </w:rPr>
        <w:t xml:space="preserve">______ </w:t>
      </w:r>
      <w:r>
        <w:rPr>
          <w:rFonts w:hint="eastAsia" w:asciiTheme="majorEastAsia" w:hAnsiTheme="majorEastAsia" w:eastAsiaTheme="majorEastAsia"/>
          <w:sz w:val="24"/>
          <w:szCs w:val="24"/>
        </w:rPr>
        <w:t>（签字或盖章）</w:t>
      </w:r>
      <w:bookmarkEnd w:id="296"/>
      <w:bookmarkEnd w:id="297"/>
    </w:p>
    <w:p>
      <w:pPr>
        <w:spacing w:line="440" w:lineRule="exact"/>
        <w:ind w:firstLine="480" w:firstLineChars="200"/>
        <w:rPr>
          <w:rFonts w:asciiTheme="majorEastAsia" w:hAnsiTheme="majorEastAsia" w:eastAsiaTheme="majorEastAsia"/>
          <w:sz w:val="24"/>
          <w:szCs w:val="24"/>
        </w:rPr>
      </w:pPr>
      <w:bookmarkStart w:id="298" w:name="_Toc29719"/>
      <w:bookmarkStart w:id="299" w:name="_Toc27148164"/>
      <w:r>
        <w:rPr>
          <w:rFonts w:asciiTheme="majorEastAsia" w:hAnsiTheme="majorEastAsia" w:eastAsiaTheme="majorEastAsia"/>
          <w:sz w:val="24"/>
          <w:szCs w:val="24"/>
        </w:rPr>
        <w:t>_____</w:t>
      </w:r>
      <w:r>
        <w:rPr>
          <w:rFonts w:hint="eastAsia" w:asciiTheme="majorEastAsia" w:hAnsiTheme="majorEastAsia" w:eastAsiaTheme="majorEastAsia"/>
          <w:sz w:val="24"/>
          <w:szCs w:val="24"/>
        </w:rPr>
        <w:t>年</w:t>
      </w:r>
      <w:r>
        <w:rPr>
          <w:rFonts w:asciiTheme="majorEastAsia" w:hAnsiTheme="majorEastAsia" w:eastAsiaTheme="majorEastAsia"/>
          <w:sz w:val="24"/>
          <w:szCs w:val="24"/>
        </w:rPr>
        <w:t>__</w:t>
      </w:r>
      <w:r>
        <w:rPr>
          <w:rFonts w:hint="eastAsia" w:asciiTheme="majorEastAsia" w:hAnsiTheme="majorEastAsia" w:eastAsiaTheme="majorEastAsia"/>
          <w:sz w:val="24"/>
          <w:szCs w:val="24"/>
        </w:rPr>
        <w:t>月</w:t>
      </w:r>
      <w:r>
        <w:rPr>
          <w:rFonts w:asciiTheme="majorEastAsia" w:hAnsiTheme="majorEastAsia" w:eastAsiaTheme="majorEastAsia"/>
          <w:sz w:val="24"/>
          <w:szCs w:val="24"/>
        </w:rPr>
        <w:t>___</w:t>
      </w:r>
      <w:r>
        <w:rPr>
          <w:rFonts w:hint="eastAsia" w:asciiTheme="majorEastAsia" w:hAnsiTheme="majorEastAsia" w:eastAsiaTheme="majorEastAsia"/>
          <w:sz w:val="24"/>
          <w:szCs w:val="24"/>
        </w:rPr>
        <w:t>日</w:t>
      </w:r>
      <w:bookmarkEnd w:id="298"/>
      <w:bookmarkEnd w:id="299"/>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bookmarkStart w:id="300" w:name="_Toc30074"/>
      <w:bookmarkStart w:id="301" w:name="_Toc27148165"/>
      <w:bookmarkStart w:id="302" w:name="_Toc209"/>
      <w:bookmarkStart w:id="303" w:name="_Toc174"/>
      <w:r>
        <w:rPr>
          <w:rFonts w:hint="eastAsia" w:asciiTheme="majorEastAsia" w:hAnsiTheme="majorEastAsia" w:eastAsiaTheme="majorEastAsia"/>
          <w:b/>
          <w:sz w:val="24"/>
          <w:szCs w:val="24"/>
        </w:rPr>
        <w:t>十一、</w:t>
      </w:r>
      <w:bookmarkEnd w:id="300"/>
      <w:r>
        <w:rPr>
          <w:rFonts w:hint="eastAsia" w:asciiTheme="majorEastAsia" w:hAnsiTheme="majorEastAsia" w:eastAsiaTheme="majorEastAsia"/>
          <w:b/>
          <w:sz w:val="24"/>
          <w:szCs w:val="24"/>
        </w:rPr>
        <w:t>反商业贿赂承诺书</w:t>
      </w:r>
      <w:bookmarkEnd w:id="301"/>
      <w:bookmarkEnd w:id="302"/>
      <w:bookmarkEnd w:id="303"/>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我公司承诺：</w:t>
      </w:r>
      <w:r>
        <w:rPr>
          <w:rFonts w:asciiTheme="majorEastAsia" w:hAnsiTheme="majorEastAsia" w:eastAsiaTheme="majorEastAsia"/>
          <w:sz w:val="24"/>
          <w:szCs w:val="24"/>
        </w:rPr>
        <w:tab/>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在（投标项目名称）投标活动中，我公司保证做到：</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一、公平参加本次投标活动。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二、杜绝任何形式的商业贿赂行为。不向国家工作人员、政府采购代理机构工作人员、评审专家及其亲属提供礼品礼金、回扣、佣金等费用。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三、若出现上述行为，我公司及参与投标的工作人员愿意接受按照国家法律法规等有关规定的处罚。</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公司法人代表（签字或盖章）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法人授权代表（签字）</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（公章）</w:t>
      </w:r>
    </w:p>
    <w:p>
      <w:pPr>
        <w:spacing w:line="440" w:lineRule="exact"/>
        <w:ind w:firstLine="480" w:firstLineChars="200"/>
        <w:rPr>
          <w:rFonts w:asciiTheme="majorEastAsia" w:hAnsiTheme="majorEastAsia" w:eastAsiaTheme="majorEastAsia"/>
          <w:sz w:val="24"/>
          <w:szCs w:val="24"/>
        </w:rPr>
      </w:pPr>
      <w:bookmarkStart w:id="304" w:name="_Toc488422629"/>
      <w:bookmarkStart w:id="305" w:name="_Toc26737"/>
      <w:bookmarkStart w:id="306" w:name="_Toc488422030"/>
    </w:p>
    <w:p>
      <w:pPr>
        <w:spacing w:line="440" w:lineRule="exact"/>
        <w:ind w:firstLine="480" w:firstLineChars="200"/>
        <w:rPr>
          <w:rFonts w:asciiTheme="majorEastAsia" w:hAnsiTheme="majorEastAsia" w:eastAsiaTheme="majorEastAsia"/>
          <w:sz w:val="24"/>
          <w:szCs w:val="24"/>
        </w:rPr>
      </w:pPr>
      <w:bookmarkStart w:id="307" w:name="_Toc10189"/>
      <w:bookmarkStart w:id="308" w:name="_Toc16953"/>
      <w:bookmarkStart w:id="309" w:name="_Toc10405"/>
      <w:bookmarkStart w:id="310" w:name="_Toc27148166"/>
      <w:bookmarkStart w:id="311" w:name="_Toc29422"/>
      <w:bookmarkStart w:id="312" w:name="_Toc26425"/>
      <w:r>
        <w:rPr>
          <w:rFonts w:hint="eastAsia" w:asciiTheme="majorEastAsia" w:hAnsiTheme="majorEastAsia" w:eastAsiaTheme="majorEastAsia"/>
          <w:sz w:val="24"/>
          <w:szCs w:val="24"/>
        </w:rPr>
        <w:t>年月日</w:t>
      </w:r>
      <w:bookmarkEnd w:id="304"/>
      <w:bookmarkEnd w:id="305"/>
      <w:bookmarkEnd w:id="306"/>
      <w:bookmarkEnd w:id="307"/>
      <w:bookmarkEnd w:id="308"/>
      <w:bookmarkEnd w:id="309"/>
      <w:bookmarkEnd w:id="310"/>
      <w:bookmarkEnd w:id="311"/>
      <w:bookmarkEnd w:id="312"/>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十二、供应商资格证明文件</w:t>
      </w:r>
    </w:p>
    <w:p>
      <w:pPr>
        <w:spacing w:line="440" w:lineRule="exact"/>
        <w:ind w:firstLine="480" w:firstLineChars="200"/>
        <w:rPr>
          <w:rFonts w:asciiTheme="majorEastAsia" w:hAnsiTheme="majorEastAsia" w:eastAsiaTheme="majorEastAsia"/>
          <w:b/>
          <w:sz w:val="24"/>
          <w:szCs w:val="24"/>
        </w:rPr>
      </w:pPr>
      <w:r>
        <w:rPr>
          <w:rFonts w:asciiTheme="majorEastAsia" w:hAnsiTheme="majorEastAsia" w:eastAsiaTheme="majorEastAsia"/>
          <w:b/>
          <w:sz w:val="24"/>
          <w:szCs w:val="24"/>
        </w:rPr>
        <w:t>1.</w:t>
      </w:r>
      <w:r>
        <w:rPr>
          <w:rFonts w:hint="eastAsia" w:asciiTheme="majorEastAsia" w:hAnsiTheme="majorEastAsia" w:eastAsiaTheme="majorEastAsia"/>
          <w:b/>
          <w:sz w:val="24"/>
          <w:szCs w:val="24"/>
        </w:rPr>
        <w:t>营业执照（副本）；</w:t>
      </w:r>
    </w:p>
    <w:p>
      <w:pPr>
        <w:spacing w:line="440" w:lineRule="exact"/>
        <w:ind w:firstLine="480" w:firstLineChars="200"/>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2.制造商提供:所投设备制造商须具备特种设备(电梯)制造许可证A级资质、特种设备(电梯)安装改造维修许可证B级及以上资质或新版中华人民共和国特种设备生产许可证；</w:t>
      </w:r>
    </w:p>
    <w:p>
      <w:pPr>
        <w:spacing w:line="440" w:lineRule="exact"/>
        <w:ind w:firstLine="480" w:firstLineChars="200"/>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经销商提供:供应商若为经销商需具备特种设备(电梯)安装维修许可证B级及以上资质或新版中华人民共和国特种设备生产许可证，同时所投品牌制造商须具备特种设备(电梯)制造许可证A级资质或新版中华人民共和国特种设备生产许可证；</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3</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法定代表人证明或法定代表人有效委托书及本人身份证；</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4</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开标前六个月内任一个月依法缴纳税收的凭证；</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5</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开标前六个月内任一个月依法缴纳社会保障资金的证明；</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6</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参加政府采购活动前三年内，在经营活动中没有重大违法记录声明；</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7</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财务状况报告（投标文件递交截止日期前十二个月内任一个月的资产负债表或损益表或年度财务会计报 表或会计事务所出具的审计报告）；</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8</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信誉证明:根据《关于在政府采购活动中查询及使用信用记录有关问题的通知》(财库[2016]125号)的规定，采购代理机构将通过“信用中国”网站（www.creditchina.gov.cn）、中国政府采购网（www.ccgp.gov.cn）等渠道在资格审查环节查询供应商信用记录，被列入失信被执行人、重大税收违法案件当事人名单、政府采购严重违法失信行为记录名单的单位将被拒绝参与本项目政府采购活动；信用信息查询记录和证据将同采购文件等资料一同归档保存。（供应商需提供网站查询截图，加盖企业公章）；</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9</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供应商必须提供无行贿犯罪记录承诺书，</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出具由“中国裁判文书网”网站查询近三年来法人、法定代表人、法定代表人委托人无行贿犯罪记录网页截图加盖企业公章证明</w:t>
      </w:r>
      <w:r>
        <w:rPr>
          <w:rFonts w:asciiTheme="majorEastAsia" w:hAnsiTheme="majorEastAsia" w:eastAsiaTheme="majorEastAsia"/>
          <w:b/>
          <w:sz w:val="24"/>
          <w:szCs w:val="24"/>
        </w:rPr>
        <w:t xml:space="preserve"> )</w:t>
      </w:r>
      <w:r>
        <w:rPr>
          <w:rFonts w:hint="eastAsia" w:asciiTheme="majorEastAsia" w:hAnsiTheme="majorEastAsia" w:eastAsiaTheme="majorEastAsia"/>
          <w:b/>
          <w:sz w:val="24"/>
          <w:szCs w:val="24"/>
        </w:rPr>
        <w:t>；若有行贿犯罪记录则取消其投标资格；</w:t>
      </w:r>
    </w:p>
    <w:p>
      <w:pPr>
        <w:spacing w:line="440" w:lineRule="exact"/>
        <w:ind w:firstLine="480"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lang w:val="en-US" w:eastAsia="zh-CN"/>
        </w:rPr>
        <w:t>10</w:t>
      </w:r>
      <w:r>
        <w:rPr>
          <w:rFonts w:asciiTheme="majorEastAsia" w:hAnsiTheme="majorEastAsia" w:eastAsiaTheme="majorEastAsia"/>
          <w:b/>
          <w:sz w:val="24"/>
          <w:szCs w:val="24"/>
        </w:rPr>
        <w:t>.</w:t>
      </w:r>
      <w:r>
        <w:rPr>
          <w:rFonts w:hint="eastAsia" w:asciiTheme="majorEastAsia" w:hAnsiTheme="majorEastAsia" w:eastAsiaTheme="majorEastAsia"/>
          <w:b/>
          <w:sz w:val="24"/>
          <w:szCs w:val="24"/>
        </w:rPr>
        <w:t>供应商认为有必要提供的其他材料。</w:t>
      </w:r>
    </w:p>
    <w:p>
      <w:pPr>
        <w:spacing w:line="440" w:lineRule="exact"/>
        <w:ind w:firstLine="480" w:firstLineChars="200"/>
        <w:rPr>
          <w:rFonts w:asciiTheme="majorEastAsia" w:hAnsiTheme="majorEastAsia" w:eastAsiaTheme="majorEastAsia"/>
          <w:sz w:val="24"/>
          <w:szCs w:val="24"/>
        </w:rPr>
      </w:pPr>
      <w:bookmarkStart w:id="313" w:name="_Toc24571"/>
      <w:bookmarkStart w:id="314" w:name="_Toc20524"/>
      <w:bookmarkStart w:id="315" w:name="_Toc10246"/>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bookmarkStart w:id="316" w:name="_Toc28007"/>
      <w:r>
        <w:rPr>
          <w:rFonts w:hint="eastAsia" w:asciiTheme="majorEastAsia" w:hAnsiTheme="majorEastAsia" w:eastAsiaTheme="majorEastAsia"/>
          <w:b/>
          <w:sz w:val="24"/>
          <w:szCs w:val="24"/>
        </w:rPr>
        <w:t>十三、小型、微型（监狱、残疾人福利性单位）</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企业产品明细表</w:t>
      </w:r>
      <w:bookmarkEnd w:id="316"/>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单位：元</w:t>
      </w:r>
    </w:p>
    <w:tbl>
      <w:tblPr>
        <w:tblStyle w:val="40"/>
        <w:tblW w:w="9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00"/>
        <w:gridCol w:w="1210"/>
        <w:gridCol w:w="1077"/>
        <w:gridCol w:w="1861"/>
        <w:gridCol w:w="697"/>
        <w:gridCol w:w="116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6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1400"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货物名称</w:t>
            </w:r>
          </w:p>
        </w:tc>
        <w:tc>
          <w:tcPr>
            <w:tcW w:w="1210"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品牌型</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号规格</w:t>
            </w:r>
          </w:p>
        </w:tc>
        <w:tc>
          <w:tcPr>
            <w:tcW w:w="1077"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制造商</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1861"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制造商类型（填小型</w:t>
            </w:r>
            <w:r>
              <w:rPr>
                <w:rFonts w:asciiTheme="majorEastAsia" w:hAnsiTheme="majorEastAsia" w:eastAsiaTheme="majorEastAsia"/>
                <w:sz w:val="24"/>
                <w:szCs w:val="24"/>
              </w:rPr>
              <w:t>/</w:t>
            </w:r>
            <w:r>
              <w:rPr>
                <w:rFonts w:hint="eastAsia" w:asciiTheme="majorEastAsia" w:hAnsiTheme="majorEastAsia" w:eastAsiaTheme="majorEastAsia"/>
                <w:sz w:val="24"/>
                <w:szCs w:val="24"/>
              </w:rPr>
              <w:t>微型</w:t>
            </w:r>
            <w:r>
              <w:rPr>
                <w:rFonts w:asciiTheme="majorEastAsia" w:hAnsiTheme="majorEastAsia" w:eastAsiaTheme="majorEastAsia"/>
                <w:sz w:val="24"/>
                <w:szCs w:val="24"/>
              </w:rPr>
              <w:t>/</w:t>
            </w:r>
            <w:r>
              <w:rPr>
                <w:rFonts w:hint="eastAsia" w:asciiTheme="majorEastAsia" w:hAnsiTheme="majorEastAsia" w:eastAsiaTheme="majorEastAsia"/>
                <w:sz w:val="24"/>
                <w:szCs w:val="24"/>
              </w:rPr>
              <w:t>监狱</w:t>
            </w:r>
            <w:r>
              <w:rPr>
                <w:rFonts w:asciiTheme="majorEastAsia" w:hAnsiTheme="majorEastAsia" w:eastAsiaTheme="majorEastAsia"/>
                <w:sz w:val="24"/>
                <w:szCs w:val="24"/>
              </w:rPr>
              <w:t>/</w:t>
            </w:r>
            <w:r>
              <w:rPr>
                <w:rFonts w:hint="eastAsia" w:asciiTheme="majorEastAsia" w:hAnsiTheme="majorEastAsia" w:eastAsiaTheme="majorEastAsia"/>
                <w:sz w:val="24"/>
                <w:szCs w:val="24"/>
              </w:rPr>
              <w:t>残疾人福利性单位</w:t>
            </w:r>
            <w:r>
              <w:rPr>
                <w:rFonts w:asciiTheme="majorEastAsia" w:hAnsiTheme="majorEastAsia" w:eastAsiaTheme="majorEastAsia"/>
                <w:sz w:val="24"/>
                <w:szCs w:val="24"/>
              </w:rPr>
              <w:t>)</w:t>
            </w:r>
          </w:p>
        </w:tc>
        <w:tc>
          <w:tcPr>
            <w:tcW w:w="697"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数量</w:t>
            </w:r>
          </w:p>
        </w:tc>
        <w:tc>
          <w:tcPr>
            <w:tcW w:w="116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单价</w:t>
            </w:r>
          </w:p>
        </w:tc>
        <w:tc>
          <w:tcPr>
            <w:tcW w:w="1009"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金额</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jc w:val="center"/>
        </w:trPr>
        <w:tc>
          <w:tcPr>
            <w:tcW w:w="666" w:type="dxa"/>
            <w:vAlign w:val="center"/>
          </w:tcPr>
          <w:p>
            <w:pPr>
              <w:spacing w:line="440" w:lineRule="exact"/>
              <w:ind w:firstLine="480" w:firstLineChars="200"/>
              <w:rPr>
                <w:rFonts w:asciiTheme="majorEastAsia" w:hAnsiTheme="majorEastAsia" w:eastAsiaTheme="majorEastAsia"/>
                <w:sz w:val="24"/>
                <w:szCs w:val="24"/>
              </w:rPr>
            </w:pPr>
          </w:p>
        </w:tc>
        <w:tc>
          <w:tcPr>
            <w:tcW w:w="1400" w:type="dxa"/>
            <w:vAlign w:val="center"/>
          </w:tcPr>
          <w:p>
            <w:pPr>
              <w:spacing w:line="440" w:lineRule="exact"/>
              <w:ind w:firstLine="480" w:firstLineChars="200"/>
              <w:rPr>
                <w:rFonts w:asciiTheme="majorEastAsia" w:hAnsiTheme="majorEastAsia" w:eastAsiaTheme="majorEastAsia"/>
                <w:sz w:val="24"/>
                <w:szCs w:val="24"/>
              </w:rPr>
            </w:pPr>
          </w:p>
        </w:tc>
        <w:tc>
          <w:tcPr>
            <w:tcW w:w="1210" w:type="dxa"/>
            <w:vAlign w:val="center"/>
          </w:tcPr>
          <w:p>
            <w:pPr>
              <w:spacing w:line="440" w:lineRule="exact"/>
              <w:ind w:firstLine="480" w:firstLineChars="200"/>
              <w:rPr>
                <w:rFonts w:asciiTheme="majorEastAsia" w:hAnsiTheme="majorEastAsia" w:eastAsiaTheme="majorEastAsia"/>
                <w:sz w:val="24"/>
                <w:szCs w:val="24"/>
              </w:rPr>
            </w:pPr>
          </w:p>
        </w:tc>
        <w:tc>
          <w:tcPr>
            <w:tcW w:w="1077" w:type="dxa"/>
            <w:vAlign w:val="center"/>
          </w:tcPr>
          <w:p>
            <w:pPr>
              <w:spacing w:line="440" w:lineRule="exact"/>
              <w:ind w:firstLine="480" w:firstLineChars="200"/>
              <w:rPr>
                <w:rFonts w:asciiTheme="majorEastAsia" w:hAnsiTheme="majorEastAsia" w:eastAsiaTheme="majorEastAsia"/>
                <w:sz w:val="24"/>
                <w:szCs w:val="24"/>
              </w:rPr>
            </w:pPr>
          </w:p>
        </w:tc>
        <w:tc>
          <w:tcPr>
            <w:tcW w:w="1861" w:type="dxa"/>
            <w:vAlign w:val="center"/>
          </w:tcPr>
          <w:p>
            <w:pPr>
              <w:spacing w:line="440" w:lineRule="exact"/>
              <w:ind w:firstLine="480" w:firstLineChars="200"/>
              <w:rPr>
                <w:rFonts w:asciiTheme="majorEastAsia" w:hAnsiTheme="majorEastAsia" w:eastAsiaTheme="majorEastAsia"/>
                <w:sz w:val="24"/>
                <w:szCs w:val="24"/>
              </w:rPr>
            </w:pPr>
          </w:p>
        </w:tc>
        <w:tc>
          <w:tcPr>
            <w:tcW w:w="697" w:type="dxa"/>
            <w:vAlign w:val="center"/>
          </w:tcPr>
          <w:p>
            <w:pPr>
              <w:spacing w:line="440" w:lineRule="exact"/>
              <w:ind w:firstLine="480" w:firstLineChars="200"/>
              <w:rPr>
                <w:rFonts w:asciiTheme="majorEastAsia" w:hAnsiTheme="majorEastAsia" w:eastAsiaTheme="majorEastAsia"/>
                <w:sz w:val="24"/>
                <w:szCs w:val="24"/>
              </w:rPr>
            </w:pPr>
          </w:p>
        </w:tc>
        <w:tc>
          <w:tcPr>
            <w:tcW w:w="1166" w:type="dxa"/>
            <w:vAlign w:val="center"/>
          </w:tcPr>
          <w:p>
            <w:pPr>
              <w:spacing w:line="440" w:lineRule="exact"/>
              <w:ind w:firstLine="480" w:firstLineChars="200"/>
              <w:rPr>
                <w:rFonts w:asciiTheme="majorEastAsia" w:hAnsiTheme="majorEastAsia" w:eastAsiaTheme="majorEastAsia"/>
                <w:sz w:val="24"/>
                <w:szCs w:val="24"/>
              </w:rPr>
            </w:pPr>
          </w:p>
        </w:tc>
        <w:tc>
          <w:tcPr>
            <w:tcW w:w="1009" w:type="dxa"/>
            <w:vAlign w:val="center"/>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jc w:val="center"/>
        </w:trPr>
        <w:tc>
          <w:tcPr>
            <w:tcW w:w="666" w:type="dxa"/>
            <w:vAlign w:val="center"/>
          </w:tcPr>
          <w:p>
            <w:pPr>
              <w:spacing w:line="440" w:lineRule="exact"/>
              <w:ind w:firstLine="480" w:firstLineChars="200"/>
              <w:rPr>
                <w:rFonts w:asciiTheme="majorEastAsia" w:hAnsiTheme="majorEastAsia" w:eastAsiaTheme="majorEastAsia"/>
                <w:sz w:val="24"/>
                <w:szCs w:val="24"/>
              </w:rPr>
            </w:pPr>
          </w:p>
        </w:tc>
        <w:tc>
          <w:tcPr>
            <w:tcW w:w="1400" w:type="dxa"/>
            <w:vAlign w:val="center"/>
          </w:tcPr>
          <w:p>
            <w:pPr>
              <w:spacing w:line="440" w:lineRule="exact"/>
              <w:ind w:firstLine="480" w:firstLineChars="200"/>
              <w:rPr>
                <w:rFonts w:asciiTheme="majorEastAsia" w:hAnsiTheme="majorEastAsia" w:eastAsiaTheme="majorEastAsia"/>
                <w:sz w:val="24"/>
                <w:szCs w:val="24"/>
              </w:rPr>
            </w:pPr>
          </w:p>
        </w:tc>
        <w:tc>
          <w:tcPr>
            <w:tcW w:w="1210" w:type="dxa"/>
            <w:vAlign w:val="center"/>
          </w:tcPr>
          <w:p>
            <w:pPr>
              <w:spacing w:line="440" w:lineRule="exact"/>
              <w:ind w:firstLine="480" w:firstLineChars="200"/>
              <w:rPr>
                <w:rFonts w:asciiTheme="majorEastAsia" w:hAnsiTheme="majorEastAsia" w:eastAsiaTheme="majorEastAsia"/>
                <w:sz w:val="24"/>
                <w:szCs w:val="24"/>
              </w:rPr>
            </w:pPr>
          </w:p>
        </w:tc>
        <w:tc>
          <w:tcPr>
            <w:tcW w:w="1077" w:type="dxa"/>
            <w:vAlign w:val="center"/>
          </w:tcPr>
          <w:p>
            <w:pPr>
              <w:spacing w:line="440" w:lineRule="exact"/>
              <w:ind w:firstLine="480" w:firstLineChars="200"/>
              <w:rPr>
                <w:rFonts w:asciiTheme="majorEastAsia" w:hAnsiTheme="majorEastAsia" w:eastAsiaTheme="majorEastAsia"/>
                <w:sz w:val="24"/>
                <w:szCs w:val="24"/>
              </w:rPr>
            </w:pPr>
          </w:p>
        </w:tc>
        <w:tc>
          <w:tcPr>
            <w:tcW w:w="1861" w:type="dxa"/>
            <w:vAlign w:val="center"/>
          </w:tcPr>
          <w:p>
            <w:pPr>
              <w:spacing w:line="440" w:lineRule="exact"/>
              <w:ind w:firstLine="480" w:firstLineChars="200"/>
              <w:rPr>
                <w:rFonts w:asciiTheme="majorEastAsia" w:hAnsiTheme="majorEastAsia" w:eastAsiaTheme="majorEastAsia"/>
                <w:sz w:val="24"/>
                <w:szCs w:val="24"/>
              </w:rPr>
            </w:pPr>
          </w:p>
        </w:tc>
        <w:tc>
          <w:tcPr>
            <w:tcW w:w="697" w:type="dxa"/>
            <w:vAlign w:val="center"/>
          </w:tcPr>
          <w:p>
            <w:pPr>
              <w:spacing w:line="440" w:lineRule="exact"/>
              <w:ind w:firstLine="480" w:firstLineChars="200"/>
              <w:rPr>
                <w:rFonts w:asciiTheme="majorEastAsia" w:hAnsiTheme="majorEastAsia" w:eastAsiaTheme="majorEastAsia"/>
                <w:sz w:val="24"/>
                <w:szCs w:val="24"/>
              </w:rPr>
            </w:pPr>
          </w:p>
        </w:tc>
        <w:tc>
          <w:tcPr>
            <w:tcW w:w="1166" w:type="dxa"/>
            <w:vAlign w:val="center"/>
          </w:tcPr>
          <w:p>
            <w:pPr>
              <w:spacing w:line="440" w:lineRule="exact"/>
              <w:ind w:firstLine="480" w:firstLineChars="200"/>
              <w:rPr>
                <w:rFonts w:asciiTheme="majorEastAsia" w:hAnsiTheme="majorEastAsia" w:eastAsiaTheme="majorEastAsia"/>
                <w:sz w:val="24"/>
                <w:szCs w:val="24"/>
              </w:rPr>
            </w:pPr>
          </w:p>
        </w:tc>
        <w:tc>
          <w:tcPr>
            <w:tcW w:w="1009" w:type="dxa"/>
            <w:vAlign w:val="center"/>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jc w:val="center"/>
        </w:trPr>
        <w:tc>
          <w:tcPr>
            <w:tcW w:w="9086" w:type="dxa"/>
            <w:gridSpan w:val="8"/>
          </w:tcPr>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小型微型（监狱、残疾人福利性单位）企业产品金额总计元</w:t>
            </w:r>
          </w:p>
        </w:tc>
      </w:tr>
    </w:tbl>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）投标人系小型微型（监狱、残疾人福利性单位）企业，且提供本企业生产制造的产品。（填是或否）</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 ）投标人提供其它小型微型（监狱、残疾人福利性单位）企业生产制造的产品。（填是或否）</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法定代表人或被授权人（签字或盖章）：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投标人（盖章）：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日       期：</w:t>
      </w:r>
    </w:p>
    <w:p>
      <w:pPr>
        <w:spacing w:line="440" w:lineRule="exact"/>
        <w:ind w:firstLine="480" w:firstLineChars="200"/>
        <w:rPr>
          <w:rFonts w:asciiTheme="majorEastAsia" w:hAnsiTheme="majorEastAsia" w:eastAsiaTheme="majorEastAsia"/>
          <w:sz w:val="24"/>
          <w:szCs w:val="24"/>
        </w:rPr>
      </w:pPr>
      <w:bookmarkStart w:id="317" w:name="_Toc465775735"/>
      <w:bookmarkStart w:id="318" w:name="_Toc7948"/>
      <w:bookmarkStart w:id="319" w:name="_Toc14555"/>
      <w:bookmarkStart w:id="320" w:name="_Toc6316"/>
      <w:bookmarkStart w:id="321" w:name="_Toc450200484"/>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322" w:name="_Toc26932"/>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附：</w:t>
      </w:r>
      <w:bookmarkEnd w:id="322"/>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bookmarkStart w:id="323" w:name="_Toc2290"/>
      <w:r>
        <w:rPr>
          <w:rFonts w:hint="eastAsia" w:asciiTheme="majorEastAsia" w:hAnsiTheme="majorEastAsia" w:eastAsiaTheme="majorEastAsia"/>
          <w:b/>
          <w:sz w:val="24"/>
          <w:szCs w:val="24"/>
        </w:rPr>
        <w:t>中小企业声明函</w:t>
      </w:r>
      <w:bookmarkEnd w:id="317"/>
      <w:bookmarkEnd w:id="318"/>
      <w:bookmarkEnd w:id="319"/>
      <w:bookmarkEnd w:id="320"/>
      <w:bookmarkEnd w:id="321"/>
      <w:bookmarkEnd w:id="323"/>
      <w:r>
        <w:rPr>
          <w:rFonts w:hint="eastAsia" w:asciiTheme="majorEastAsia" w:hAnsiTheme="majorEastAsia" w:eastAsiaTheme="majorEastAsia"/>
          <w:b/>
          <w:sz w:val="24"/>
          <w:szCs w:val="24"/>
        </w:rPr>
        <w:t>（货物）</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1. （标的名称） ，属于（采购文件中明确的所属行业）行业；制造商为（企业名称），从业人员人，营业收入为万元，资产总额为万元，属于（中型企业、小型企业、微型企业）；</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2. （标的名称） ，属于（采购文件中明确的所属行业）行业；制造商为（企业名称），从业人员人，营业收入为万元，资产总额为万元，属于（中型企业、小型企业、微型企业）；</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以上企业，不属于大企业的分支机构，不存在控股股东为大企业的情形，也不存在与大企业的负责人为同一人的情形。</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本企业对上述声明内容的真实性负责。如有虚假，将依法承担相应责任</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企业名称（盖章）：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从业人员、营业收入、资产总额填报上一年度数据，无上一年度数据的新成立企业可不填报</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提醒：1、如果供应商不满足小型、微型企业的认定标准，或所投产品的制造商不符合小型、微型企业 认定标准的，则不需要提供《中小企业声明函》。否则，因此导致虚假投标的后果由供应商自行承担。</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残疾人福利性单位声明函</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本单位郑重声明，根据《财政部 民政部 中国残疾人联合会关于促进残疾人就业政府采购政策的通知》（财库〔2017〕141号）的规定，本单位为符合条件的残疾人福利性单位，且本单位参加单位的      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本单位对上述声明的真实性负责。如有虚假，将依法承担相应责任。</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企业名称（盖章）：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日    期：</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（提醒：如果投标人不是残疾人福利性单位，则不需要提供《残疾人福利性单位声明函》。否则，因此导致虚假投标的后果由投标人自行承担。）</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bookmarkEnd w:id="313"/>
    <w:p>
      <w:pPr>
        <w:spacing w:line="440" w:lineRule="exact"/>
        <w:ind w:firstLine="480" w:firstLineChars="200"/>
        <w:jc w:val="center"/>
        <w:rPr>
          <w:rFonts w:asciiTheme="majorEastAsia" w:hAnsiTheme="majorEastAsia" w:eastAsiaTheme="majorEastAsia"/>
          <w:b/>
          <w:sz w:val="24"/>
          <w:szCs w:val="24"/>
        </w:rPr>
      </w:pPr>
      <w:bookmarkStart w:id="324" w:name="_Toc25618"/>
      <w:bookmarkStart w:id="325" w:name="_Toc27148167"/>
      <w:r>
        <w:rPr>
          <w:rFonts w:hint="eastAsia" w:asciiTheme="majorEastAsia" w:hAnsiTheme="majorEastAsia" w:eastAsiaTheme="majorEastAsia"/>
          <w:b/>
          <w:sz w:val="24"/>
          <w:szCs w:val="24"/>
        </w:rPr>
        <w:t>十四、节能产品、环境标志产品明细表</w:t>
      </w:r>
      <w:bookmarkEnd w:id="324"/>
      <w:bookmarkEnd w:id="325"/>
    </w:p>
    <w:p>
      <w:pPr>
        <w:spacing w:line="440" w:lineRule="exact"/>
        <w:ind w:firstLine="480" w:firstLineChars="200"/>
        <w:jc w:val="center"/>
        <w:rPr>
          <w:rFonts w:asciiTheme="majorEastAsia" w:hAnsiTheme="majorEastAsia" w:eastAsiaTheme="majorEastAsia"/>
          <w:b/>
          <w:sz w:val="24"/>
          <w:szCs w:val="24"/>
          <w:highlight w:val="lightGray"/>
        </w:rPr>
      </w:pPr>
      <w:r>
        <w:rPr>
          <w:rFonts w:hint="eastAsia" w:asciiTheme="majorEastAsia" w:hAnsiTheme="majorEastAsia" w:eastAsiaTheme="majorEastAsia"/>
          <w:b/>
          <w:sz w:val="24"/>
          <w:szCs w:val="24"/>
        </w:rPr>
        <w:t>节能产品明细表</w:t>
      </w:r>
    </w:p>
    <w:p>
      <w:pPr>
        <w:spacing w:line="440" w:lineRule="exact"/>
        <w:ind w:firstLine="480" w:firstLineChars="200"/>
        <w:rPr>
          <w:rFonts w:asciiTheme="majorEastAsia" w:hAnsiTheme="majorEastAsia" w:eastAsiaTheme="majorEastAsia"/>
          <w:sz w:val="24"/>
          <w:szCs w:val="24"/>
        </w:rPr>
      </w:pPr>
    </w:p>
    <w:tbl>
      <w:tblPr>
        <w:tblStyle w:val="40"/>
        <w:tblW w:w="948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53"/>
        <w:gridCol w:w="1053"/>
        <w:gridCol w:w="1053"/>
        <w:gridCol w:w="1055"/>
        <w:gridCol w:w="1326"/>
        <w:gridCol w:w="784"/>
        <w:gridCol w:w="105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105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105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设备</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105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品牌</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型号</w:t>
            </w:r>
          </w:p>
        </w:tc>
        <w:tc>
          <w:tcPr>
            <w:tcW w:w="1053"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制造商名称</w:t>
            </w:r>
          </w:p>
        </w:tc>
        <w:tc>
          <w:tcPr>
            <w:tcW w:w="1055"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节字标志认证证书号</w:t>
            </w:r>
          </w:p>
        </w:tc>
        <w:tc>
          <w:tcPr>
            <w:tcW w:w="1326"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国家节能产品认证证书有效截止日期</w:t>
            </w:r>
          </w:p>
        </w:tc>
        <w:tc>
          <w:tcPr>
            <w:tcW w:w="784"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数量</w:t>
            </w:r>
          </w:p>
        </w:tc>
        <w:tc>
          <w:tcPr>
            <w:tcW w:w="1055"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单价</w:t>
            </w:r>
          </w:p>
        </w:tc>
        <w:tc>
          <w:tcPr>
            <w:tcW w:w="1055"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c>
          <w:tcPr>
            <w:tcW w:w="1326" w:type="dxa"/>
          </w:tcPr>
          <w:p>
            <w:pPr>
              <w:spacing w:line="440" w:lineRule="exact"/>
              <w:ind w:firstLine="480" w:firstLineChars="200"/>
              <w:rPr>
                <w:rFonts w:asciiTheme="majorEastAsia" w:hAnsiTheme="majorEastAsia" w:eastAsiaTheme="majorEastAsia"/>
                <w:sz w:val="24"/>
                <w:szCs w:val="24"/>
              </w:rPr>
            </w:pPr>
          </w:p>
        </w:tc>
        <w:tc>
          <w:tcPr>
            <w:tcW w:w="784"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c>
          <w:tcPr>
            <w:tcW w:w="1326" w:type="dxa"/>
          </w:tcPr>
          <w:p>
            <w:pPr>
              <w:spacing w:line="440" w:lineRule="exact"/>
              <w:ind w:firstLine="480" w:firstLineChars="200"/>
              <w:rPr>
                <w:rFonts w:asciiTheme="majorEastAsia" w:hAnsiTheme="majorEastAsia" w:eastAsiaTheme="majorEastAsia"/>
                <w:sz w:val="24"/>
                <w:szCs w:val="24"/>
              </w:rPr>
            </w:pPr>
          </w:p>
        </w:tc>
        <w:tc>
          <w:tcPr>
            <w:tcW w:w="784"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c>
          <w:tcPr>
            <w:tcW w:w="1326" w:type="dxa"/>
          </w:tcPr>
          <w:p>
            <w:pPr>
              <w:spacing w:line="440" w:lineRule="exact"/>
              <w:ind w:firstLine="480" w:firstLineChars="200"/>
              <w:rPr>
                <w:rFonts w:asciiTheme="majorEastAsia" w:hAnsiTheme="majorEastAsia" w:eastAsiaTheme="majorEastAsia"/>
                <w:sz w:val="24"/>
                <w:szCs w:val="24"/>
              </w:rPr>
            </w:pPr>
          </w:p>
        </w:tc>
        <w:tc>
          <w:tcPr>
            <w:tcW w:w="784"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3"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c>
          <w:tcPr>
            <w:tcW w:w="1326" w:type="dxa"/>
          </w:tcPr>
          <w:p>
            <w:pPr>
              <w:spacing w:line="440" w:lineRule="exact"/>
              <w:ind w:firstLine="480" w:firstLineChars="200"/>
              <w:rPr>
                <w:rFonts w:asciiTheme="majorEastAsia" w:hAnsiTheme="majorEastAsia" w:eastAsiaTheme="majorEastAsia"/>
                <w:sz w:val="24"/>
                <w:szCs w:val="24"/>
              </w:rPr>
            </w:pPr>
          </w:p>
        </w:tc>
        <w:tc>
          <w:tcPr>
            <w:tcW w:w="784"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c>
          <w:tcPr>
            <w:tcW w:w="1055" w:type="dxa"/>
          </w:tcPr>
          <w:p>
            <w:pPr>
              <w:spacing w:line="440" w:lineRule="exact"/>
              <w:ind w:firstLine="480" w:firstLineChars="200"/>
              <w:rPr>
                <w:rFonts w:asciiTheme="majorEastAsia" w:hAnsiTheme="majorEastAsia" w:eastAsiaTheme="majorEastAsia"/>
                <w:sz w:val="24"/>
                <w:szCs w:val="24"/>
              </w:rPr>
            </w:pPr>
          </w:p>
        </w:tc>
      </w:tr>
    </w:tbl>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法定代表人或被授权人（签字或盖章）：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供应商（盖章）：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p>
      <w:pPr>
        <w:spacing w:line="440" w:lineRule="exact"/>
        <w:ind w:firstLine="480" w:firstLineChars="200"/>
        <w:rPr>
          <w:rFonts w:asciiTheme="majorEastAsia" w:hAnsiTheme="majorEastAsia" w:eastAsiaTheme="majorEastAsia"/>
          <w:sz w:val="24"/>
          <w:szCs w:val="24"/>
        </w:rPr>
      </w:pPr>
    </w:p>
    <w:p>
      <w:pPr>
        <w:widowControl/>
        <w:jc w:val="left"/>
        <w:rPr>
          <w:rFonts w:asciiTheme="majorEastAsia" w:hAnsiTheme="majorEastAsia" w:eastAsiaTheme="majorEastAsia"/>
          <w:sz w:val="24"/>
          <w:szCs w:val="24"/>
        </w:rPr>
      </w:pPr>
      <w:r>
        <w:rPr>
          <w:rFonts w:asciiTheme="majorEastAsia" w:hAnsiTheme="majorEastAsia" w:eastAsiaTheme="majorEastAsia"/>
          <w:sz w:val="24"/>
          <w:szCs w:val="24"/>
        </w:rPr>
        <w:br w:type="page"/>
      </w: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环境标志产品明细表</w:t>
      </w:r>
    </w:p>
    <w:p>
      <w:pPr>
        <w:pStyle w:val="2"/>
      </w:pPr>
    </w:p>
    <w:tbl>
      <w:tblPr>
        <w:tblStyle w:val="40"/>
        <w:tblW w:w="969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77"/>
        <w:gridCol w:w="1077"/>
        <w:gridCol w:w="1077"/>
        <w:gridCol w:w="1078"/>
        <w:gridCol w:w="1078"/>
        <w:gridCol w:w="1078"/>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1077" w:type="dxa"/>
            <w:vAlign w:val="center"/>
          </w:tcPr>
          <w:p>
            <w:pPr>
              <w:spacing w:line="440" w:lineRule="exact"/>
              <w:ind w:firstLine="480" w:firstLineChars="200"/>
              <w:jc w:val="center"/>
              <w:rPr>
                <w:rFonts w:asciiTheme="majorEastAsia" w:hAnsiTheme="majorEastAsia" w:eastAsiaTheme="majorEastAsia"/>
                <w:sz w:val="24"/>
                <w:szCs w:val="24"/>
              </w:rPr>
            </w:pP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1077"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设备</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1077"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品牌</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型号</w:t>
            </w:r>
          </w:p>
        </w:tc>
        <w:tc>
          <w:tcPr>
            <w:tcW w:w="1077"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制造商名称</w:t>
            </w:r>
          </w:p>
        </w:tc>
        <w:tc>
          <w:tcPr>
            <w:tcW w:w="1078"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中国环境标志认证证书编号</w:t>
            </w:r>
          </w:p>
        </w:tc>
        <w:tc>
          <w:tcPr>
            <w:tcW w:w="1078"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认证证书有效</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截止</w:t>
            </w:r>
          </w:p>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tc>
        <w:tc>
          <w:tcPr>
            <w:tcW w:w="1078"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数量</w:t>
            </w:r>
          </w:p>
        </w:tc>
        <w:tc>
          <w:tcPr>
            <w:tcW w:w="1078"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单价</w:t>
            </w:r>
          </w:p>
        </w:tc>
        <w:tc>
          <w:tcPr>
            <w:tcW w:w="1078" w:type="dxa"/>
            <w:vAlign w:val="center"/>
          </w:tcPr>
          <w:p>
            <w:pPr>
              <w:spacing w:line="4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7"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c>
          <w:tcPr>
            <w:tcW w:w="1078" w:type="dxa"/>
          </w:tcPr>
          <w:p>
            <w:pPr>
              <w:spacing w:line="440" w:lineRule="exact"/>
              <w:ind w:firstLine="480" w:firstLineChars="200"/>
              <w:rPr>
                <w:rFonts w:asciiTheme="majorEastAsia" w:hAnsiTheme="majorEastAsia" w:eastAsiaTheme="majorEastAsia"/>
                <w:sz w:val="24"/>
                <w:szCs w:val="24"/>
              </w:rPr>
            </w:pPr>
          </w:p>
        </w:tc>
      </w:tr>
    </w:tbl>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法定代表人或被授权人（签字或盖章）：</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供应商（盖章）：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bookmarkStart w:id="326" w:name="_Toc27148168"/>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widowControl/>
        <w:jc w:val="left"/>
        <w:rPr>
          <w:rFonts w:asciiTheme="majorEastAsia" w:hAnsiTheme="majorEastAsia" w:eastAsiaTheme="majorEastAsia"/>
          <w:sz w:val="24"/>
          <w:szCs w:val="24"/>
        </w:rPr>
      </w:pPr>
      <w:bookmarkStart w:id="327" w:name="_Toc576"/>
      <w:r>
        <w:rPr>
          <w:rFonts w:asciiTheme="majorEastAsia" w:hAnsiTheme="majorEastAsia" w:eastAsiaTheme="majorEastAsia"/>
          <w:sz w:val="24"/>
          <w:szCs w:val="24"/>
        </w:rPr>
        <w:br w:type="page"/>
      </w:r>
    </w:p>
    <w:p>
      <w:pPr>
        <w:spacing w:line="440" w:lineRule="exact"/>
        <w:ind w:firstLine="480" w:firstLineChars="20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十五、</w:t>
      </w:r>
      <w:bookmarkEnd w:id="271"/>
      <w:bookmarkEnd w:id="314"/>
      <w:bookmarkEnd w:id="315"/>
      <w:bookmarkStart w:id="328" w:name="_Toc20577"/>
      <w:bookmarkStart w:id="329" w:name="_Toc24035"/>
      <w:bookmarkStart w:id="330" w:name="_Toc1842"/>
      <w:bookmarkStart w:id="331" w:name="OLE_LINK2"/>
      <w:r>
        <w:rPr>
          <w:rFonts w:hint="eastAsia" w:asciiTheme="majorEastAsia" w:hAnsiTheme="majorEastAsia" w:eastAsiaTheme="majorEastAsia"/>
          <w:b/>
          <w:sz w:val="24"/>
          <w:szCs w:val="24"/>
        </w:rPr>
        <w:t>供应商认为需要提供的其它</w:t>
      </w:r>
      <w:bookmarkEnd w:id="328"/>
      <w:r>
        <w:rPr>
          <w:rFonts w:hint="eastAsia" w:asciiTheme="majorEastAsia" w:hAnsiTheme="majorEastAsia" w:eastAsiaTheme="majorEastAsia"/>
          <w:b/>
          <w:sz w:val="24"/>
          <w:szCs w:val="24"/>
        </w:rPr>
        <w:t>资料</w:t>
      </w:r>
      <w:bookmarkEnd w:id="326"/>
      <w:bookmarkEnd w:id="327"/>
      <w:bookmarkEnd w:id="329"/>
      <w:bookmarkEnd w:id="330"/>
    </w:p>
    <w:bookmarkEnd w:id="331"/>
    <w:p>
      <w:pPr>
        <w:spacing w:line="440" w:lineRule="exact"/>
        <w:ind w:firstLine="480" w:firstLineChars="200"/>
        <w:jc w:val="center"/>
        <w:rPr>
          <w:rFonts w:asciiTheme="majorEastAsia" w:hAnsiTheme="majorEastAsia" w:eastAsiaTheme="majorEastAsia"/>
          <w:b/>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p>
    <w:sectPr>
      <w:pgSz w:w="11906" w:h="16838"/>
      <w:pgMar w:top="1083" w:right="1083" w:bottom="1083" w:left="108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Book Antiqua">
    <w:altName w:val="Segoe Print"/>
    <w:panose1 w:val="00000000000000000000"/>
    <w:charset w:val="00"/>
    <w:family w:val="roman"/>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BatangChe">
    <w:panose1 w:val="02030609000101010101"/>
    <w:charset w:val="81"/>
    <w:family w:val="modern"/>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0"/>
      <w:tblpPr w:leftFromText="187" w:rightFromText="187" w:vertAnchor="text" w:tblpY="1"/>
      <w:tblW w:w="9777" w:type="dxa"/>
      <w:tblInd w:w="0" w:type="dxa"/>
      <w:tblLayout w:type="fixed"/>
      <w:tblCellMar>
        <w:top w:w="0" w:type="dxa"/>
        <w:left w:w="108" w:type="dxa"/>
        <w:bottom w:w="0" w:type="dxa"/>
        <w:right w:w="108" w:type="dxa"/>
      </w:tblCellMar>
    </w:tblPr>
    <w:tblGrid>
      <w:gridCol w:w="4399"/>
      <w:gridCol w:w="978"/>
      <w:gridCol w:w="4400"/>
    </w:tblGrid>
    <w:tr>
      <w:tblPrEx>
        <w:tblLayout w:type="fixed"/>
        <w:tblCellMar>
          <w:top w:w="0" w:type="dxa"/>
          <w:left w:w="108" w:type="dxa"/>
          <w:bottom w:w="0" w:type="dxa"/>
          <w:right w:w="108" w:type="dxa"/>
        </w:tblCellMar>
      </w:tblPrEx>
      <w:trPr>
        <w:trHeight w:val="164" w:hRule="atLeast"/>
      </w:trPr>
      <w:tc>
        <w:tcPr>
          <w:tcW w:w="4399" w:type="dxa"/>
          <w:tcBorders>
            <w:bottom w:val="single" w:color="4F81BD" w:themeColor="accent1" w:sz="4" w:space="0"/>
          </w:tcBorders>
        </w:tcPr>
        <w:p>
          <w:pPr>
            <w:pStyle w:val="22"/>
            <w:rPr>
              <w:rFonts w:hint="eastAsia" w:asciiTheme="majorHAnsi" w:hAnsiTheme="majorHAnsi" w:eastAsiaTheme="majorEastAsia" w:cstheme="majorBidi"/>
              <w:b/>
              <w:bCs/>
              <w:lang w:eastAsia="zh-CN"/>
            </w:rPr>
          </w:pPr>
          <w:r>
            <w:rPr>
              <w:rFonts w:hint="eastAsia" w:asciiTheme="majorHAnsi" w:hAnsiTheme="majorHAnsi" w:eastAsiaTheme="majorEastAsia" w:cstheme="majorBidi"/>
              <w:b/>
              <w:bCs/>
              <w:lang w:eastAsia="zh-CN"/>
            </w:rPr>
            <w:t>河南省中安民诚工程咨询有限公司</w:t>
          </w:r>
        </w:p>
      </w:tc>
      <w:tc>
        <w:tcPr>
          <w:tcW w:w="978" w:type="dxa"/>
          <w:vMerge w:val="restart"/>
          <w:vAlign w:val="center"/>
        </w:tcPr>
        <w:p>
          <w:pPr>
            <w:pStyle w:val="106"/>
            <w:ind w:firstLine="330" w:firstLineChars="150"/>
            <w:rPr>
              <w:rFonts w:asciiTheme="majorHAnsi" w:hAnsiTheme="majorHAnsi"/>
            </w:rPr>
          </w:pPr>
          <w:r>
            <w:fldChar w:fldCharType="begin"/>
          </w:r>
          <w:r>
            <w:instrText xml:space="preserve"> PAGE  \* MERGEFORMAT </w:instrText>
          </w:r>
          <w:r>
            <w:fldChar w:fldCharType="separate"/>
          </w:r>
          <w:r>
            <w:rPr>
              <w:rFonts w:asciiTheme="majorHAnsi" w:hAnsiTheme="majorHAnsi"/>
              <w:b/>
              <w:lang w:val="zh-CN"/>
            </w:rPr>
            <w:t>12</w:t>
          </w:r>
          <w:r>
            <w:rPr>
              <w:rFonts w:asciiTheme="majorHAnsi" w:hAnsiTheme="majorHAnsi"/>
              <w:b/>
              <w:lang w:val="zh-CN"/>
            </w:rPr>
            <w:fldChar w:fldCharType="end"/>
          </w:r>
        </w:p>
      </w:tc>
      <w:tc>
        <w:tcPr>
          <w:tcW w:w="4400" w:type="dxa"/>
          <w:tcBorders>
            <w:bottom w:val="single" w:color="4F81BD" w:themeColor="accent1" w:sz="4" w:space="0"/>
          </w:tcBorders>
        </w:tcPr>
        <w:p>
          <w:pPr>
            <w:pStyle w:val="22"/>
            <w:rPr>
              <w:rFonts w:asciiTheme="majorHAnsi" w:hAnsiTheme="majorHAnsi" w:eastAsiaTheme="majorEastAsia" w:cstheme="majorBidi"/>
              <w:b/>
              <w:bCs/>
            </w:rPr>
          </w:pPr>
        </w:p>
      </w:tc>
    </w:tr>
    <w:tr>
      <w:tblPrEx>
        <w:tblLayout w:type="fixed"/>
        <w:tblCellMar>
          <w:top w:w="0" w:type="dxa"/>
          <w:left w:w="108" w:type="dxa"/>
          <w:bottom w:w="0" w:type="dxa"/>
          <w:right w:w="108" w:type="dxa"/>
        </w:tblCellMar>
      </w:tblPrEx>
      <w:trPr>
        <w:trHeight w:val="163" w:hRule="atLeast"/>
      </w:trPr>
      <w:tc>
        <w:tcPr>
          <w:tcW w:w="4399" w:type="dxa"/>
          <w:tcBorders>
            <w:top w:val="single" w:color="4F81BD" w:themeColor="accent1" w:sz="4" w:space="0"/>
          </w:tcBorders>
        </w:tcPr>
        <w:p>
          <w:pPr>
            <w:pStyle w:val="22"/>
            <w:rPr>
              <w:rFonts w:asciiTheme="majorHAnsi" w:hAnsiTheme="majorHAnsi" w:eastAsiaTheme="majorEastAsia" w:cstheme="majorBidi"/>
              <w:b/>
              <w:bCs/>
            </w:rPr>
          </w:pPr>
        </w:p>
      </w:tc>
      <w:tc>
        <w:tcPr>
          <w:tcW w:w="978" w:type="dxa"/>
          <w:vMerge w:val="continue"/>
        </w:tcPr>
        <w:p>
          <w:pPr>
            <w:pStyle w:val="22"/>
            <w:jc w:val="center"/>
            <w:rPr>
              <w:rFonts w:asciiTheme="majorHAnsi" w:hAnsiTheme="majorHAnsi" w:eastAsiaTheme="majorEastAsia" w:cstheme="majorBidi"/>
              <w:b/>
              <w:bCs/>
            </w:rPr>
          </w:pPr>
        </w:p>
      </w:tc>
      <w:tc>
        <w:tcPr>
          <w:tcW w:w="4400" w:type="dxa"/>
          <w:tcBorders>
            <w:top w:val="single" w:color="4F81BD" w:themeColor="accent1" w:sz="4" w:space="0"/>
          </w:tcBorders>
        </w:tcPr>
        <w:p>
          <w:pPr>
            <w:pStyle w:val="22"/>
            <w:rPr>
              <w:rFonts w:asciiTheme="majorHAnsi" w:hAnsiTheme="majorHAnsi" w:eastAsiaTheme="majorEastAsia" w:cstheme="majorBidi"/>
              <w:b/>
              <w:bCs/>
            </w:rPr>
          </w:pPr>
        </w:p>
      </w:tc>
    </w:tr>
  </w:tbl>
  <w:p>
    <w:pPr>
      <w:pStyle w:val="21"/>
      <w:rPr>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u w:val="double"/>
      </w:rPr>
    </w:pPr>
    <w:r>
      <w:rPr>
        <w:rFonts w:hint="eastAsia"/>
        <w:b/>
        <w:u w:val="double"/>
        <w:lang w:eastAsia="zh-CN"/>
      </w:rPr>
      <w:t>温县残疾人康复中心项目电梯采购安装</w:t>
    </w:r>
    <w:r>
      <w:rPr>
        <w:rFonts w:hint="eastAsia"/>
        <w:b/>
        <w:u w:val="doub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pStyle w:val="4"/>
      <w:suff w:val="nothing"/>
      <w:lvlText w:val="第%1部分"/>
      <w:lvlJc w:val="center"/>
      <w:pPr>
        <w:ind w:left="1130" w:firstLine="288"/>
      </w:pPr>
      <w:rPr>
        <w:rFonts w:hint="eastAsia" w:cs="Times New Roman"/>
        <w:sz w:val="44"/>
        <w:szCs w:val="44"/>
      </w:rPr>
    </w:lvl>
    <w:lvl w:ilvl="1" w:tentative="0">
      <w:start w:val="1"/>
      <w:numFmt w:val="chineseCountingThousand"/>
      <w:pStyle w:val="5"/>
      <w:suff w:val="nothing"/>
      <w:lvlText w:val="%2、"/>
      <w:lvlJc w:val="left"/>
      <w:pPr>
        <w:ind w:left="3" w:firstLine="177"/>
      </w:pPr>
      <w:rPr>
        <w:rFonts w:cs="Times New Roman"/>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00000004"/>
    <w:multiLevelType w:val="multilevel"/>
    <w:tmpl w:val="00000004"/>
    <w:lvl w:ilvl="0" w:tentative="0">
      <w:start w:val="1"/>
      <w:numFmt w:val="chineseCountingThousand"/>
      <w:suff w:val="nothing"/>
      <w:lvlText w:val="第%1部分"/>
      <w:lvlJc w:val="center"/>
      <w:pPr>
        <w:ind w:firstLine="288"/>
      </w:pPr>
      <w:rPr>
        <w:rFonts w:hint="eastAsia" w:cs="Times New Roman"/>
        <w:sz w:val="28"/>
      </w:rPr>
    </w:lvl>
    <w:lvl w:ilvl="1" w:tentative="0">
      <w:start w:val="1"/>
      <w:numFmt w:val="chineseCountingThousand"/>
      <w:pStyle w:val="57"/>
      <w:suff w:val="nothing"/>
      <w:lvlText w:val="%2、"/>
      <w:lvlJc w:val="left"/>
      <w:pPr>
        <w:ind w:left="210" w:firstLine="510"/>
      </w:pPr>
      <w:rPr>
        <w:rFonts w:hint="eastAsia" w:ascii="宋体" w:hAnsi="宋体" w:eastAsia="宋体" w:cs="Times New Roman"/>
        <w:sz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2">
    <w:nsid w:val="58EF15E5"/>
    <w:multiLevelType w:val="multilevel"/>
    <w:tmpl w:val="58EF15E5"/>
    <w:lvl w:ilvl="0" w:tentative="0">
      <w:start w:val="1"/>
      <w:numFmt w:val="decimal"/>
      <w:lvlText w:val="%1"/>
      <w:lvlJc w:val="left"/>
      <w:pPr>
        <w:ind w:left="1000" w:hanging="432"/>
      </w:pPr>
      <w:rPr>
        <w:rFonts w:cs="Times New Roman"/>
      </w:rPr>
    </w:lvl>
    <w:lvl w:ilvl="1" w:tentative="0">
      <w:start w:val="1"/>
      <w:numFmt w:val="decimal"/>
      <w:lvlText w:val="%1.%2"/>
      <w:lvlJc w:val="left"/>
      <w:pPr>
        <w:ind w:left="1144" w:hanging="576"/>
      </w:pPr>
      <w:rPr>
        <w:rFonts w:cs="Times New Roman"/>
      </w:rPr>
    </w:lvl>
    <w:lvl w:ilvl="2" w:tentative="0">
      <w:start w:val="1"/>
      <w:numFmt w:val="decimal"/>
      <w:pStyle w:val="6"/>
      <w:lvlText w:val="%1.%2.%3"/>
      <w:lvlJc w:val="left"/>
      <w:pPr>
        <w:ind w:left="1288" w:hanging="720"/>
      </w:pPr>
      <w:rPr>
        <w:rFonts w:cs="Times New Roman"/>
      </w:rPr>
    </w:lvl>
    <w:lvl w:ilvl="3" w:tentative="0">
      <w:start w:val="1"/>
      <w:numFmt w:val="decimal"/>
      <w:lvlText w:val="%1.%2.%3.%4"/>
      <w:lvlJc w:val="left"/>
      <w:pPr>
        <w:ind w:left="1432" w:hanging="864"/>
      </w:pPr>
      <w:rPr>
        <w:rFonts w:cs="Times New Roman"/>
      </w:rPr>
    </w:lvl>
    <w:lvl w:ilvl="4" w:tentative="0">
      <w:start w:val="1"/>
      <w:numFmt w:val="decimal"/>
      <w:lvlText w:val="%1.%2.%3.%4.%5"/>
      <w:lvlJc w:val="left"/>
      <w:pPr>
        <w:ind w:left="1576" w:hanging="1008"/>
      </w:pPr>
      <w:rPr>
        <w:rFonts w:cs="Times New Roman"/>
      </w:rPr>
    </w:lvl>
    <w:lvl w:ilvl="5" w:tentative="0">
      <w:start w:val="1"/>
      <w:numFmt w:val="decimal"/>
      <w:lvlText w:val="%1.%2.%3.%4.%5.%6"/>
      <w:lvlJc w:val="left"/>
      <w:pPr>
        <w:ind w:left="1720" w:hanging="1152"/>
      </w:pPr>
      <w:rPr>
        <w:rFonts w:cs="Times New Roman"/>
      </w:rPr>
    </w:lvl>
    <w:lvl w:ilvl="6" w:tentative="0">
      <w:start w:val="1"/>
      <w:numFmt w:val="decimal"/>
      <w:lvlText w:val="%1.%2.%3.%4.%5.%6.%7"/>
      <w:lvlJc w:val="left"/>
      <w:pPr>
        <w:ind w:left="1864" w:hanging="1296"/>
      </w:pPr>
      <w:rPr>
        <w:rFonts w:cs="Times New Roman"/>
      </w:rPr>
    </w:lvl>
    <w:lvl w:ilvl="7" w:tentative="0">
      <w:start w:val="1"/>
      <w:numFmt w:val="decimal"/>
      <w:lvlText w:val="%1.%2.%3.%4.%5.%6.%7.%8"/>
      <w:lvlJc w:val="left"/>
      <w:pPr>
        <w:ind w:left="2008" w:hanging="1440"/>
      </w:pPr>
      <w:rPr>
        <w:rFonts w:cs="Times New Roman"/>
      </w:rPr>
    </w:lvl>
    <w:lvl w:ilvl="8" w:tentative="0">
      <w:start w:val="1"/>
      <w:numFmt w:val="decimal"/>
      <w:lvlText w:val="%1.%2.%3.%4.%5.%6.%7.%8.%9"/>
      <w:lvlJc w:val="left"/>
      <w:pPr>
        <w:ind w:left="2152" w:hanging="1584"/>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42"/>
    <w:rsid w:val="00017D78"/>
    <w:rsid w:val="000308FA"/>
    <w:rsid w:val="000368B4"/>
    <w:rsid w:val="00061F70"/>
    <w:rsid w:val="00071277"/>
    <w:rsid w:val="000829D2"/>
    <w:rsid w:val="0008782F"/>
    <w:rsid w:val="00091FCB"/>
    <w:rsid w:val="000947CC"/>
    <w:rsid w:val="000B4014"/>
    <w:rsid w:val="000F677E"/>
    <w:rsid w:val="001C5DF1"/>
    <w:rsid w:val="001D0276"/>
    <w:rsid w:val="001E37A4"/>
    <w:rsid w:val="002079EF"/>
    <w:rsid w:val="00207A7C"/>
    <w:rsid w:val="00224496"/>
    <w:rsid w:val="002569C7"/>
    <w:rsid w:val="00265F89"/>
    <w:rsid w:val="00271DC6"/>
    <w:rsid w:val="00287DD0"/>
    <w:rsid w:val="002D7053"/>
    <w:rsid w:val="002E473E"/>
    <w:rsid w:val="002E7989"/>
    <w:rsid w:val="003402AD"/>
    <w:rsid w:val="00353F93"/>
    <w:rsid w:val="00387EEF"/>
    <w:rsid w:val="003B56BA"/>
    <w:rsid w:val="003C1CC4"/>
    <w:rsid w:val="003F19AA"/>
    <w:rsid w:val="004112B3"/>
    <w:rsid w:val="00413FB4"/>
    <w:rsid w:val="00451676"/>
    <w:rsid w:val="0045754D"/>
    <w:rsid w:val="00473F28"/>
    <w:rsid w:val="00482F84"/>
    <w:rsid w:val="00494E40"/>
    <w:rsid w:val="004A00DF"/>
    <w:rsid w:val="00516B75"/>
    <w:rsid w:val="00537834"/>
    <w:rsid w:val="00567E25"/>
    <w:rsid w:val="0059613E"/>
    <w:rsid w:val="005A0E0B"/>
    <w:rsid w:val="00616BF0"/>
    <w:rsid w:val="006759D8"/>
    <w:rsid w:val="00677C82"/>
    <w:rsid w:val="006A50B9"/>
    <w:rsid w:val="006B6D62"/>
    <w:rsid w:val="006C1A21"/>
    <w:rsid w:val="006C41A9"/>
    <w:rsid w:val="0070706F"/>
    <w:rsid w:val="007346F0"/>
    <w:rsid w:val="00735542"/>
    <w:rsid w:val="00743B25"/>
    <w:rsid w:val="007940B7"/>
    <w:rsid w:val="00794D63"/>
    <w:rsid w:val="007A2B92"/>
    <w:rsid w:val="007C6667"/>
    <w:rsid w:val="007D4F86"/>
    <w:rsid w:val="007D7A45"/>
    <w:rsid w:val="008148BB"/>
    <w:rsid w:val="00816494"/>
    <w:rsid w:val="00834313"/>
    <w:rsid w:val="008448BC"/>
    <w:rsid w:val="008A70A8"/>
    <w:rsid w:val="008D19B3"/>
    <w:rsid w:val="008E60AD"/>
    <w:rsid w:val="009539A5"/>
    <w:rsid w:val="009802F5"/>
    <w:rsid w:val="00A5343E"/>
    <w:rsid w:val="00A72B21"/>
    <w:rsid w:val="00AB0D01"/>
    <w:rsid w:val="00AF3200"/>
    <w:rsid w:val="00AF3212"/>
    <w:rsid w:val="00B66924"/>
    <w:rsid w:val="00B90B0D"/>
    <w:rsid w:val="00BB207E"/>
    <w:rsid w:val="00BD5F97"/>
    <w:rsid w:val="00C25928"/>
    <w:rsid w:val="00C44F56"/>
    <w:rsid w:val="00C45A0B"/>
    <w:rsid w:val="00C517AC"/>
    <w:rsid w:val="00C53497"/>
    <w:rsid w:val="00C72E8A"/>
    <w:rsid w:val="00C74525"/>
    <w:rsid w:val="00C91C8C"/>
    <w:rsid w:val="00C97F09"/>
    <w:rsid w:val="00CD2308"/>
    <w:rsid w:val="00CE4DD8"/>
    <w:rsid w:val="00DE2C58"/>
    <w:rsid w:val="00DE4F2C"/>
    <w:rsid w:val="00DE69F6"/>
    <w:rsid w:val="00DF0E7A"/>
    <w:rsid w:val="00DF1408"/>
    <w:rsid w:val="00EA515A"/>
    <w:rsid w:val="00EA768C"/>
    <w:rsid w:val="00ED0336"/>
    <w:rsid w:val="00F12FF2"/>
    <w:rsid w:val="00F5352E"/>
    <w:rsid w:val="00F94855"/>
    <w:rsid w:val="00F9632C"/>
    <w:rsid w:val="00FA363C"/>
    <w:rsid w:val="00FB0A80"/>
    <w:rsid w:val="00FB5B42"/>
    <w:rsid w:val="01F414B4"/>
    <w:rsid w:val="02A75A2F"/>
    <w:rsid w:val="030D0A3B"/>
    <w:rsid w:val="03CB1463"/>
    <w:rsid w:val="06517CC4"/>
    <w:rsid w:val="065214AD"/>
    <w:rsid w:val="06DC1219"/>
    <w:rsid w:val="07BE4F65"/>
    <w:rsid w:val="0938791F"/>
    <w:rsid w:val="0AC349F5"/>
    <w:rsid w:val="0B2505E5"/>
    <w:rsid w:val="0BBB716D"/>
    <w:rsid w:val="0E224214"/>
    <w:rsid w:val="0F46678A"/>
    <w:rsid w:val="0FA73C2E"/>
    <w:rsid w:val="10C3389D"/>
    <w:rsid w:val="11B306FC"/>
    <w:rsid w:val="143A1615"/>
    <w:rsid w:val="153A7DDC"/>
    <w:rsid w:val="1675233D"/>
    <w:rsid w:val="169019C0"/>
    <w:rsid w:val="18745D44"/>
    <w:rsid w:val="18F23E95"/>
    <w:rsid w:val="1902571B"/>
    <w:rsid w:val="192666FE"/>
    <w:rsid w:val="19FE6B23"/>
    <w:rsid w:val="1B303F25"/>
    <w:rsid w:val="1B553395"/>
    <w:rsid w:val="1BC711A3"/>
    <w:rsid w:val="1E2620D9"/>
    <w:rsid w:val="1E566507"/>
    <w:rsid w:val="1E916985"/>
    <w:rsid w:val="20447FAB"/>
    <w:rsid w:val="25531020"/>
    <w:rsid w:val="258A1E16"/>
    <w:rsid w:val="25B03293"/>
    <w:rsid w:val="268F56D5"/>
    <w:rsid w:val="2768295D"/>
    <w:rsid w:val="277D4AD4"/>
    <w:rsid w:val="28B10073"/>
    <w:rsid w:val="29CB02A5"/>
    <w:rsid w:val="29FA1029"/>
    <w:rsid w:val="2A9B53EF"/>
    <w:rsid w:val="2B6E0F9C"/>
    <w:rsid w:val="2DBF5D06"/>
    <w:rsid w:val="2E111FD6"/>
    <w:rsid w:val="2E766110"/>
    <w:rsid w:val="2F151E6A"/>
    <w:rsid w:val="2F763D93"/>
    <w:rsid w:val="30904EE7"/>
    <w:rsid w:val="30B238F3"/>
    <w:rsid w:val="313B1FCB"/>
    <w:rsid w:val="31686C86"/>
    <w:rsid w:val="31AB56DB"/>
    <w:rsid w:val="33582B2F"/>
    <w:rsid w:val="338162AC"/>
    <w:rsid w:val="33E1355C"/>
    <w:rsid w:val="33EA131F"/>
    <w:rsid w:val="348C1B57"/>
    <w:rsid w:val="34F53AF5"/>
    <w:rsid w:val="36746A83"/>
    <w:rsid w:val="38266F21"/>
    <w:rsid w:val="39102AD3"/>
    <w:rsid w:val="39110DBC"/>
    <w:rsid w:val="39A2321F"/>
    <w:rsid w:val="3C0C7426"/>
    <w:rsid w:val="3D5808D6"/>
    <w:rsid w:val="3D8F3D2D"/>
    <w:rsid w:val="3E5B7F90"/>
    <w:rsid w:val="3F257287"/>
    <w:rsid w:val="3F3C365F"/>
    <w:rsid w:val="40F12F6E"/>
    <w:rsid w:val="42F65AF6"/>
    <w:rsid w:val="44853E90"/>
    <w:rsid w:val="45552EA8"/>
    <w:rsid w:val="457D1874"/>
    <w:rsid w:val="461852D3"/>
    <w:rsid w:val="4648457E"/>
    <w:rsid w:val="464B22AE"/>
    <w:rsid w:val="485769AA"/>
    <w:rsid w:val="493C469C"/>
    <w:rsid w:val="49D33B38"/>
    <w:rsid w:val="4A154AFB"/>
    <w:rsid w:val="4B2D40CD"/>
    <w:rsid w:val="4BB56F0A"/>
    <w:rsid w:val="4EAA70D2"/>
    <w:rsid w:val="4FA961F0"/>
    <w:rsid w:val="4FE3680F"/>
    <w:rsid w:val="51383370"/>
    <w:rsid w:val="518A6C43"/>
    <w:rsid w:val="5349025B"/>
    <w:rsid w:val="54010CFD"/>
    <w:rsid w:val="542D71A1"/>
    <w:rsid w:val="54760F75"/>
    <w:rsid w:val="54EE1018"/>
    <w:rsid w:val="552228A5"/>
    <w:rsid w:val="57EE5FC5"/>
    <w:rsid w:val="58211B30"/>
    <w:rsid w:val="588B53F2"/>
    <w:rsid w:val="589F542E"/>
    <w:rsid w:val="59574DEC"/>
    <w:rsid w:val="5B28127D"/>
    <w:rsid w:val="5CF1577E"/>
    <w:rsid w:val="5EBF03DA"/>
    <w:rsid w:val="5F235C6A"/>
    <w:rsid w:val="5FD41FD7"/>
    <w:rsid w:val="60851948"/>
    <w:rsid w:val="60F2538D"/>
    <w:rsid w:val="638C19DA"/>
    <w:rsid w:val="64680542"/>
    <w:rsid w:val="64803ACD"/>
    <w:rsid w:val="67CF73FB"/>
    <w:rsid w:val="68283310"/>
    <w:rsid w:val="6AB222AA"/>
    <w:rsid w:val="6DE349C9"/>
    <w:rsid w:val="6E6878FE"/>
    <w:rsid w:val="6EBF366E"/>
    <w:rsid w:val="6F064D22"/>
    <w:rsid w:val="70BE6EC7"/>
    <w:rsid w:val="711F4B19"/>
    <w:rsid w:val="73D716AD"/>
    <w:rsid w:val="74055E75"/>
    <w:rsid w:val="75FF4796"/>
    <w:rsid w:val="76517859"/>
    <w:rsid w:val="76AB0D89"/>
    <w:rsid w:val="7DBB40FB"/>
    <w:rsid w:val="7DBE1B75"/>
    <w:rsid w:val="7F315E9C"/>
    <w:rsid w:val="7F5A4059"/>
    <w:rsid w:val="7FDD6A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semiHidden="0" w:name="heading 4"/>
    <w:lsdException w:qFormat="1" w:uiPriority="9" w:name="heading 5"/>
    <w:lsdException w:qFormat="1" w:unhideWhenUsed="0" w:uiPriority="99" w:semiHidden="0" w:name="heading 6" w:locked="1"/>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9"/>
    <w:qFormat/>
    <w:uiPriority w:val="99"/>
    <w:pPr>
      <w:keepNext/>
      <w:keepLines/>
      <w:numPr>
        <w:ilvl w:val="0"/>
        <w:numId w:val="1"/>
      </w:numPr>
      <w:spacing w:before="340" w:after="330" w:line="578" w:lineRule="atLeast"/>
      <w:outlineLvl w:val="0"/>
    </w:pPr>
    <w:rPr>
      <w:b/>
      <w:kern w:val="44"/>
      <w:sz w:val="44"/>
    </w:rPr>
  </w:style>
  <w:style w:type="paragraph" w:styleId="5">
    <w:name w:val="heading 2"/>
    <w:basedOn w:val="1"/>
    <w:next w:val="1"/>
    <w:link w:val="70"/>
    <w:qFormat/>
    <w:uiPriority w:val="99"/>
    <w:pPr>
      <w:keepNext/>
      <w:keepLines/>
      <w:numPr>
        <w:ilvl w:val="1"/>
        <w:numId w:val="1"/>
      </w:numPr>
      <w:spacing w:before="260" w:after="260" w:line="416" w:lineRule="atLeast"/>
      <w:outlineLvl w:val="1"/>
    </w:pPr>
    <w:rPr>
      <w:rFonts w:ascii="Arial" w:hAnsi="Arial" w:eastAsia="黑体"/>
      <w:b/>
      <w:kern w:val="0"/>
      <w:sz w:val="32"/>
    </w:rPr>
  </w:style>
  <w:style w:type="paragraph" w:styleId="6">
    <w:name w:val="heading 3"/>
    <w:basedOn w:val="1"/>
    <w:next w:val="1"/>
    <w:link w:val="71"/>
    <w:qFormat/>
    <w:uiPriority w:val="0"/>
    <w:pPr>
      <w:keepNext/>
      <w:keepLines/>
      <w:numPr>
        <w:ilvl w:val="2"/>
        <w:numId w:val="2"/>
      </w:numPr>
      <w:spacing w:before="240" w:after="120" w:line="360" w:lineRule="auto"/>
      <w:ind w:left="1287"/>
      <w:outlineLvl w:val="2"/>
    </w:pPr>
    <w:rPr>
      <w:b/>
      <w:kern w:val="0"/>
      <w:sz w:val="32"/>
    </w:rPr>
  </w:style>
  <w:style w:type="paragraph" w:styleId="7">
    <w:name w:val="heading 4"/>
    <w:basedOn w:val="1"/>
    <w:next w:val="1"/>
    <w:link w:val="100"/>
    <w:unhideWhenUsed/>
    <w:qFormat/>
    <w:uiPriority w:val="9"/>
    <w:pPr>
      <w:keepNext/>
      <w:keepLines/>
      <w:spacing w:before="280" w:after="290" w:line="376" w:lineRule="auto"/>
      <w:outlineLvl w:val="3"/>
    </w:pPr>
    <w:rPr>
      <w:rFonts w:ascii="Cambria" w:hAnsi="Cambria"/>
      <w:b/>
      <w:bCs/>
      <w:kern w:val="0"/>
      <w:sz w:val="28"/>
      <w:szCs w:val="28"/>
    </w:rPr>
  </w:style>
  <w:style w:type="paragraph" w:styleId="8">
    <w:name w:val="heading 6"/>
    <w:basedOn w:val="1"/>
    <w:next w:val="1"/>
    <w:link w:val="72"/>
    <w:qFormat/>
    <w:locked/>
    <w:uiPriority w:val="99"/>
    <w:pPr>
      <w:keepNext/>
      <w:keepLines/>
      <w:spacing w:before="240" w:after="64" w:line="320" w:lineRule="auto"/>
      <w:outlineLvl w:val="5"/>
    </w:pPr>
    <w:rPr>
      <w:rFonts w:ascii="Cambria" w:hAnsi="Cambria"/>
      <w:b/>
      <w:bCs/>
      <w:kern w:val="0"/>
      <w:sz w:val="24"/>
      <w:szCs w:val="24"/>
    </w:rPr>
  </w:style>
  <w:style w:type="character" w:default="1" w:styleId="28">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link w:val="85"/>
    <w:qFormat/>
    <w:uiPriority w:val="99"/>
    <w:pPr>
      <w:spacing w:after="120" w:line="480" w:lineRule="auto"/>
    </w:pPr>
    <w:rPr>
      <w:kern w:val="0"/>
      <w:sz w:val="20"/>
    </w:rPr>
  </w:style>
  <w:style w:type="paragraph" w:styleId="9">
    <w:name w:val="annotation subject"/>
    <w:basedOn w:val="10"/>
    <w:next w:val="10"/>
    <w:link w:val="74"/>
    <w:qFormat/>
    <w:uiPriority w:val="99"/>
    <w:rPr>
      <w:b/>
    </w:rPr>
  </w:style>
  <w:style w:type="paragraph" w:styleId="10">
    <w:name w:val="annotation text"/>
    <w:basedOn w:val="1"/>
    <w:link w:val="73"/>
    <w:qFormat/>
    <w:uiPriority w:val="99"/>
    <w:pPr>
      <w:jc w:val="left"/>
    </w:pPr>
  </w:style>
  <w:style w:type="paragraph" w:styleId="11">
    <w:name w:val="Normal Indent"/>
    <w:basedOn w:val="1"/>
    <w:qFormat/>
    <w:uiPriority w:val="0"/>
    <w:pPr>
      <w:adjustRightInd w:val="0"/>
      <w:spacing w:line="360" w:lineRule="atLeast"/>
      <w:ind w:firstLine="420"/>
      <w:jc w:val="left"/>
      <w:textAlignment w:val="baseline"/>
    </w:pPr>
    <w:rPr>
      <w:kern w:val="0"/>
      <w:sz w:val="24"/>
    </w:rPr>
  </w:style>
  <w:style w:type="paragraph" w:styleId="12">
    <w:name w:val="Document Map"/>
    <w:basedOn w:val="1"/>
    <w:link w:val="75"/>
    <w:qFormat/>
    <w:uiPriority w:val="99"/>
    <w:rPr>
      <w:rFonts w:ascii="宋体"/>
      <w:sz w:val="18"/>
    </w:rPr>
  </w:style>
  <w:style w:type="paragraph" w:styleId="13">
    <w:name w:val="Body Text 3"/>
    <w:basedOn w:val="1"/>
    <w:link w:val="76"/>
    <w:qFormat/>
    <w:uiPriority w:val="99"/>
    <w:pPr>
      <w:spacing w:after="120"/>
    </w:pPr>
    <w:rPr>
      <w:sz w:val="16"/>
      <w:szCs w:val="16"/>
    </w:rPr>
  </w:style>
  <w:style w:type="paragraph" w:styleId="14">
    <w:name w:val="Body Text Indent"/>
    <w:basedOn w:val="1"/>
    <w:link w:val="77"/>
    <w:qFormat/>
    <w:uiPriority w:val="99"/>
    <w:pPr>
      <w:spacing w:after="120"/>
      <w:ind w:left="420" w:leftChars="200"/>
    </w:pPr>
    <w:rPr>
      <w:kern w:val="0"/>
      <w:sz w:val="20"/>
    </w:rPr>
  </w:style>
  <w:style w:type="paragraph" w:styleId="15">
    <w:name w:val="List 2"/>
    <w:basedOn w:val="1"/>
    <w:qFormat/>
    <w:uiPriority w:val="99"/>
    <w:pPr>
      <w:ind w:left="100" w:leftChars="200" w:hanging="200" w:hangingChars="200"/>
    </w:pPr>
  </w:style>
  <w:style w:type="paragraph" w:styleId="16">
    <w:name w:val="toc 3"/>
    <w:basedOn w:val="1"/>
    <w:next w:val="1"/>
    <w:qFormat/>
    <w:uiPriority w:val="99"/>
    <w:pPr>
      <w:ind w:left="840" w:leftChars="400"/>
    </w:pPr>
  </w:style>
  <w:style w:type="paragraph" w:styleId="17">
    <w:name w:val="Plain Text"/>
    <w:basedOn w:val="1"/>
    <w:link w:val="78"/>
    <w:qFormat/>
    <w:uiPriority w:val="0"/>
    <w:rPr>
      <w:rFonts w:ascii="宋体" w:hAnsi="Courier New"/>
      <w:kern w:val="0"/>
      <w:szCs w:val="21"/>
    </w:rPr>
  </w:style>
  <w:style w:type="paragraph" w:styleId="18">
    <w:name w:val="Date"/>
    <w:basedOn w:val="1"/>
    <w:next w:val="1"/>
    <w:link w:val="79"/>
    <w:qFormat/>
    <w:uiPriority w:val="99"/>
    <w:pPr>
      <w:adjustRightInd w:val="0"/>
      <w:spacing w:line="360" w:lineRule="atLeast"/>
      <w:textAlignment w:val="baseline"/>
    </w:pPr>
    <w:rPr>
      <w:kern w:val="0"/>
      <w:sz w:val="20"/>
    </w:rPr>
  </w:style>
  <w:style w:type="paragraph" w:styleId="19">
    <w:name w:val="Body Text Indent 2"/>
    <w:basedOn w:val="1"/>
    <w:link w:val="80"/>
    <w:qFormat/>
    <w:uiPriority w:val="99"/>
    <w:pPr>
      <w:spacing w:after="120" w:line="480" w:lineRule="auto"/>
      <w:ind w:left="420" w:leftChars="200"/>
    </w:pPr>
    <w:rPr>
      <w:kern w:val="0"/>
      <w:sz w:val="20"/>
    </w:rPr>
  </w:style>
  <w:style w:type="paragraph" w:styleId="20">
    <w:name w:val="Balloon Text"/>
    <w:basedOn w:val="1"/>
    <w:link w:val="87"/>
    <w:qFormat/>
    <w:uiPriority w:val="99"/>
    <w:rPr>
      <w:sz w:val="18"/>
      <w:szCs w:val="18"/>
    </w:rPr>
  </w:style>
  <w:style w:type="paragraph" w:styleId="21">
    <w:name w:val="footer"/>
    <w:basedOn w:val="1"/>
    <w:link w:val="98"/>
    <w:qFormat/>
    <w:uiPriority w:val="99"/>
    <w:pPr>
      <w:tabs>
        <w:tab w:val="center" w:pos="4153"/>
        <w:tab w:val="right" w:pos="8306"/>
      </w:tabs>
      <w:snapToGrid w:val="0"/>
      <w:jc w:val="left"/>
    </w:pPr>
    <w:rPr>
      <w:sz w:val="18"/>
    </w:rPr>
  </w:style>
  <w:style w:type="paragraph" w:styleId="22">
    <w:name w:val="header"/>
    <w:basedOn w:val="1"/>
    <w:link w:val="8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qFormat/>
    <w:uiPriority w:val="39"/>
  </w:style>
  <w:style w:type="paragraph" w:styleId="24">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25">
    <w:name w:val="toc 2"/>
    <w:basedOn w:val="1"/>
    <w:next w:val="1"/>
    <w:qFormat/>
    <w:uiPriority w:val="39"/>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86"/>
    <w:qFormat/>
    <w:uiPriority w:val="99"/>
    <w:pPr>
      <w:spacing w:before="240" w:after="60"/>
      <w:jc w:val="center"/>
      <w:outlineLvl w:val="0"/>
    </w:pPr>
    <w:rPr>
      <w:rFonts w:ascii="Cambria" w:hAnsi="Cambria"/>
      <w:b/>
      <w:sz w:val="32"/>
    </w:rPr>
  </w:style>
  <w:style w:type="character" w:styleId="29">
    <w:name w:val="Strong"/>
    <w:qFormat/>
    <w:uiPriority w:val="22"/>
    <w:rPr>
      <w:rFonts w:cs="Times New Roman"/>
      <w:b/>
    </w:rPr>
  </w:style>
  <w:style w:type="character" w:styleId="30">
    <w:name w:val="page number"/>
    <w:qFormat/>
    <w:uiPriority w:val="99"/>
    <w:rPr>
      <w:rFonts w:cs="Times New Roman"/>
    </w:rPr>
  </w:style>
  <w:style w:type="character" w:styleId="31">
    <w:name w:val="FollowedHyperlink"/>
    <w:qFormat/>
    <w:uiPriority w:val="99"/>
    <w:rPr>
      <w:rFonts w:cs="Times New Roman"/>
      <w:color w:val="FF6600"/>
      <w:u w:val="single"/>
    </w:rPr>
  </w:style>
  <w:style w:type="character" w:styleId="32">
    <w:name w:val="Emphasis"/>
    <w:qFormat/>
    <w:uiPriority w:val="99"/>
    <w:rPr>
      <w:rFonts w:cs="Times New Roman"/>
    </w:rPr>
  </w:style>
  <w:style w:type="character" w:styleId="33">
    <w:name w:val="HTML Definition"/>
    <w:qFormat/>
    <w:uiPriority w:val="99"/>
    <w:rPr>
      <w:rFonts w:cs="Times New Roman"/>
    </w:rPr>
  </w:style>
  <w:style w:type="character" w:styleId="34">
    <w:name w:val="HTML Acronym"/>
    <w:basedOn w:val="28"/>
    <w:unhideWhenUsed/>
    <w:qFormat/>
    <w:uiPriority w:val="99"/>
  </w:style>
  <w:style w:type="character" w:styleId="35">
    <w:name w:val="HTML Variable"/>
    <w:qFormat/>
    <w:uiPriority w:val="99"/>
    <w:rPr>
      <w:rFonts w:cs="Times New Roman"/>
    </w:rPr>
  </w:style>
  <w:style w:type="character" w:styleId="36">
    <w:name w:val="Hyperlink"/>
    <w:qFormat/>
    <w:uiPriority w:val="99"/>
    <w:rPr>
      <w:rFonts w:cs="Times New Roman"/>
      <w:color w:val="000000"/>
      <w:u w:val="none"/>
    </w:rPr>
  </w:style>
  <w:style w:type="character" w:styleId="37">
    <w:name w:val="HTML Code"/>
    <w:qFormat/>
    <w:uiPriority w:val="99"/>
    <w:rPr>
      <w:rFonts w:ascii="Courier New" w:hAnsi="Courier New" w:cs="Times New Roman"/>
      <w:sz w:val="20"/>
    </w:rPr>
  </w:style>
  <w:style w:type="character" w:styleId="38">
    <w:name w:val="annotation reference"/>
    <w:qFormat/>
    <w:uiPriority w:val="99"/>
    <w:rPr>
      <w:rFonts w:cs="Times New Roman"/>
      <w:sz w:val="21"/>
    </w:rPr>
  </w:style>
  <w:style w:type="character" w:styleId="39">
    <w:name w:val="HTML Cite"/>
    <w:qFormat/>
    <w:uiPriority w:val="99"/>
    <w:rPr>
      <w:rFonts w:cs="Times New Roman"/>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样式4"/>
    <w:basedOn w:val="22"/>
    <w:link w:val="97"/>
    <w:qFormat/>
    <w:uiPriority w:val="99"/>
    <w:pPr>
      <w:pBdr>
        <w:top w:val="none" w:color="auto" w:sz="0" w:space="0"/>
        <w:left w:val="none" w:color="auto" w:sz="0" w:space="0"/>
        <w:bottom w:val="none" w:color="auto" w:sz="0" w:space="0"/>
        <w:right w:val="none" w:color="auto" w:sz="0" w:space="0"/>
      </w:pBdr>
    </w:pPr>
  </w:style>
  <w:style w:type="paragraph" w:customStyle="1" w:styleId="43">
    <w:name w:val="mt2"/>
    <w:basedOn w:val="1"/>
    <w:qFormat/>
    <w:uiPriority w:val="99"/>
    <w:pPr>
      <w:spacing w:before="300"/>
      <w:jc w:val="left"/>
    </w:pPr>
    <w:rPr>
      <w:kern w:val="0"/>
    </w:rPr>
  </w:style>
  <w:style w:type="paragraph" w:customStyle="1" w:styleId="44">
    <w:name w:val="列出段落1"/>
    <w:basedOn w:val="1"/>
    <w:qFormat/>
    <w:uiPriority w:val="99"/>
    <w:pPr>
      <w:ind w:firstLine="420" w:firstLineChars="200"/>
    </w:pPr>
    <w:rPr>
      <w:szCs w:val="24"/>
    </w:rPr>
  </w:style>
  <w:style w:type="paragraph" w:customStyle="1" w:styleId="45">
    <w:name w:val="_Style 43"/>
    <w:basedOn w:val="1"/>
    <w:qFormat/>
    <w:uiPriority w:val="99"/>
    <w:rPr>
      <w:szCs w:val="24"/>
    </w:rPr>
  </w:style>
  <w:style w:type="paragraph" w:customStyle="1" w:styleId="46">
    <w:name w:val="样式1"/>
    <w:basedOn w:val="1"/>
    <w:qFormat/>
    <w:uiPriority w:val="99"/>
    <w:rPr>
      <w:rFonts w:ascii="宋体" w:hAnsi="宋体"/>
    </w:rPr>
  </w:style>
  <w:style w:type="paragraph" w:customStyle="1" w:styleId="47">
    <w:name w:val="样式2"/>
    <w:basedOn w:val="1"/>
    <w:next w:val="46"/>
    <w:qFormat/>
    <w:uiPriority w:val="99"/>
  </w:style>
  <w:style w:type="paragraph" w:customStyle="1" w:styleId="48">
    <w:name w:val="TOC Heading1"/>
    <w:basedOn w:val="4"/>
    <w:next w:val="1"/>
    <w:qFormat/>
    <w:uiPriority w:val="9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49">
    <w:name w:val="列出段落11"/>
    <w:basedOn w:val="1"/>
    <w:qFormat/>
    <w:uiPriority w:val="99"/>
    <w:pPr>
      <w:widowControl/>
      <w:ind w:firstLine="420" w:firstLineChars="200"/>
      <w:jc w:val="left"/>
    </w:pPr>
    <w:rPr>
      <w:rFonts w:ascii="宋体" w:hAnsi="宋体" w:cs="黑体"/>
      <w:kern w:val="0"/>
      <w:sz w:val="24"/>
      <w:szCs w:val="24"/>
    </w:rPr>
  </w:style>
  <w:style w:type="paragraph" w:customStyle="1" w:styleId="50">
    <w:name w:val="Char1"/>
    <w:basedOn w:val="1"/>
    <w:qFormat/>
    <w:uiPriority w:val="99"/>
    <w:pPr>
      <w:widowControl/>
      <w:spacing w:after="160" w:line="240" w:lineRule="exact"/>
      <w:jc w:val="left"/>
    </w:pPr>
    <w:rPr>
      <w:rFonts w:ascii="Book Antiqua" w:hAnsi="Book Antiqua"/>
      <w:szCs w:val="24"/>
    </w:rPr>
  </w:style>
  <w:style w:type="paragraph" w:customStyle="1" w:styleId="51">
    <w:name w:val="样式 标题 1 + 四号 居中 段前: 12 磅 段后: 12 磅 行距: 单倍行距"/>
    <w:basedOn w:val="4"/>
    <w:qFormat/>
    <w:uiPriority w:val="99"/>
    <w:pPr>
      <w:spacing w:before="240" w:after="240" w:line="240" w:lineRule="auto"/>
      <w:jc w:val="center"/>
    </w:pPr>
    <w:rPr>
      <w:sz w:val="28"/>
    </w:rPr>
  </w:style>
  <w:style w:type="paragraph" w:customStyle="1" w:styleId="52">
    <w:name w:val="List Paragraph1"/>
    <w:basedOn w:val="1"/>
    <w:qFormat/>
    <w:uiPriority w:val="99"/>
    <w:pPr>
      <w:spacing w:line="360" w:lineRule="auto"/>
      <w:ind w:firstLine="420" w:firstLineChars="200"/>
    </w:pPr>
  </w:style>
  <w:style w:type="paragraph" w:customStyle="1" w:styleId="53">
    <w:name w:val="样式3"/>
    <w:basedOn w:val="23"/>
    <w:qFormat/>
    <w:uiPriority w:val="99"/>
  </w:style>
  <w:style w:type="paragraph" w:customStyle="1" w:styleId="54">
    <w:name w:val="默认段落字体 Para Char Char Char Char"/>
    <w:basedOn w:val="1"/>
    <w:qFormat/>
    <w:uiPriority w:val="99"/>
  </w:style>
  <w:style w:type="paragraph" w:customStyle="1" w:styleId="55">
    <w:name w:val="Char Char Char Char"/>
    <w:basedOn w:val="1"/>
    <w:qFormat/>
    <w:uiPriority w:val="99"/>
    <w:pPr>
      <w:spacing w:after="160" w:line="240" w:lineRule="exact"/>
    </w:pPr>
    <w:rPr>
      <w:rFonts w:ascii="Verdana" w:hAnsi="Verdana" w:eastAsia="仿宋_GB2312"/>
      <w:lang w:eastAsia="en-US"/>
    </w:rPr>
  </w:style>
  <w:style w:type="paragraph" w:customStyle="1" w:styleId="56">
    <w:name w:val="Table Paragraph"/>
    <w:basedOn w:val="1"/>
    <w:qFormat/>
    <w:uiPriority w:val="99"/>
    <w:rPr>
      <w:rFonts w:ascii="Calibri" w:hAnsi="Calibri"/>
      <w:kern w:val="0"/>
      <w:szCs w:val="22"/>
    </w:rPr>
  </w:style>
  <w:style w:type="paragraph" w:customStyle="1" w:styleId="57">
    <w:name w:val="样式 样式 样式 样式 标题 2 + 宋体 五号 非加粗 黑色 + 段前: 6 磅 段后: 0 磅 行距: 单倍行距 + 段前:..."/>
    <w:basedOn w:val="1"/>
    <w:qFormat/>
    <w:uiPriority w:val="99"/>
    <w:pPr>
      <w:keepNext/>
      <w:keepLines/>
      <w:numPr>
        <w:ilvl w:val="1"/>
        <w:numId w:val="3"/>
      </w:numPr>
      <w:spacing w:before="240"/>
      <w:outlineLvl w:val="1"/>
    </w:pPr>
    <w:rPr>
      <w:rFonts w:ascii="宋体" w:hAnsi="宋体"/>
      <w:b/>
      <w:color w:val="000000"/>
    </w:rPr>
  </w:style>
  <w:style w:type="paragraph" w:customStyle="1" w:styleId="58">
    <w:name w:val="列出段落2"/>
    <w:basedOn w:val="1"/>
    <w:qFormat/>
    <w:uiPriority w:val="99"/>
    <w:pPr>
      <w:widowControl/>
      <w:ind w:firstLine="420" w:firstLineChars="200"/>
      <w:jc w:val="left"/>
    </w:pPr>
    <w:rPr>
      <w:rFonts w:cs="宋体"/>
      <w:kern w:val="0"/>
      <w:sz w:val="24"/>
      <w:szCs w:val="24"/>
    </w:rPr>
  </w:style>
  <w:style w:type="paragraph" w:customStyle="1" w:styleId="59">
    <w:name w:val="0"/>
    <w:basedOn w:val="1"/>
    <w:qFormat/>
    <w:uiPriority w:val="99"/>
    <w:pPr>
      <w:snapToGrid w:val="0"/>
      <w:spacing w:line="365" w:lineRule="atLeast"/>
      <w:ind w:left="1"/>
      <w:textAlignment w:val="bottom"/>
    </w:pPr>
    <w:rPr>
      <w:kern w:val="0"/>
      <w:sz w:val="20"/>
    </w:rPr>
  </w:style>
  <w:style w:type="paragraph" w:customStyle="1" w:styleId="60">
    <w:name w:val="列出段落3"/>
    <w:basedOn w:val="1"/>
    <w:qFormat/>
    <w:uiPriority w:val="99"/>
    <w:pPr>
      <w:adjustRightInd w:val="0"/>
      <w:spacing w:line="360" w:lineRule="atLeast"/>
      <w:ind w:firstLine="200" w:firstLineChars="200"/>
      <w:jc w:val="left"/>
      <w:textAlignment w:val="baseline"/>
    </w:pPr>
    <w:rPr>
      <w:kern w:val="0"/>
    </w:rPr>
  </w:style>
  <w:style w:type="paragraph" w:customStyle="1" w:styleId="61">
    <w:name w:val="正文1"/>
    <w:qFormat/>
    <w:uiPriority w:val="99"/>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62">
    <w:name w:val="正文首行缩进两字符"/>
    <w:basedOn w:val="1"/>
    <w:qFormat/>
    <w:uiPriority w:val="99"/>
    <w:pPr>
      <w:spacing w:line="360" w:lineRule="auto"/>
      <w:ind w:firstLine="200" w:firstLineChars="200"/>
    </w:pPr>
    <w:rPr>
      <w:rFonts w:ascii="仿宋_GB2312" w:eastAsia="仿宋_GB2312"/>
      <w:sz w:val="32"/>
      <w:szCs w:val="32"/>
    </w:rPr>
  </w:style>
  <w:style w:type="paragraph" w:customStyle="1" w:styleId="6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List Paragraph11"/>
    <w:basedOn w:val="1"/>
    <w:qFormat/>
    <w:uiPriority w:val="99"/>
    <w:pPr>
      <w:ind w:firstLine="420" w:firstLineChars="200"/>
    </w:pPr>
    <w:rPr>
      <w:rFonts w:ascii="Calibri" w:hAnsi="Calibri"/>
      <w:szCs w:val="22"/>
    </w:rPr>
  </w:style>
  <w:style w:type="paragraph" w:customStyle="1" w:styleId="65">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p0"/>
    <w:basedOn w:val="1"/>
    <w:qFormat/>
    <w:uiPriority w:val="99"/>
    <w:pPr>
      <w:widowControl/>
    </w:pPr>
    <w:rPr>
      <w:kern w:val="0"/>
      <w:szCs w:val="24"/>
    </w:rPr>
  </w:style>
  <w:style w:type="paragraph" w:customStyle="1" w:styleId="67">
    <w:name w:val="列出段落4"/>
    <w:basedOn w:val="1"/>
    <w:qFormat/>
    <w:uiPriority w:val="34"/>
    <w:pPr>
      <w:ind w:firstLine="420" w:firstLineChars="200"/>
    </w:pPr>
    <w:rPr>
      <w:szCs w:val="24"/>
    </w:rPr>
  </w:style>
  <w:style w:type="paragraph" w:customStyle="1" w:styleId="68">
    <w:name w:val="无间隔1"/>
    <w:basedOn w:val="1"/>
    <w:qFormat/>
    <w:uiPriority w:val="1"/>
    <w:rPr>
      <w:rFonts w:ascii="等线" w:hAnsi="等线" w:eastAsia="等线"/>
      <w:szCs w:val="22"/>
    </w:rPr>
  </w:style>
  <w:style w:type="character" w:customStyle="1" w:styleId="69">
    <w:name w:val="标题 1 Char"/>
    <w:link w:val="4"/>
    <w:qFormat/>
    <w:uiPriority w:val="99"/>
    <w:rPr>
      <w:rFonts w:eastAsia="宋体" w:cs="Times New Roman"/>
      <w:b/>
      <w:kern w:val="44"/>
      <w:sz w:val="44"/>
      <w:lang w:val="en-US" w:eastAsia="zh-CN"/>
    </w:rPr>
  </w:style>
  <w:style w:type="character" w:customStyle="1" w:styleId="70">
    <w:name w:val="标题 2 Char"/>
    <w:link w:val="5"/>
    <w:qFormat/>
    <w:uiPriority w:val="99"/>
    <w:rPr>
      <w:rFonts w:ascii="Arial" w:hAnsi="Arial" w:eastAsia="黑体" w:cs="Times New Roman"/>
      <w:b/>
      <w:sz w:val="32"/>
      <w:lang w:val="en-US" w:eastAsia="zh-CN" w:bidi="ar-SA"/>
    </w:rPr>
  </w:style>
  <w:style w:type="character" w:customStyle="1" w:styleId="71">
    <w:name w:val="标题 3 Char"/>
    <w:link w:val="6"/>
    <w:qFormat/>
    <w:uiPriority w:val="0"/>
    <w:rPr>
      <w:rFonts w:cs="Times New Roman"/>
      <w:b/>
      <w:sz w:val="32"/>
    </w:rPr>
  </w:style>
  <w:style w:type="character" w:customStyle="1" w:styleId="72">
    <w:name w:val="标题 6 Char"/>
    <w:link w:val="8"/>
    <w:qFormat/>
    <w:uiPriority w:val="99"/>
    <w:rPr>
      <w:rFonts w:ascii="Cambria" w:hAnsi="Cambria" w:eastAsia="宋体" w:cs="Times New Roman"/>
      <w:b/>
      <w:bCs/>
      <w:sz w:val="24"/>
      <w:szCs w:val="24"/>
    </w:rPr>
  </w:style>
  <w:style w:type="character" w:customStyle="1" w:styleId="73">
    <w:name w:val="批注文字 Char"/>
    <w:link w:val="10"/>
    <w:qFormat/>
    <w:uiPriority w:val="99"/>
    <w:rPr>
      <w:rFonts w:cs="Times New Roman"/>
      <w:kern w:val="2"/>
      <w:sz w:val="21"/>
    </w:rPr>
  </w:style>
  <w:style w:type="character" w:customStyle="1" w:styleId="74">
    <w:name w:val="批注主题 Char"/>
    <w:link w:val="9"/>
    <w:qFormat/>
    <w:uiPriority w:val="99"/>
    <w:rPr>
      <w:rFonts w:cs="Times New Roman"/>
      <w:b/>
      <w:kern w:val="2"/>
      <w:sz w:val="21"/>
    </w:rPr>
  </w:style>
  <w:style w:type="character" w:customStyle="1" w:styleId="75">
    <w:name w:val="文档结构图 Char"/>
    <w:link w:val="12"/>
    <w:qFormat/>
    <w:uiPriority w:val="99"/>
    <w:rPr>
      <w:rFonts w:ascii="宋体" w:cs="Times New Roman"/>
      <w:kern w:val="2"/>
      <w:sz w:val="18"/>
    </w:rPr>
  </w:style>
  <w:style w:type="character" w:customStyle="1" w:styleId="76">
    <w:name w:val="正文文本 3 Char"/>
    <w:link w:val="13"/>
    <w:qFormat/>
    <w:uiPriority w:val="99"/>
    <w:rPr>
      <w:rFonts w:cs="Times New Roman"/>
      <w:kern w:val="2"/>
      <w:sz w:val="16"/>
      <w:szCs w:val="16"/>
    </w:rPr>
  </w:style>
  <w:style w:type="character" w:customStyle="1" w:styleId="77">
    <w:name w:val="正文文本缩进 Char"/>
    <w:link w:val="14"/>
    <w:qFormat/>
    <w:uiPriority w:val="99"/>
    <w:rPr>
      <w:rFonts w:cs="Times New Roman"/>
      <w:sz w:val="20"/>
      <w:szCs w:val="20"/>
    </w:rPr>
  </w:style>
  <w:style w:type="character" w:customStyle="1" w:styleId="78">
    <w:name w:val="纯文本 Char"/>
    <w:link w:val="17"/>
    <w:qFormat/>
    <w:uiPriority w:val="0"/>
    <w:rPr>
      <w:rFonts w:ascii="宋体" w:hAnsi="Courier New" w:cs="Courier New"/>
      <w:sz w:val="21"/>
      <w:szCs w:val="21"/>
    </w:rPr>
  </w:style>
  <w:style w:type="character" w:customStyle="1" w:styleId="79">
    <w:name w:val="日期 Char"/>
    <w:link w:val="18"/>
    <w:qFormat/>
    <w:uiPriority w:val="99"/>
    <w:rPr>
      <w:rFonts w:cs="Times New Roman"/>
      <w:sz w:val="20"/>
      <w:szCs w:val="20"/>
    </w:rPr>
  </w:style>
  <w:style w:type="character" w:customStyle="1" w:styleId="80">
    <w:name w:val="正文文本缩进 2 Char"/>
    <w:link w:val="19"/>
    <w:qFormat/>
    <w:uiPriority w:val="99"/>
    <w:rPr>
      <w:rFonts w:cs="Times New Roman"/>
      <w:sz w:val="20"/>
      <w:szCs w:val="20"/>
    </w:rPr>
  </w:style>
  <w:style w:type="character" w:customStyle="1" w:styleId="81">
    <w:name w:val="Balloon Text Char"/>
    <w:qFormat/>
    <w:locked/>
    <w:uiPriority w:val="99"/>
    <w:rPr>
      <w:rFonts w:cs="Times New Roman"/>
      <w:kern w:val="2"/>
      <w:sz w:val="18"/>
    </w:rPr>
  </w:style>
  <w:style w:type="character" w:customStyle="1" w:styleId="82">
    <w:name w:val="Footer Char"/>
    <w:qFormat/>
    <w:locked/>
    <w:uiPriority w:val="99"/>
    <w:rPr>
      <w:rFonts w:ascii="Times New Roman" w:hAnsi="Times New Roman" w:eastAsia="宋体" w:cs="Times New Roman"/>
      <w:kern w:val="2"/>
      <w:sz w:val="18"/>
      <w:szCs w:val="18"/>
    </w:rPr>
  </w:style>
  <w:style w:type="character" w:customStyle="1" w:styleId="83">
    <w:name w:val="页眉 Char"/>
    <w:link w:val="22"/>
    <w:qFormat/>
    <w:uiPriority w:val="99"/>
    <w:rPr>
      <w:rFonts w:eastAsia="宋体" w:cs="Times New Roman"/>
      <w:kern w:val="2"/>
      <w:sz w:val="18"/>
      <w:lang w:val="en-US" w:eastAsia="zh-CN" w:bidi="ar-SA"/>
    </w:rPr>
  </w:style>
  <w:style w:type="character" w:customStyle="1" w:styleId="84">
    <w:name w:val="副标题 Char"/>
    <w:link w:val="24"/>
    <w:qFormat/>
    <w:uiPriority w:val="99"/>
    <w:rPr>
      <w:rFonts w:ascii="Cambria" w:hAnsi="Cambria" w:cs="Times New Roman"/>
      <w:b/>
      <w:bCs/>
      <w:kern w:val="28"/>
      <w:sz w:val="32"/>
      <w:szCs w:val="32"/>
    </w:rPr>
  </w:style>
  <w:style w:type="character" w:customStyle="1" w:styleId="85">
    <w:name w:val="正文文本 2 Char"/>
    <w:link w:val="3"/>
    <w:qFormat/>
    <w:uiPriority w:val="99"/>
    <w:rPr>
      <w:rFonts w:cs="Times New Roman"/>
      <w:sz w:val="20"/>
      <w:szCs w:val="20"/>
    </w:rPr>
  </w:style>
  <w:style w:type="character" w:customStyle="1" w:styleId="86">
    <w:name w:val="标题 Char"/>
    <w:link w:val="27"/>
    <w:qFormat/>
    <w:uiPriority w:val="99"/>
    <w:rPr>
      <w:rFonts w:ascii="Cambria" w:hAnsi="Cambria" w:cs="Times New Roman"/>
      <w:b/>
      <w:kern w:val="2"/>
      <w:sz w:val="32"/>
    </w:rPr>
  </w:style>
  <w:style w:type="character" w:customStyle="1" w:styleId="87">
    <w:name w:val="批注框文本 Char"/>
    <w:link w:val="20"/>
    <w:qFormat/>
    <w:uiPriority w:val="99"/>
    <w:rPr>
      <w:rFonts w:ascii="Times New Roman" w:hAnsi="Times New Roman" w:eastAsia="宋体" w:cs="Times New Roman"/>
      <w:kern w:val="2"/>
      <w:sz w:val="18"/>
      <w:szCs w:val="18"/>
    </w:rPr>
  </w:style>
  <w:style w:type="character" w:customStyle="1" w:styleId="88">
    <w:name w:val="bg"/>
    <w:qFormat/>
    <w:uiPriority w:val="99"/>
    <w:rPr>
      <w:rFonts w:cs="Times New Roman"/>
    </w:rPr>
  </w:style>
  <w:style w:type="character" w:customStyle="1" w:styleId="89">
    <w:name w:val="font21"/>
    <w:qFormat/>
    <w:uiPriority w:val="99"/>
    <w:rPr>
      <w:rFonts w:ascii="宋体" w:hAnsi="宋体" w:eastAsia="宋体" w:cs="宋体"/>
      <w:color w:val="000000"/>
      <w:sz w:val="21"/>
      <w:szCs w:val="21"/>
      <w:u w:val="none"/>
    </w:rPr>
  </w:style>
  <w:style w:type="character" w:customStyle="1" w:styleId="90">
    <w:name w:val="font71"/>
    <w:qFormat/>
    <w:uiPriority w:val="99"/>
    <w:rPr>
      <w:rFonts w:ascii="BatangChe" w:hAnsi="BatangChe" w:eastAsia="BatangChe" w:cs="BatangChe"/>
      <w:color w:val="000000"/>
      <w:sz w:val="20"/>
      <w:szCs w:val="20"/>
      <w:u w:val="none"/>
    </w:rPr>
  </w:style>
  <w:style w:type="character" w:customStyle="1" w:styleId="91">
    <w:name w:val="font51"/>
    <w:qFormat/>
    <w:uiPriority w:val="99"/>
    <w:rPr>
      <w:rFonts w:ascii="宋体" w:hAnsi="宋体" w:eastAsia="宋体" w:cs="宋体"/>
      <w:color w:val="000000"/>
      <w:sz w:val="21"/>
      <w:szCs w:val="21"/>
      <w:u w:val="none"/>
    </w:rPr>
  </w:style>
  <w:style w:type="character" w:customStyle="1" w:styleId="92">
    <w:name w:val="font41"/>
    <w:qFormat/>
    <w:uiPriority w:val="99"/>
    <w:rPr>
      <w:rFonts w:ascii="宋体" w:hAnsi="宋体" w:eastAsia="宋体" w:cs="宋体"/>
      <w:color w:val="000000"/>
      <w:sz w:val="20"/>
      <w:szCs w:val="20"/>
      <w:u w:val="none"/>
    </w:rPr>
  </w:style>
  <w:style w:type="character" w:customStyle="1" w:styleId="93">
    <w:name w:val="标题 2李洪 Char"/>
    <w:qFormat/>
    <w:uiPriority w:val="99"/>
    <w:rPr>
      <w:rFonts w:ascii="宋体" w:hAnsi="宋体" w:eastAsia="宋体"/>
      <w:kern w:val="2"/>
      <w:sz w:val="24"/>
      <w:lang w:val="en-US" w:eastAsia="zh-CN"/>
    </w:rPr>
  </w:style>
  <w:style w:type="character" w:customStyle="1" w:styleId="94">
    <w:name w:val="font11"/>
    <w:qFormat/>
    <w:uiPriority w:val="99"/>
    <w:rPr>
      <w:rFonts w:ascii="Times New Roman" w:hAnsi="Times New Roman" w:cs="Times New Roman"/>
      <w:color w:val="000000"/>
      <w:sz w:val="21"/>
      <w:szCs w:val="21"/>
      <w:u w:val="none"/>
    </w:rPr>
  </w:style>
  <w:style w:type="character" w:customStyle="1" w:styleId="95">
    <w:name w:val="bg2"/>
    <w:qFormat/>
    <w:uiPriority w:val="99"/>
    <w:rPr>
      <w:rFonts w:cs="Times New Roman"/>
    </w:rPr>
  </w:style>
  <w:style w:type="character" w:customStyle="1" w:styleId="96">
    <w:name w:val="px_10"/>
    <w:qFormat/>
    <w:uiPriority w:val="99"/>
    <w:rPr>
      <w:rFonts w:cs="Times New Roman"/>
    </w:rPr>
  </w:style>
  <w:style w:type="character" w:customStyle="1" w:styleId="97">
    <w:name w:val="样式4 Char Char"/>
    <w:link w:val="42"/>
    <w:qFormat/>
    <w:locked/>
    <w:uiPriority w:val="99"/>
    <w:rPr>
      <w:rFonts w:eastAsia="宋体" w:cs="Times New Roman"/>
      <w:kern w:val="2"/>
      <w:sz w:val="18"/>
      <w:lang w:val="en-US" w:eastAsia="zh-CN" w:bidi="ar-SA"/>
    </w:rPr>
  </w:style>
  <w:style w:type="character" w:customStyle="1" w:styleId="98">
    <w:name w:val="页脚 Char"/>
    <w:link w:val="21"/>
    <w:qFormat/>
    <w:uiPriority w:val="99"/>
    <w:rPr>
      <w:rFonts w:eastAsia="宋体" w:cs="Times New Roman"/>
      <w:kern w:val="2"/>
      <w:sz w:val="18"/>
      <w:lang w:val="en-US" w:eastAsia="zh-CN" w:bidi="ar-SA"/>
    </w:rPr>
  </w:style>
  <w:style w:type="character" w:customStyle="1" w:styleId="99">
    <w:name w:val="font31"/>
    <w:qFormat/>
    <w:uiPriority w:val="99"/>
    <w:rPr>
      <w:rFonts w:ascii="Symbol" w:hAnsi="Symbol" w:cs="Symbol"/>
      <w:color w:val="000000"/>
      <w:sz w:val="20"/>
      <w:szCs w:val="20"/>
      <w:u w:val="none"/>
    </w:rPr>
  </w:style>
  <w:style w:type="character" w:customStyle="1" w:styleId="100">
    <w:name w:val="标题 4 Char"/>
    <w:link w:val="7"/>
    <w:qFormat/>
    <w:uiPriority w:val="9"/>
    <w:rPr>
      <w:rFonts w:ascii="Cambria" w:hAnsi="Cambria" w:eastAsia="宋体" w:cs="Times New Roman"/>
      <w:b/>
      <w:bCs/>
      <w:sz w:val="28"/>
      <w:szCs w:val="28"/>
    </w:rPr>
  </w:style>
  <w:style w:type="character" w:customStyle="1" w:styleId="101">
    <w:name w:val="disabled"/>
    <w:qFormat/>
    <w:uiPriority w:val="0"/>
    <w:rPr>
      <w:color w:val="DDDDDD"/>
      <w:bdr w:val="single" w:color="EEEEEE" w:sz="4" w:space="0"/>
    </w:rPr>
  </w:style>
  <w:style w:type="character" w:customStyle="1" w:styleId="102">
    <w:name w:val="current"/>
    <w:qFormat/>
    <w:uiPriority w:val="0"/>
    <w:rPr>
      <w:b/>
      <w:color w:val="FFFFFF"/>
      <w:bdr w:val="single" w:color="0079D6" w:sz="4" w:space="0"/>
      <w:shd w:val="clear" w:color="auto" w:fill="0079D6"/>
    </w:rPr>
  </w:style>
  <w:style w:type="character" w:customStyle="1" w:styleId="103">
    <w:name w:val="NormalCharacter"/>
    <w:semiHidden/>
    <w:qFormat/>
    <w:uiPriority w:val="99"/>
  </w:style>
  <w:style w:type="paragraph" w:customStyle="1" w:styleId="104">
    <w:name w:val="列出段落5"/>
    <w:basedOn w:val="1"/>
    <w:unhideWhenUsed/>
    <w:qFormat/>
    <w:uiPriority w:val="99"/>
    <w:pPr>
      <w:ind w:firstLine="420" w:firstLineChars="200"/>
    </w:pPr>
  </w:style>
  <w:style w:type="paragraph" w:styleId="105">
    <w:name w:val="List Paragraph"/>
    <w:basedOn w:val="1"/>
    <w:unhideWhenUsed/>
    <w:qFormat/>
    <w:uiPriority w:val="99"/>
    <w:pPr>
      <w:ind w:firstLine="420" w:firstLineChars="200"/>
    </w:pPr>
  </w:style>
  <w:style w:type="paragraph" w:styleId="106">
    <w:name w:val="No Spacing"/>
    <w:link w:val="107"/>
    <w:qFormat/>
    <w:uiPriority w:val="1"/>
    <w:rPr>
      <w:rFonts w:asciiTheme="minorHAnsi" w:hAnsiTheme="minorHAnsi" w:eastAsiaTheme="minorEastAsia" w:cstheme="minorBidi"/>
      <w:sz w:val="22"/>
      <w:szCs w:val="22"/>
      <w:lang w:val="en-US" w:eastAsia="zh-CN" w:bidi="ar-SA"/>
    </w:rPr>
  </w:style>
  <w:style w:type="character" w:customStyle="1" w:styleId="107">
    <w:name w:val="无间隔 Char"/>
    <w:basedOn w:val="28"/>
    <w:link w:val="106"/>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BC7D6-EFA6-4CA8-85B6-45FB090BB8F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55</Pages>
  <Words>4467</Words>
  <Characters>25467</Characters>
  <Lines>212</Lines>
  <Paragraphs>59</Paragraphs>
  <TotalTime>0</TotalTime>
  <ScaleCrop>false</ScaleCrop>
  <LinksUpToDate>false</LinksUpToDate>
  <CharactersWithSpaces>29875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2020-11-04T03:45:00Z</dcterms:created>
  <dc:creator>zw</dc:creator>
  <cp:lastModifiedBy>Administrator</cp:lastModifiedBy>
  <cp:lastPrinted>2021-07-29T00:22:00Z</cp:lastPrinted>
  <dcterms:modified xsi:type="dcterms:W3CDTF">2021-07-30T02:02:03Z</dcterms:modified>
  <dc:title>土地确权资料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