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outlineLvl w:val="0"/>
        <w:rPr>
          <w:rFonts w:hint="eastAsia" w:ascii="宋体" w:hAnsi="宋体" w:eastAsia="宋体" w:cs="宋体"/>
          <w:b/>
          <w:bCs/>
          <w:color w:val="000000"/>
          <w:kern w:val="0"/>
          <w:sz w:val="36"/>
          <w:szCs w:val="36"/>
        </w:rPr>
      </w:pPr>
      <w:r>
        <w:rPr>
          <w:rFonts w:hint="eastAsia" w:ascii="宋体" w:hAnsi="宋体" w:eastAsia="宋体" w:cs="宋体"/>
          <w:b/>
          <w:bCs/>
          <w:color w:val="000000"/>
          <w:kern w:val="0"/>
          <w:sz w:val="36"/>
          <w:szCs w:val="36"/>
        </w:rPr>
        <w:t>货物分项报价一览表</w:t>
      </w:r>
    </w:p>
    <w:p>
      <w:pPr>
        <w:widowControl/>
        <w:spacing w:line="360" w:lineRule="exact"/>
        <w:jc w:val="left"/>
        <w:rPr>
          <w:rFonts w:hint="eastAsia" w:ascii="宋体" w:hAnsi="宋体" w:eastAsia="宋体" w:cs="宋体"/>
          <w:i/>
          <w:kern w:val="0"/>
          <w:szCs w:val="21"/>
        </w:rPr>
      </w:pPr>
    </w:p>
    <w:tbl>
      <w:tblPr>
        <w:tblStyle w:val="8"/>
        <w:tblpPr w:leftFromText="180" w:rightFromText="180" w:vertAnchor="text" w:horzAnchor="page" w:tblpX="838" w:tblpY="355"/>
        <w:tblOverlap w:val="never"/>
        <w:tblW w:w="10151" w:type="dxa"/>
        <w:tblInd w:w="0" w:type="dxa"/>
        <w:tblLayout w:type="fixed"/>
        <w:tblCellMar>
          <w:top w:w="0" w:type="dxa"/>
          <w:left w:w="0" w:type="dxa"/>
          <w:bottom w:w="0" w:type="dxa"/>
          <w:right w:w="0" w:type="dxa"/>
        </w:tblCellMar>
      </w:tblPr>
      <w:tblGrid>
        <w:gridCol w:w="690"/>
        <w:gridCol w:w="885"/>
        <w:gridCol w:w="4365"/>
        <w:gridCol w:w="555"/>
        <w:gridCol w:w="720"/>
        <w:gridCol w:w="1110"/>
        <w:gridCol w:w="1065"/>
        <w:gridCol w:w="761"/>
      </w:tblGrid>
      <w:tr>
        <w:tblPrEx>
          <w:tblCellMar>
            <w:top w:w="0" w:type="dxa"/>
            <w:left w:w="0" w:type="dxa"/>
            <w:bottom w:w="0" w:type="dxa"/>
            <w:right w:w="0" w:type="dxa"/>
          </w:tblCellMar>
        </w:tblPrEx>
        <w:trPr>
          <w:cantSplit/>
          <w:trHeight w:val="540" w:hRule="atLeast"/>
        </w:trPr>
        <w:tc>
          <w:tcPr>
            <w:tcW w:w="10151" w:type="dxa"/>
            <w:gridSpan w:val="8"/>
            <w:noWrap w:val="0"/>
            <w:tcMar>
              <w:top w:w="20" w:type="dxa"/>
              <w:left w:w="20" w:type="dxa"/>
              <w:bottom w:w="0" w:type="dxa"/>
              <w:right w:w="20" w:type="dxa"/>
            </w:tcMar>
            <w:vAlign w:val="center"/>
          </w:tcPr>
          <w:p>
            <w:pPr>
              <w:rPr>
                <w:rFonts w:hint="eastAsia" w:ascii="宋体" w:hAnsi="宋体" w:eastAsia="宋体" w:cs="宋体"/>
                <w:sz w:val="21"/>
                <w:szCs w:val="21"/>
              </w:rPr>
            </w:pPr>
            <w:r>
              <w:rPr>
                <w:rFonts w:hint="eastAsia" w:ascii="宋体" w:hAnsi="宋体" w:eastAsia="宋体" w:cs="宋体"/>
                <w:sz w:val="21"/>
                <w:szCs w:val="21"/>
              </w:rPr>
              <w:t>投标商：（此处填名称并盖章）</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焦作海康威视网络科技有限公司</w:t>
            </w:r>
            <w:r>
              <w:rPr>
                <w:rFonts w:hint="eastAsia" w:ascii="宋体" w:hAnsi="宋体" w:eastAsia="宋体" w:cs="宋体"/>
                <w:sz w:val="21"/>
                <w:szCs w:val="21"/>
                <w:u w:val="single"/>
              </w:rPr>
              <w:t xml:space="preserve"> </w:t>
            </w:r>
          </w:p>
        </w:tc>
      </w:tr>
      <w:tr>
        <w:tblPrEx>
          <w:tblCellMar>
            <w:top w:w="0" w:type="dxa"/>
            <w:left w:w="0" w:type="dxa"/>
            <w:bottom w:w="0" w:type="dxa"/>
            <w:right w:w="0" w:type="dxa"/>
          </w:tblCellMar>
        </w:tblPrEx>
        <w:trPr>
          <w:cantSplit/>
          <w:trHeight w:val="469" w:hRule="atLeast"/>
        </w:trPr>
        <w:tc>
          <w:tcPr>
            <w:tcW w:w="10151" w:type="dxa"/>
            <w:gridSpan w:val="8"/>
            <w:noWrap w:val="0"/>
            <w:tcMar>
              <w:top w:w="20" w:type="dxa"/>
              <w:left w:w="20" w:type="dxa"/>
              <w:bottom w:w="0" w:type="dxa"/>
              <w:right w:w="20" w:type="dxa"/>
            </w:tcMar>
            <w:vAlign w:val="center"/>
          </w:tcPr>
          <w:p>
            <w:pPr>
              <w:rPr>
                <w:rFonts w:hint="eastAsia" w:ascii="宋体" w:hAnsi="宋体" w:eastAsia="宋体" w:cs="宋体"/>
                <w:sz w:val="21"/>
                <w:szCs w:val="21"/>
              </w:rPr>
            </w:pPr>
            <w:r>
              <w:rPr>
                <w:rFonts w:hint="eastAsia" w:ascii="宋体" w:hAnsi="宋体" w:eastAsia="宋体" w:cs="宋体"/>
                <w:sz w:val="21"/>
                <w:szCs w:val="21"/>
              </w:rPr>
              <w:t>项目：</w:t>
            </w:r>
            <w:r>
              <w:rPr>
                <w:rFonts w:hint="eastAsia" w:ascii="宋体" w:hAnsi="宋体" w:eastAsia="宋体" w:cs="宋体"/>
                <w:color w:val="000000"/>
                <w:sz w:val="21"/>
                <w:szCs w:val="21"/>
                <w:u w:val="single"/>
                <w:shd w:val="clear" w:color="auto" w:fill="FFFFFF"/>
                <w:lang w:eastAsia="zh-CN"/>
              </w:rPr>
              <w:t>温县公安局城区街道翻新修建后增加交通设施费用项目(二次）</w:t>
            </w:r>
            <w:r>
              <w:rPr>
                <w:rFonts w:hint="eastAsia" w:ascii="宋体" w:hAnsi="宋体" w:eastAsia="宋体" w:cs="宋体"/>
                <w:sz w:val="21"/>
                <w:szCs w:val="21"/>
              </w:rPr>
              <w:t>（此处填项目名称）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金额单位：元</w:t>
            </w:r>
          </w:p>
        </w:tc>
      </w:tr>
      <w:tr>
        <w:tblPrEx>
          <w:tblCellMar>
            <w:top w:w="0" w:type="dxa"/>
            <w:left w:w="0" w:type="dxa"/>
            <w:bottom w:w="0" w:type="dxa"/>
            <w:right w:w="0" w:type="dxa"/>
          </w:tblCellMar>
        </w:tblPrEx>
        <w:trPr>
          <w:trHeight w:val="518"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序号</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436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参数或要求</w:t>
            </w:r>
          </w:p>
        </w:tc>
        <w:tc>
          <w:tcPr>
            <w:tcW w:w="55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单位</w:t>
            </w:r>
          </w:p>
        </w:tc>
        <w:tc>
          <w:tcPr>
            <w:tcW w:w="72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宋体" w:hAnsi="宋体" w:eastAsia="宋体" w:cs="宋体"/>
                <w:sz w:val="21"/>
                <w:szCs w:val="21"/>
              </w:rPr>
              <w:t>数量</w:t>
            </w:r>
          </w:p>
        </w:tc>
        <w:tc>
          <w:tcPr>
            <w:tcW w:w="1110"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ind w:firstLine="210" w:firstLineChars="100"/>
              <w:jc w:val="both"/>
              <w:rPr>
                <w:rFonts w:hint="eastAsia" w:ascii="宋体" w:hAnsi="宋体" w:eastAsia="宋体" w:cs="宋体"/>
                <w:sz w:val="21"/>
                <w:szCs w:val="21"/>
              </w:rPr>
            </w:pPr>
            <w:r>
              <w:rPr>
                <w:rFonts w:hint="eastAsia" w:ascii="宋体" w:hAnsi="宋体" w:eastAsia="宋体" w:cs="宋体"/>
                <w:sz w:val="21"/>
                <w:szCs w:val="21"/>
              </w:rPr>
              <w:t>单价</w:t>
            </w:r>
          </w:p>
        </w:tc>
        <w:tc>
          <w:tcPr>
            <w:tcW w:w="1065"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ind w:firstLine="210" w:firstLineChars="100"/>
              <w:jc w:val="both"/>
              <w:rPr>
                <w:rFonts w:hint="eastAsia" w:ascii="宋体" w:hAnsi="宋体" w:eastAsia="宋体" w:cs="宋体"/>
                <w:sz w:val="21"/>
                <w:szCs w:val="21"/>
              </w:rPr>
            </w:pPr>
            <w:r>
              <w:rPr>
                <w:rFonts w:hint="eastAsia" w:ascii="宋体" w:hAnsi="宋体" w:eastAsia="宋体" w:cs="宋体"/>
                <w:sz w:val="21"/>
                <w:szCs w:val="21"/>
              </w:rPr>
              <w:t>合计</w:t>
            </w:r>
          </w:p>
        </w:tc>
        <w:tc>
          <w:tcPr>
            <w:tcW w:w="761" w:type="dxa"/>
            <w:tcBorders>
              <w:top w:val="single" w:color="auto" w:sz="4" w:space="0"/>
              <w:left w:val="nil"/>
              <w:bottom w:val="single" w:color="auto" w:sz="4" w:space="0"/>
              <w:right w:val="single" w:color="auto" w:sz="4" w:space="0"/>
            </w:tcBorders>
            <w:noWrap w:val="0"/>
            <w:tcMar>
              <w:top w:w="20" w:type="dxa"/>
              <w:left w:w="20" w:type="dxa"/>
              <w:bottom w:w="0" w:type="dxa"/>
              <w:right w:w="20" w:type="dxa"/>
            </w:tcMar>
            <w:vAlign w:val="center"/>
          </w:tcPr>
          <w:p>
            <w:pPr>
              <w:ind w:firstLine="210" w:firstLineChars="100"/>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CellMar>
            <w:top w:w="0" w:type="dxa"/>
            <w:left w:w="0" w:type="dxa"/>
            <w:bottom w:w="0" w:type="dxa"/>
            <w:right w:w="0" w:type="dxa"/>
          </w:tblCellMar>
        </w:tblPrEx>
        <w:trPr>
          <w:trHeight w:val="782"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900万像素高清电警抓拍单元</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iDS-TCE900-B</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包含摄像机、高清镜头、室外防护罩、内置补光灯、风扇、电源适配器、安装万向节等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像素：900W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分辨率：4096(H)*2160(V)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帧率：25fps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感光器件：两个1英寸全局曝光CMOS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镜头：专用镜头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码流：6144Kbps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接口协议：ONVIF(PROFILE S,PROFILE G),ISAPI ,GB28181，SDK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内部组件：LED补光灯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视频压缩标准：H.265/H.264/MJPEG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图像输出格式：JPEG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通讯接口：4个RS-485接口,1个RS-232接口；2个RJ45 10M/100M/1000M自适应以太网口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外部接口：7路（光耦隔离2500VAC/5V TTL 电平量），作为补光灯同步输出控制；一路继电器输出口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存储支持：支持TF卡（64G ），支持云存储协议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终端接入：支持终端服务器接入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工作电压：100VAC～240VAC；频率：48Hz～52Hz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功耗：＜20W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重量：5.2±0.5kg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外形尺寸（不含支架）：180mm(W)×152.7（H）×636mm(D)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工作环境温度：-30℃~+70℃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防护等级：IP65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智能功能，目标检测：机动车抓拍，车辆捕获率99%（线圈）车辆捕获率95%（视频），非机动抓拍，行人抓拍；违章检测：压线、逆行、闯红灯、不按导向行驶、违法变道、路口停止、绿灯停车、机占非、闯禁令（禁左、禁右、禁止大车、公交专用道）、闯绿灯；车辆特征检测：车牌识别、车型识别、车身颜色识别(环境光有要求)、违章检测、车辆品牌等特征检测</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16000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64000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82"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900万像素高清反向抓拍单元</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iDS-TCV900-BE</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包含摄像机、高清镜头、室外防护罩、内置补光灯、风扇、电源适配器、安装万向节等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像素：900W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分辨率：4096(H)×2160(V)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帧率：25fps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感光器件：1英寸全局曝光CMOS（*2）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镜头：专用镜头（50mm）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视频压缩标准：H.265/H.264/MJPEG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图像输出格式：JPEG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通讯接口：4个RS-485接口,1个RS-232接口；2个RJ45 10M/100M/1000M自适应以太网口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触发输出：7路（光耦隔离2500VAC/5V TTL电平量），作为补光灯同步输出控制；一路继电器输出口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存储支持：支持64G TF卡，支持云存储协议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终端接入：支持终端服务器接入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工作电压：100VAC～240VAC；频率：48Hz～52Hz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功耗：＜20W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重量：5.2±0.5kg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智能功能，目标检测：支持机动车、非机动车、行人抓拍；违章检测：超速、压线、逆行、禁止大货车等违法行为；车辆特征检测：车牌识别、车型识别、车身颜色识别(环境光有要求)、违章检测、车辆品牌等特征检测</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16400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16400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782"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LED频闪环境补光灯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CXBG-1-PS-DS-TL2000A-L1-N</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光源类型：原装进口大功率LED，单车道环境补光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LED灯珠数量：16颗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发光角度：10°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最佳补光距离：16米-25米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触发方式：电平量触发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响应时间：小于20us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日夜功能：支持环境亮度监测,低照度下自动开启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触发信号电平：4V-6V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防护等级：IP66</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12</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1800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21600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反向抓拍闪光灯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CXBG-2-MC-DS-TL3000B</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24颗大功率进口LED灯珠，支持LED频闪，白光气体爆闪，红外气体爆闪。LED频闪支持PWM跟随触发，具有频率及占空比保护功能，发光角度10°；气体爆闪具有防误触发功能，提高产品寿命。可覆盖1个车道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采用24颗原装进口高亮度LED芯片，寿命长，稳定性好，发光效率高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采用步进电机功能，实现红外滤片的切换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气体光源回电时间小于67ms，支持超速连拍，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气体补光控制具有峰值抑制功能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支持LED灯频闪、白光气体爆闪，红外气体爆闪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支持相机误触发保护功能，触发信号输入异常时自动保护、且自动恢复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结构采用IP65设计，增加透气孔，保持内外压强均衡，可靠防水、防尘</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信号灯检测器</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Symbol" w:hAnsi="Symbol" w:eastAsia="宋体" w:cs="宋体"/>
                <w:kern w:val="0"/>
                <w:sz w:val="21"/>
                <w:szCs w:val="21"/>
              </w:rPr>
            </w:pPr>
            <w:r>
              <w:rPr>
                <w:rFonts w:hint="eastAsia" w:ascii="Symbol" w:hAnsi="Symbol" w:eastAsia="宋体" w:cs="宋体"/>
                <w:kern w:val="0"/>
                <w:sz w:val="21"/>
                <w:szCs w:val="21"/>
              </w:rPr>
              <w:t xml:space="preserve">海康威视  </w:t>
            </w:r>
            <w:r>
              <w:rPr>
                <w:rFonts w:hint="eastAsia" w:ascii="华文仿宋" w:hAnsi="华文仿宋" w:eastAsia="华文仿宋" w:cs="华文仿宋"/>
                <w:kern w:val="0"/>
                <w:sz w:val="21"/>
                <w:szCs w:val="21"/>
              </w:rPr>
              <w:t>T</w:t>
            </w:r>
            <w:r>
              <w:rPr>
                <w:rFonts w:hint="eastAsia" w:ascii="华文仿宋" w:hAnsi="华文仿宋" w:eastAsia="华文仿宋" w:cs="华文仿宋"/>
                <w:kern w:val="0"/>
                <w:sz w:val="21"/>
                <w:szCs w:val="21"/>
                <w:lang w:val="en-US" w:eastAsia="zh-CN"/>
              </w:rPr>
              <w:t>LD</w:t>
            </w:r>
            <w:r>
              <w:rPr>
                <w:rFonts w:hint="eastAsia" w:ascii="Symbol" w:hAnsi="Symbol" w:eastAsia="宋体" w:cs="宋体"/>
                <w:kern w:val="0"/>
                <w:sz w:val="21"/>
                <w:szCs w:val="21"/>
              </w:rPr>
              <w:t>-2016-6</w:t>
            </w:r>
          </w:p>
          <w:p>
            <w:pPr>
              <w:widowControl/>
              <w:jc w:val="left"/>
              <w:rPr>
                <w:rFonts w:hint="eastAsia" w:ascii="Symbol" w:hAnsi="Symbol" w:eastAsia="宋体" w:cs="宋体"/>
                <w:kern w:val="0"/>
                <w:sz w:val="21"/>
                <w:szCs w:val="21"/>
                <w:lang w:val="en-US" w:eastAsia="zh-CN" w:bidi="ar-SA"/>
              </w:rPr>
            </w:pPr>
            <w:r>
              <w:rPr>
                <w:rFonts w:ascii="Symbol" w:hAnsi="Symbol" w:eastAsia="宋体" w:cs="宋体"/>
                <w:kern w:val="0"/>
                <w:sz w:val="21"/>
                <w:szCs w:val="21"/>
              </w:rPr>
              <w:t></w:t>
            </w:r>
            <w:r>
              <w:rPr>
                <w:rFonts w:hint="eastAsia" w:ascii="宋体" w:hAnsi="宋体" w:eastAsia="宋体" w:cs="宋体"/>
                <w:kern w:val="0"/>
                <w:sz w:val="21"/>
                <w:szCs w:val="21"/>
              </w:rPr>
              <w:t xml:space="preserve"> 检测、通讯单元采用微控制器设计，稳定可靠；</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信号灯交流信号输入接口16路;</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配置16路交通灯信号状态指示灯；</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RS485输出接口4路；  </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5位拨码开关设置波特率、地址和上传模式；</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设备功耗：3瓦；</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工作环境温度：-40℃～+80℃;</w:t>
            </w:r>
            <w:r>
              <w:rPr>
                <w:rFonts w:hint="eastAsia" w:ascii="宋体" w:hAnsi="宋体" w:eastAsia="宋体" w:cs="宋体"/>
                <w:kern w:val="0"/>
                <w:sz w:val="21"/>
                <w:szCs w:val="21"/>
              </w:rPr>
              <w:br w:type="textWrapping"/>
            </w:r>
            <w:r>
              <w:rPr>
                <w:rFonts w:ascii="Symbol" w:hAnsi="Symbol" w:eastAsia="宋体" w:cs="宋体"/>
                <w:kern w:val="0"/>
                <w:sz w:val="21"/>
                <w:szCs w:val="21"/>
              </w:rPr>
              <w:t></w:t>
            </w:r>
            <w:r>
              <w:rPr>
                <w:rFonts w:hint="eastAsia" w:ascii="宋体" w:hAnsi="宋体" w:eastAsia="宋体" w:cs="宋体"/>
                <w:kern w:val="0"/>
                <w:sz w:val="21"/>
                <w:szCs w:val="21"/>
              </w:rPr>
              <w:t xml:space="preserve"> 1U上架式机箱。</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3400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前端</w:t>
            </w:r>
            <w:r>
              <w:rPr>
                <w:rFonts w:hint="eastAsia" w:ascii="宋体" w:hAnsi="宋体" w:eastAsia="宋体" w:cs="宋体"/>
                <w:kern w:val="0"/>
                <w:sz w:val="21"/>
                <w:szCs w:val="21"/>
              </w:rPr>
              <w:t>控制主机</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DS-TP50-YY</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高性能ARM A17四核数字媒体处理器；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内置1块3.5寸4T硬盘；支持16路IPC接入；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网络接口：设备具有16个1000M以太网接口，1个内部和1个外部10/100/1000M自适应以太网接口，1个内部和1个外部千兆可光电切换光纤接口；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其他接口：设备具有2个RS-232接口、2个RS-485接口、1个USB3.0接口、2路报警输入接口、2路报警输出接口、1个音频输入接口、1个音频输出接口、1个USB3.0接口；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支持对通行车辆的信息（记录和图片）存储；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支持录像存储功能；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可配置多种字符叠加、图片合成模式；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支持区间测速功能；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所投产品厂家须具有完善的工业信息安全应急体系、良好的安全应急能力，具备工业信息安全应急服务支撑单位证书；须具有公安部重点实验室；须在产品质量管理、设计、制造、风险控制等方面均处于行业较先进水平，具备CCC现场检测实验室资质。以上证明材料须提供复印件并加盖厂家公章。 提供所投产品厂家针对本项目的售后服务承诺书原件并加盖厂家公章。</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球机</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iDS-2DF8YLN-F</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200万8寸红外；1920×1080@60fps；星光级超低照度:0.0005ux/F1.5(彩色),0.0001ux/F1.5(黑白) ,0 ux with IR；200米红外照射距离；焦距：5.9-135.7mm, 23倍光学；支持音频、报警；支持120dB宽动态、透雾、强光抑制、Smart IR 、电子防抖、3D数字降噪；支持智能运动跟踪；支持区域入侵、越界、进入区域、离开区域、徘徊、人员聚集、快速移动、停车、物品遗留、物品拿取、音频异常、人脸、移动侦测；支持车牌识别；水平键控速度最大210°/s，垂直键控速度最大150°/s，垂直范围-20°-90° (自动翻转)；H.265/H.264/MJPEG；支持128GB Micro SD卡；电源：AC24V，50W max；支持IP66；工作温度：-40℃-70℃。</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9800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49000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电警立杆</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JXCB7m*8mm-11m*6mm定制八棱杆，（具体臂长视路口情况定）。立杆整体热镀锌,整个杆体无任何一处漏焊，焊缝平整，无任何焊接缺陷。喷塑工艺：后钝化处理，喷塑附着力好，厚度80 m。喷塑采用优质塑粉。符合astm d3359－83标准。热镀锌量每平方米不少于500g。1.2*1.2*1.5mC30商品砼，含开挖、下笼、回填、清理。</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电警机柜</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华安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定制；采用不锈钢材质，机箱安装在立杆的适当位置，机箱内安装配电设备、安装支架和线槽，并提供维护电源插座。防护等级：IP54。</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电警顶管</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电警顶管</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150</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19500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11</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雷达视频车检器</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iDS-TCD402-BR/12</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77GHz高频段毫米波雷达 &amp; 400万低照度摄像机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支持8车道多目标检测及目标可视化，纵向检测大于200米</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支持全天候环境下工作，不受雨、雾、大风、灰尘、光照等影响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内置深度学习算法，支持智能识别功能，支持车牌识别及目标全结构化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支持多目标的位置，车道，速度、方向等信息检测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支持多种道路交通数据采集功能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支持分车道统计，车流量、速度、状态、队列、时距、间距、区域停车数、平均延误、空间占有率以及时间占有率数据，支持1-3600秒统计上传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支持交通评价数据输出，包括停车时长、停车次数、排队长度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每个车道支持两个虚拟线圈，输出车辆的进入和离开信号，虚拟线圈位置可以配置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支持透雾、强光抑制、宽动态，并具有多种白平衡模式，适合各种场景需求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支持网络与RS485数据上传</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88000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12</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辅材</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配套网线、电源线、套管、各种接头、等</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批</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10151" w:type="dxa"/>
            <w:gridSpan w:val="8"/>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r>
              <w:rPr>
                <w:rFonts w:hint="eastAsia" w:ascii="华文中宋" w:hAnsi="华文中宋" w:eastAsia="华文中宋" w:cs="宋体"/>
                <w:b/>
                <w:bCs/>
                <w:kern w:val="0"/>
                <w:sz w:val="21"/>
                <w:szCs w:val="21"/>
              </w:rPr>
              <w:t>二：子夏大街与北二路十字路口信号灯</w:t>
            </w: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交通信号控制机</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XHJ-CW-GA-HK344H</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包含：控制主机、配电单元、机柜、无线遥控器、GPS。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相位：支持24主相位+16跟随相位；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灯控输出：44路输出，单通道负载800W；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灯控板：4块，每块支持11路；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车检板：无，可选配；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通讯协议：支持NTCIP协议；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网络接口：1个RJ45接口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其他接口：1个RS232接口，2个RS485接口，1个USB接口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外部输入：8路行人按钮输入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外部输出：无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无线遥控：支持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无线接入：可选配3G/WIFI模块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工作电压： AC220V±44V，50Hz±2Hz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温度：-40℃～+70℃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功耗：35W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绝缘强度：＞500 MΩ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防护等级：IP54</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机动车信号灯(左转箭头灯）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FX400-3-3021SL</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信号灯采用三联体结构，发光单元直径为Φ400mm，进口芯片，红、黄、绿灯管数分别不于186颗，压铸铝外壳体，每单元内壳体及面罩必须完全密封，可整体更换。包含：灯具、帽檐、装饰边、背杆支架、U型抱箍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产品尺寸：1380×455×130mm（铝壳灯体）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面罩规格：φ400mm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面罩材质：玻璃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外壳材质：铝压铸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表面处理：黑色喷塑哑光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LED数量：红90，黄90，绿90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LED波长：红：625nm；黄：590nm；绿：505nm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LED直径：φ5mm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单管电流：＜18mA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LED寿命：70000小时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绝缘电阻：500MΩ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介电强度：1440V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中心亮度：5000 ~15000 cd/m2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可视距离：＞450m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可视角度：＞30°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工作电压：AC 220V±44V，50HZ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功率：功率20W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工作温度：-40 ~ +80℃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相对湿度：93%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重量：20kg</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15200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3</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机动车信号灯(满屏灯）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JD400-3-301SL</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信号灯采用三联体结构，发光单元直径为Φ400mm，进口芯片，红、黄、绿灯管数分别不于186颗，压铸铝外壳体，每单元内壳体及面罩必须完全密封，可整体更换。包含：灯具、帽檐、装饰边、背杆支架、U型抱箍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产品尺寸：1380×455×130mm（铝壳灯体）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面罩规格：φ400mm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面罩材质：玻璃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外壳材质：铝压铸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表面处理：黑色喷塑哑光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LED数量：红90，黄90，绿90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LED波长：红：625nm；黄：590nm；绿：505nm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LED直径：φ5mm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单管电流：＜18mA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LED寿命：70000小时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绝缘电阻：500MΩ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介电强度：1440V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中心亮度：5000 ~15000 cd/m2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可视距离：＞450m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可视角度：＞30°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工作电压：AC 220V±44V，50HZ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功率：功率20W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工作温度：-40 ~ +80℃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相对湿度：93%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重量：20kg</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3800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15200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倒计时器</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DX-3-T-1-80607L11</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面罩规格：800×600×420mm（带帽檐）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产品尺寸：770×581×120mm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数字尺寸：500×260mm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计时方式：跟随/触发/RS485通信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显示数值：红99~1；绿99~1；黄9~1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面罩材质：PC</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外壳材质：铝、黑色喷塑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LED数量：红420，黄420，绿420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LED波长：红：625nm；黄：590nm；绿：505nm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LED直径：φ5mm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单管电流：＜18mA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LED寿命：70000小时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中心亮度：红＞5000 cd/m2；黄＞5000 cd/m2；绿＞5000 cd/m2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可视距离：＞500m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可视角度：＞30°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工作电压：AC 220V±44V，50HZ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功率：25W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工作温度：-40 ~ +80℃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相对湿度：93%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重量：15kg</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台</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4400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17600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5</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非机动车信号灯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FJ400-3-3011SL</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包含：灯具、帽檐、装饰边、背杆支架、U型抱箍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产品尺寸：1380×455×130mm（铝壳灯体）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面罩规格：φ400mm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面罩材质：玻璃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外壳材质：铝压铸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表面处理：黑色喷塑哑光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LED数量：红90，黄90，绿90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LED波长：红：625nm；黄：590nm；绿：505nm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LED直径：φ5mm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单管电流：＜18mA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LED寿命：70000小时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绝缘电阻：500MΩ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介电强度：1440V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中心光强：150~400 cd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可视距离：＞450m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可视角度：＞30°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工作电压：AC 220V±44V，50HZ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功率：功率15W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工作温度：-40 ~ +80℃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相对湿度：93%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重量：20kg</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3600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14400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6</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人行横道信号灯</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海康威视  RX300-3-2010SL</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包含：灯具、帽檐、装饰边、背杆支架、U型抱箍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产品尺寸：710×350×120mm（铝壳灯体）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面罩规格：φ300mm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面罩材质：玻璃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外壳材质：铝压铸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表面处理：黑色喷塑哑光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LED数量：红60，绿56</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LED波长：红：625nm；绿：505nm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LED直径：φ5mm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单管电流：＜18mA</w:t>
            </w:r>
            <w:r>
              <w:rPr>
                <w:rFonts w:hint="eastAsia" w:ascii="宋体" w:hAnsi="宋体" w:eastAsia="宋体" w:cs="宋体"/>
                <w:kern w:val="0"/>
                <w:sz w:val="21"/>
                <w:szCs w:val="21"/>
              </w:rPr>
              <w:br w:type="textWrapping"/>
            </w:r>
            <w:r>
              <w:rPr>
                <w:rFonts w:hint="eastAsia" w:ascii="宋体" w:hAnsi="宋体" w:eastAsia="宋体" w:cs="宋体"/>
                <w:kern w:val="0"/>
                <w:sz w:val="21"/>
                <w:szCs w:val="21"/>
              </w:rPr>
              <w:t>LED寿命：70000小时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绝缘电阻：500MΩ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介电强度：1440V</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中心光强：150~400 cd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可视距离：＞300m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可视角度：＞30°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工作电压：AC 220V±44V，50HZ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功率：功率10W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工作温度：-40 ~ +80℃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相对湿度：93%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防护等级：IP53</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重量：10kg</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只</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7</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机动车信号灯立杆</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JXCB7m*8mm-11m*6mm-4m*6mm(T型)定制八棱杆，（具体臂长视路口情况定）。立杆整体热镀锌,整个杆体无任何一处漏焊，焊缝平整，无任何焊接缺陷。喷塑工艺：后钝化处理，喷塑附着力好，厚度80 m。喷塑采用优质塑粉。符合astm d3359－83标准。热镀锌量每平方米不少于500g。1.2*1.2*1.5mC30商品砼，含开挖、下笼、回填、清理。</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69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8</w:t>
            </w:r>
          </w:p>
        </w:tc>
        <w:tc>
          <w:tcPr>
            <w:tcW w:w="88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机动车信号灯立杆</w:t>
            </w:r>
          </w:p>
        </w:tc>
        <w:tc>
          <w:tcPr>
            <w:tcW w:w="43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JXCB7m*8mm-11m*6mm定制八棱杆，（具体臂长视路口情况定）。立杆整体热镀锌,整个杆体无任何一处漏焊，焊缝平整，无任何焊接缺陷。喷塑工艺：后钝化处理，喷塑附着力好，厚度80 m。喷塑采用优质塑粉。符合astm d3359－83标准。热镀锌量每平方米不少于500g。1.2*1.2*1.5mC30商品砼，含开挖、下笼、回填、清理。</w:t>
            </w:r>
          </w:p>
        </w:tc>
        <w:tc>
          <w:tcPr>
            <w:tcW w:w="55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w:t>
            </w:r>
          </w:p>
        </w:tc>
        <w:tc>
          <w:tcPr>
            <w:tcW w:w="72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w:t>
            </w:r>
          </w:p>
        </w:tc>
        <w:tc>
          <w:tcPr>
            <w:tcW w:w="1110"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6000</w:t>
            </w:r>
          </w:p>
        </w:tc>
        <w:tc>
          <w:tcPr>
            <w:tcW w:w="1065"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12000</w:t>
            </w:r>
          </w:p>
        </w:tc>
        <w:tc>
          <w:tcPr>
            <w:tcW w:w="761" w:type="dxa"/>
            <w:tcBorders>
              <w:top w:val="single" w:color="auto" w:sz="4" w:space="0"/>
              <w:left w:val="single" w:color="auto" w:sz="4" w:space="0"/>
              <w:bottom w:val="single" w:color="auto" w:sz="4" w:space="0"/>
              <w:right w:val="single" w:color="auto" w:sz="4" w:space="0"/>
            </w:tcBorders>
            <w:noWrap w:val="0"/>
            <w:tcMar>
              <w:top w:w="20" w:type="dxa"/>
              <w:left w:w="20" w:type="dxa"/>
              <w:bottom w:w="0" w:type="dxa"/>
              <w:right w:w="20" w:type="dxa"/>
            </w:tcMar>
            <w:vAlign w:val="center"/>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人行横道信号灯立杆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JXCB4m*4.5mm立杆整体热镀锌,整个杆体无任何一处漏焊，焊缝平整，无任何焊接缺陷。喷塑工艺：后钝化处理，喷塑附着力好，厚度80 m。喷塑采用优质塑粉。符合astm d3359－83标准。热镀锌量每平方米不少于500g。0.7*0.7*0.8mC30商品砼，含开挖、下笼、回填、清理。</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600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2400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顶管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顶管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26000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分道牌</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标志牌：1.2m*2.4m（3M工程棱镜反光膜，3mm厚铝板）；1、材料品种:Q235钢管，热浸镀喷塑。2、规格:立柱 φ165×6mm×7000mm，横梁2*φ90×4mm×4000mm。3、基础预制1M×1M×1.2M</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辅材</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配套网线、电源线、</w:t>
            </w:r>
            <w:r>
              <w:rPr>
                <w:rFonts w:hint="eastAsia" w:ascii="宋体" w:hAnsi="宋体" w:eastAsia="宋体" w:cs="宋体"/>
                <w:color w:val="000000"/>
                <w:kern w:val="0"/>
                <w:sz w:val="21"/>
                <w:szCs w:val="21"/>
              </w:rPr>
              <w:t>信号灯控制电缆、套</w:t>
            </w:r>
            <w:r>
              <w:rPr>
                <w:rFonts w:hint="eastAsia" w:ascii="宋体" w:hAnsi="宋体" w:eastAsia="宋体" w:cs="宋体"/>
                <w:kern w:val="0"/>
                <w:sz w:val="21"/>
                <w:szCs w:val="21"/>
              </w:rPr>
              <w:t>管、各种接头、等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10000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10151"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rPr>
            </w:pPr>
            <w:r>
              <w:rPr>
                <w:rFonts w:hint="eastAsia" w:ascii="华文中宋" w:hAnsi="华文中宋" w:eastAsia="华文中宋" w:cs="宋体"/>
                <w:b/>
                <w:bCs/>
                <w:kern w:val="0"/>
                <w:sz w:val="21"/>
                <w:szCs w:val="21"/>
              </w:rPr>
              <w:t>三：交通设施</w:t>
            </w: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标志牌</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昆腾  定制</w:t>
            </w:r>
          </w:p>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立柱：热镀锌￠114×4mm×6000mm、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预埋件：600mm×600mm×800mm、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板面:800mm×2.5mm、</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禁货（货车、客车、农用三轮车）、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限速（30公里）、</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禁停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24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5480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131520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标线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三艾斯</w:t>
            </w:r>
            <w:r>
              <w:rPr>
                <w:rFonts w:hint="eastAsia" w:ascii="宋体" w:hAnsi="宋体" w:eastAsia="宋体" w:cs="宋体"/>
                <w:kern w:val="0"/>
                <w:sz w:val="21"/>
                <w:szCs w:val="21"/>
              </w:rPr>
              <w:t xml:space="preserve"> 定制</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冷喷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平方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3100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77500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停车位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三艾斯</w:t>
            </w:r>
            <w:r>
              <w:rPr>
                <w:rFonts w:hint="eastAsia" w:ascii="宋体" w:hAnsi="宋体" w:eastAsia="宋体" w:cs="宋体"/>
                <w:kern w:val="0"/>
                <w:sz w:val="21"/>
                <w:szCs w:val="21"/>
              </w:rPr>
              <w:t xml:space="preserve"> 定制</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冷喷：2300mm×6000mm</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个</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850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25500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845" w:hRule="atLeast"/>
        </w:trPr>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减速带</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昆腾  定制</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橡胶：50mm×300mm</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450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22500</w:t>
            </w:r>
          </w:p>
        </w:tc>
        <w:tc>
          <w:tcPr>
            <w:tcW w:w="0" w:type="auto"/>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1"/>
                <w:szCs w:val="21"/>
              </w:rPr>
            </w:pPr>
          </w:p>
        </w:tc>
      </w:tr>
      <w:tr>
        <w:tblPrEx>
          <w:tblCellMar>
            <w:top w:w="0" w:type="dxa"/>
            <w:left w:w="0" w:type="dxa"/>
            <w:bottom w:w="0" w:type="dxa"/>
            <w:right w:w="0" w:type="dxa"/>
          </w:tblCellMar>
        </w:tblPrEx>
        <w:trPr>
          <w:trHeight w:val="2660" w:hRule="atLeast"/>
        </w:trPr>
        <w:tc>
          <w:tcPr>
            <w:tcW w:w="10151"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jc w:val="left"/>
              <w:textAlignment w:val="auto"/>
              <w:outlineLvl w:val="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优惠条件1、</w:t>
            </w:r>
            <w:r>
              <w:rPr>
                <w:rFonts w:hint="eastAsia" w:asciiTheme="majorEastAsia" w:hAnsiTheme="majorEastAsia" w:eastAsiaTheme="majorEastAsia" w:cstheme="majorEastAsia"/>
                <w:sz w:val="21"/>
                <w:szCs w:val="21"/>
              </w:rPr>
              <w:t>免费为用户提供</w:t>
            </w:r>
            <w:r>
              <w:rPr>
                <w:rFonts w:hint="eastAsia" w:asciiTheme="majorEastAsia" w:hAnsiTheme="majorEastAsia" w:eastAsiaTheme="majorEastAsia" w:cstheme="majorEastAsia"/>
                <w:sz w:val="21"/>
                <w:szCs w:val="21"/>
                <w:lang w:eastAsia="zh-CN"/>
              </w:rPr>
              <w:t>相关</w:t>
            </w:r>
            <w:r>
              <w:rPr>
                <w:rFonts w:hint="eastAsia" w:asciiTheme="majorEastAsia" w:hAnsiTheme="majorEastAsia" w:eastAsiaTheme="majorEastAsia" w:cstheme="majorEastAsia"/>
                <w:sz w:val="21"/>
                <w:szCs w:val="21"/>
              </w:rPr>
              <w:t>产品</w:t>
            </w:r>
            <w:r>
              <w:rPr>
                <w:rFonts w:hint="eastAsia" w:asciiTheme="majorEastAsia" w:hAnsiTheme="majorEastAsia" w:eastAsiaTheme="majorEastAsia" w:cstheme="majorEastAsia"/>
                <w:sz w:val="21"/>
                <w:szCs w:val="21"/>
                <w:lang w:eastAsia="zh-CN"/>
              </w:rPr>
              <w:t>、系统软件</w:t>
            </w:r>
            <w:r>
              <w:rPr>
                <w:rFonts w:hint="eastAsia" w:asciiTheme="majorEastAsia" w:hAnsiTheme="majorEastAsia" w:eastAsiaTheme="majorEastAsia" w:cstheme="majorEastAsia"/>
                <w:sz w:val="21"/>
                <w:szCs w:val="21"/>
              </w:rPr>
              <w:t>的</w:t>
            </w:r>
            <w:r>
              <w:rPr>
                <w:rFonts w:hint="eastAsia" w:asciiTheme="majorEastAsia" w:hAnsiTheme="majorEastAsia" w:eastAsiaTheme="majorEastAsia" w:cstheme="majorEastAsia"/>
                <w:sz w:val="21"/>
                <w:szCs w:val="21"/>
                <w:lang w:eastAsia="zh-CN"/>
              </w:rPr>
              <w:t>技术</w:t>
            </w:r>
            <w:r>
              <w:rPr>
                <w:rFonts w:hint="eastAsia" w:asciiTheme="majorEastAsia" w:hAnsiTheme="majorEastAsia" w:eastAsiaTheme="majorEastAsia" w:cstheme="majorEastAsia"/>
                <w:sz w:val="21"/>
                <w:szCs w:val="21"/>
              </w:rPr>
              <w:t>培训</w:t>
            </w:r>
            <w:r>
              <w:rPr>
                <w:rFonts w:hint="eastAsia" w:asciiTheme="majorEastAsia" w:hAnsiTheme="majorEastAsia" w:eastAsiaTheme="majorEastAsia" w:cstheme="majorEastAsia"/>
                <w:sz w:val="21"/>
                <w:szCs w:val="21"/>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Chars="0" w:right="0" w:rightChars="0" w:firstLine="840" w:firstLineChars="400"/>
              <w:jc w:val="left"/>
              <w:textAlignment w:val="auto"/>
              <w:outlineLvl w:val="9"/>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2、终身免费提供售后服务，超过保修期的设备，维修时只收部件成本费。</w:t>
            </w:r>
          </w:p>
          <w:p>
            <w:pPr>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val="en-US" w:eastAsia="zh-CN"/>
              </w:rPr>
              <w:t>3</w:t>
            </w:r>
            <w:r>
              <w:rPr>
                <w:rFonts w:hint="eastAsia" w:asciiTheme="majorEastAsia" w:hAnsiTheme="majorEastAsia" w:eastAsiaTheme="majorEastAsia" w:cstheme="majorEastAsia"/>
                <w:sz w:val="21"/>
                <w:szCs w:val="21"/>
              </w:rPr>
              <w:t>、待产品的安装调试完毕后，我</w:t>
            </w:r>
            <w:r>
              <w:rPr>
                <w:rFonts w:hint="eastAsia" w:asciiTheme="majorEastAsia" w:hAnsiTheme="majorEastAsia" w:eastAsiaTheme="majorEastAsia" w:cstheme="majorEastAsia"/>
                <w:sz w:val="21"/>
                <w:szCs w:val="21"/>
                <w:lang w:eastAsia="zh-CN"/>
              </w:rPr>
              <w:t>公司委派专业</w:t>
            </w:r>
            <w:r>
              <w:rPr>
                <w:rFonts w:hint="eastAsia" w:asciiTheme="majorEastAsia" w:hAnsiTheme="majorEastAsia" w:eastAsiaTheme="majorEastAsia" w:cstheme="majorEastAsia"/>
                <w:sz w:val="21"/>
                <w:szCs w:val="21"/>
              </w:rPr>
              <w:t>技术人员为贵方免费培训</w:t>
            </w:r>
            <w:r>
              <w:rPr>
                <w:rFonts w:hint="eastAsia" w:asciiTheme="majorEastAsia" w:hAnsiTheme="majorEastAsia" w:eastAsiaTheme="majorEastAsia" w:cstheme="majorEastAsia"/>
                <w:sz w:val="21"/>
                <w:szCs w:val="21"/>
                <w:lang w:eastAsia="zh-CN"/>
              </w:rPr>
              <w:t>专职</w:t>
            </w:r>
            <w:r>
              <w:rPr>
                <w:rFonts w:hint="eastAsia" w:asciiTheme="majorEastAsia" w:hAnsiTheme="majorEastAsia" w:eastAsiaTheme="majorEastAsia" w:cstheme="majorEastAsia"/>
                <w:sz w:val="21"/>
                <w:szCs w:val="21"/>
              </w:rPr>
              <w:t>人员。培训内容：</w:t>
            </w:r>
            <w:r>
              <w:rPr>
                <w:rFonts w:hint="eastAsia" w:asciiTheme="majorEastAsia" w:hAnsiTheme="majorEastAsia" w:eastAsiaTheme="majorEastAsia" w:cstheme="majorEastAsia"/>
                <w:sz w:val="21"/>
                <w:szCs w:val="21"/>
                <w:lang w:eastAsia="zh-CN"/>
              </w:rPr>
              <w:t>与</w:t>
            </w:r>
            <w:r>
              <w:rPr>
                <w:rFonts w:hint="eastAsia" w:asciiTheme="majorEastAsia" w:hAnsiTheme="majorEastAsia" w:eastAsiaTheme="majorEastAsia" w:cstheme="majorEastAsia"/>
                <w:sz w:val="21"/>
                <w:szCs w:val="21"/>
              </w:rPr>
              <w:t>设备</w:t>
            </w:r>
          </w:p>
          <w:p>
            <w:pPr>
              <w:ind w:firstLine="1260" w:firstLineChars="6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lang w:eastAsia="zh-CN"/>
              </w:rPr>
              <w:t>相关的</w:t>
            </w:r>
            <w:r>
              <w:rPr>
                <w:rFonts w:hint="eastAsia" w:asciiTheme="majorEastAsia" w:hAnsiTheme="majorEastAsia" w:eastAsiaTheme="majorEastAsia" w:cstheme="majorEastAsia"/>
                <w:sz w:val="21"/>
                <w:szCs w:val="21"/>
              </w:rPr>
              <w:t>操作、保养</w:t>
            </w:r>
            <w:r>
              <w:rPr>
                <w:rFonts w:hint="eastAsia" w:asciiTheme="majorEastAsia" w:hAnsiTheme="majorEastAsia" w:eastAsiaTheme="majorEastAsia" w:cstheme="majorEastAsia"/>
                <w:sz w:val="21"/>
                <w:szCs w:val="21"/>
                <w:lang w:eastAsia="zh-CN"/>
              </w:rPr>
              <w:t>和</w:t>
            </w:r>
            <w:r>
              <w:rPr>
                <w:rFonts w:hint="eastAsia" w:asciiTheme="majorEastAsia" w:hAnsiTheme="majorEastAsia" w:eastAsiaTheme="majorEastAsia" w:cstheme="majorEastAsia"/>
                <w:sz w:val="21"/>
                <w:szCs w:val="21"/>
              </w:rPr>
              <w:t>维修。</w:t>
            </w:r>
          </w:p>
          <w:p>
            <w:pPr>
              <w:rPr>
                <w:rFonts w:hint="eastAsia" w:asciiTheme="majorEastAsia" w:hAnsiTheme="majorEastAsia" w:eastAsiaTheme="majorEastAsia" w:cstheme="majorEastAsia"/>
                <w:sz w:val="21"/>
                <w:szCs w:val="21"/>
              </w:rPr>
            </w:pPr>
          </w:p>
          <w:p>
            <w:pPr>
              <w:rPr>
                <w:rFonts w:hint="eastAsia" w:asciiTheme="majorEastAsia" w:hAnsiTheme="majorEastAsia" w:eastAsiaTheme="majorEastAsia" w:cstheme="majorEastAsia"/>
                <w:sz w:val="21"/>
                <w:szCs w:val="21"/>
              </w:rPr>
            </w:pPr>
          </w:p>
          <w:p>
            <w:pPr>
              <w:ind w:firstLine="2940" w:firstLineChars="1400"/>
              <w:rPr>
                <w:rFonts w:hint="eastAsia" w:ascii="宋体" w:hAnsi="宋体" w:eastAsia="宋体" w:cs="宋体"/>
                <w:sz w:val="21"/>
                <w:szCs w:val="21"/>
              </w:rPr>
            </w:pPr>
            <w:r>
              <w:rPr>
                <w:rFonts w:hint="eastAsia" w:ascii="宋体" w:hAnsi="宋体" w:eastAsia="宋体" w:cs="宋体"/>
                <w:sz w:val="21"/>
                <w:szCs w:val="21"/>
              </w:rPr>
              <w:t>法定代表人或授权委托人签字（公章）：</w:t>
            </w:r>
          </w:p>
        </w:tc>
      </w:tr>
    </w:tbl>
    <w:p>
      <w:pPr>
        <w:pStyle w:val="2"/>
        <w:pageBreakBefore w:val="0"/>
        <w:widowControl w:val="0"/>
        <w:pBdr>
          <w:top w:val="none" w:color="auto" w:sz="0" w:space="1"/>
          <w:left w:val="none" w:color="auto" w:sz="0" w:space="4"/>
          <w:bottom w:val="none" w:color="auto" w:sz="0" w:space="1"/>
          <w:right w:val="none" w:color="auto" w:sz="0" w:space="4"/>
          <w:between w:val="none" w:color="auto" w:sz="0" w:space="0"/>
        </w:pBdr>
        <w:shd w:val="clear" w:fill="auto"/>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b/>
          <w:color w:val="000000"/>
          <w:szCs w:val="21"/>
          <w:lang w:val="en-US" w:eastAsia="zh-CN"/>
        </w:rPr>
      </w:pPr>
      <w:r>
        <w:rPr>
          <w:rFonts w:hint="eastAsia" w:ascii="宋体" w:hAnsi="宋体" w:eastAsia="宋体" w:cs="宋体"/>
          <w:b/>
          <w:color w:val="000000"/>
          <w:szCs w:val="21"/>
          <w:lang w:val="en-US" w:eastAsia="zh-CN"/>
        </w:rPr>
        <w:t xml:space="preserve">                                      </w:t>
      </w:r>
    </w:p>
    <w:p>
      <w:pPr>
        <w:pStyle w:val="2"/>
        <w:pageBreakBefore w:val="0"/>
        <w:widowControl w:val="0"/>
        <w:pBdr>
          <w:top w:val="none" w:color="auto" w:sz="0" w:space="1"/>
          <w:left w:val="none" w:color="auto" w:sz="0" w:space="4"/>
          <w:bottom w:val="none" w:color="auto" w:sz="0" w:space="1"/>
          <w:right w:val="none" w:color="auto" w:sz="0" w:space="4"/>
          <w:between w:val="none" w:color="auto" w:sz="0" w:space="0"/>
        </w:pBdr>
        <w:shd w:val="clear" w:fill="auto"/>
        <w:kinsoku/>
        <w:wordWrap/>
        <w:overflowPunct/>
        <w:topLinePunct w:val="0"/>
        <w:autoSpaceDE/>
        <w:autoSpaceDN/>
        <w:bidi w:val="0"/>
        <w:adjustRightInd/>
        <w:snapToGrid/>
        <w:spacing w:line="600" w:lineRule="exact"/>
        <w:ind w:left="0" w:leftChars="0" w:firstLine="0" w:firstLineChars="0"/>
        <w:jc w:val="both"/>
        <w:textAlignment w:val="auto"/>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 xml:space="preserve"> </w:t>
      </w:r>
      <w:r>
        <w:rPr>
          <w:rFonts w:hint="eastAsia" w:ascii="宋体" w:hAnsi="宋体" w:eastAsia="宋体" w:cs="宋体"/>
          <w:sz w:val="24"/>
          <w:lang w:val="en-US" w:eastAsia="zh-CN"/>
        </w:rPr>
        <w:t>2021</w:t>
      </w:r>
      <w:r>
        <w:rPr>
          <w:rFonts w:hint="eastAsia" w:ascii="宋体" w:hAnsi="宋体" w:eastAsia="宋体" w:cs="宋体"/>
          <w:sz w:val="24"/>
        </w:rPr>
        <w:t xml:space="preserve"> 年 </w:t>
      </w:r>
      <w:r>
        <w:rPr>
          <w:rFonts w:hint="eastAsia" w:ascii="宋体" w:hAnsi="宋体" w:eastAsia="宋体" w:cs="宋体"/>
          <w:sz w:val="24"/>
          <w:lang w:val="en-US" w:eastAsia="zh-CN"/>
        </w:rPr>
        <w:t>6</w:t>
      </w:r>
      <w:r>
        <w:rPr>
          <w:rFonts w:hint="eastAsia" w:ascii="宋体" w:hAnsi="宋体" w:eastAsia="宋体" w:cs="宋体"/>
          <w:sz w:val="24"/>
        </w:rPr>
        <w:t xml:space="preserve"> 月 </w:t>
      </w:r>
      <w:r>
        <w:rPr>
          <w:rFonts w:hint="eastAsia" w:ascii="宋体" w:hAnsi="宋体" w:eastAsia="宋体" w:cs="宋体"/>
          <w:sz w:val="24"/>
          <w:lang w:val="en-US" w:eastAsia="zh-CN"/>
        </w:rPr>
        <w:t>25</w:t>
      </w:r>
      <w:r>
        <w:rPr>
          <w:rFonts w:hint="eastAsia" w:ascii="宋体" w:hAnsi="宋体" w:eastAsia="宋体" w:cs="宋体"/>
          <w:sz w:val="24"/>
        </w:rPr>
        <w:t xml:space="preserve">  日</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BF368A"/>
    <w:rsid w:val="2D397A9C"/>
    <w:rsid w:val="3D4E509D"/>
    <w:rsid w:val="42E91D40"/>
    <w:rsid w:val="528114BD"/>
    <w:rsid w:val="56801A15"/>
    <w:rsid w:val="5DCE784D"/>
    <w:rsid w:val="7B822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31"/>
    <w:basedOn w:val="9"/>
    <w:qFormat/>
    <w:uiPriority w:val="0"/>
    <w:rPr>
      <w:rFonts w:hint="eastAsia" w:ascii="宋体" w:hAnsi="宋体" w:eastAsia="宋体" w:cs="宋体"/>
      <w:color w:val="666666"/>
      <w:sz w:val="21"/>
      <w:szCs w:val="21"/>
      <w:u w:val="none"/>
    </w:rPr>
  </w:style>
  <w:style w:type="character" w:customStyle="1" w:styleId="13">
    <w:name w:val="font11"/>
    <w:basedOn w:val="9"/>
    <w:qFormat/>
    <w:uiPriority w:val="0"/>
    <w:rPr>
      <w:rFonts w:hint="default" w:ascii="Calibri" w:hAnsi="Calibri" w:cs="Calibri"/>
      <w:color w:val="666666"/>
      <w:sz w:val="21"/>
      <w:szCs w:val="21"/>
      <w:u w:val="none"/>
    </w:rPr>
  </w:style>
  <w:style w:type="character" w:customStyle="1" w:styleId="14">
    <w:name w:val="font41"/>
    <w:basedOn w:val="9"/>
    <w:qFormat/>
    <w:uiPriority w:val="0"/>
    <w:rPr>
      <w:rFonts w:hint="eastAsia" w:ascii="宋体" w:hAnsi="宋体" w:eastAsia="宋体" w:cs="宋体"/>
      <w:b/>
      <w:bCs/>
      <w:color w:val="666666"/>
      <w:sz w:val="21"/>
      <w:szCs w:val="21"/>
      <w:u w:val="none"/>
    </w:rPr>
  </w:style>
  <w:style w:type="character" w:customStyle="1" w:styleId="15">
    <w:name w:val="font21"/>
    <w:basedOn w:val="9"/>
    <w:qFormat/>
    <w:uiPriority w:val="0"/>
    <w:rPr>
      <w:rFonts w:hint="default" w:ascii="Calibri" w:hAnsi="Calibri" w:cs="Calibri"/>
      <w:b/>
      <w:bCs/>
      <w:color w:val="666666"/>
      <w:sz w:val="21"/>
      <w:szCs w:val="21"/>
      <w:u w:val="none"/>
    </w:rPr>
  </w:style>
  <w:style w:type="character" w:customStyle="1" w:styleId="16">
    <w:name w:val="font51"/>
    <w:basedOn w:val="9"/>
    <w:qFormat/>
    <w:uiPriority w:val="0"/>
    <w:rPr>
      <w:rFonts w:hint="eastAsia" w:ascii="宋体" w:hAnsi="宋体" w:eastAsia="宋体" w:cs="宋体"/>
      <w:color w:val="666666"/>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2021-06-08T23:43:00Z</dcterms:created>
  <dc:creator>Administrator</dc:creator>
  <cp:lastModifiedBy>Administrator</cp:lastModifiedBy>
  <cp:lastPrinted>2021-06-25T10:28:00Z</cp:lastPrinted>
  <dcterms:modified xsi:type="dcterms:W3CDTF">2021-06-28T00:05:00Z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9CADA4019A1040F99022C437D72AC313</vt:lpwstr>
  </property>
</Properties>
</file>