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color w:val="auto"/>
          <w:sz w:val="44"/>
          <w:szCs w:val="52"/>
          <w:highlight w:val="none"/>
        </w:rPr>
      </w:pPr>
      <w:bookmarkStart w:id="0" w:name="_Toc246996898"/>
      <w:bookmarkStart w:id="1" w:name="_Toc296602400"/>
      <w:bookmarkStart w:id="2" w:name="_Toc247085669"/>
    </w:p>
    <w:p>
      <w:pPr>
        <w:spacing w:line="360" w:lineRule="auto"/>
        <w:jc w:val="center"/>
        <w:rPr>
          <w:rFonts w:hint="eastAsia" w:ascii="宋体" w:hAnsi="宋体" w:cs="宋体"/>
          <w:b/>
          <w:color w:val="auto"/>
          <w:sz w:val="52"/>
          <w:szCs w:val="52"/>
          <w:highlight w:val="none"/>
        </w:rPr>
      </w:pPr>
      <w:r>
        <w:rPr>
          <w:rFonts w:hint="eastAsia" w:ascii="宋体" w:hAnsi="宋体" w:cs="宋体"/>
          <w:b/>
          <w:color w:val="auto"/>
          <w:sz w:val="44"/>
          <w:szCs w:val="52"/>
          <w:highlight w:val="none"/>
          <w:lang w:eastAsia="zh-CN"/>
        </w:rPr>
        <w:t xml:space="preserve"> </w:t>
      </w:r>
    </w:p>
    <w:p>
      <w:pPr>
        <w:spacing w:line="360" w:lineRule="auto"/>
        <w:jc w:val="center"/>
        <w:rPr>
          <w:rFonts w:ascii="宋体" w:hAnsi="宋体" w:cs="宋体"/>
          <w:b/>
          <w:color w:val="auto"/>
          <w:sz w:val="52"/>
          <w:szCs w:val="52"/>
          <w:highlight w:val="none"/>
        </w:rPr>
      </w:pPr>
      <w:r>
        <w:rPr>
          <w:rFonts w:hint="eastAsia" w:ascii="宋体" w:hAnsi="宋体" w:cs="宋体"/>
          <w:b/>
          <w:color w:val="auto"/>
          <w:sz w:val="52"/>
          <w:szCs w:val="52"/>
          <w:highlight w:val="none"/>
          <w:lang w:eastAsia="zh-CN"/>
        </w:rPr>
        <w:t>温县第一高级中学综合教学楼</w:t>
      </w:r>
    </w:p>
    <w:p>
      <w:pPr>
        <w:spacing w:line="360" w:lineRule="auto"/>
        <w:jc w:val="center"/>
        <w:rPr>
          <w:rFonts w:ascii="宋体" w:hAnsi="宋体" w:cs="宋体"/>
          <w:b/>
          <w:color w:val="auto"/>
          <w:sz w:val="52"/>
          <w:szCs w:val="52"/>
          <w:highlight w:val="none"/>
        </w:rPr>
      </w:pPr>
    </w:p>
    <w:p>
      <w:pPr>
        <w:spacing w:line="360" w:lineRule="auto"/>
        <w:jc w:val="center"/>
        <w:rPr>
          <w:rFonts w:ascii="宋体" w:hAnsi="宋体" w:cs="宋体"/>
          <w:b/>
          <w:color w:val="auto"/>
          <w:spacing w:val="80"/>
          <w:sz w:val="84"/>
          <w:szCs w:val="72"/>
          <w:highlight w:val="none"/>
        </w:rPr>
      </w:pPr>
      <w:r>
        <w:rPr>
          <w:rFonts w:hint="eastAsia" w:ascii="宋体" w:hAnsi="宋体" w:cs="宋体"/>
          <w:b/>
          <w:color w:val="auto"/>
          <w:spacing w:val="80"/>
          <w:sz w:val="84"/>
          <w:szCs w:val="72"/>
          <w:highlight w:val="none"/>
        </w:rPr>
        <w:t>招标文件</w:t>
      </w:r>
    </w:p>
    <w:p>
      <w:pPr>
        <w:spacing w:line="360" w:lineRule="auto"/>
        <w:jc w:val="center"/>
        <w:rPr>
          <w:rFonts w:ascii="宋体" w:hAnsi="宋体" w:cs="宋体"/>
          <w:b/>
          <w:color w:val="auto"/>
          <w:spacing w:val="80"/>
          <w:sz w:val="84"/>
          <w:szCs w:val="72"/>
          <w:highlight w:val="none"/>
        </w:rPr>
      </w:pPr>
    </w:p>
    <w:p>
      <w:pPr>
        <w:spacing w:line="390" w:lineRule="exact"/>
        <w:jc w:val="center"/>
        <w:rPr>
          <w:rFonts w:hint="eastAsia" w:ascii="宋体" w:hAnsi="宋体" w:eastAsia="宋体" w:cs="宋体"/>
          <w:b/>
          <w:bCs/>
          <w:color w:val="auto"/>
          <w:sz w:val="24"/>
          <w:highlight w:val="none"/>
          <w:lang w:eastAsia="zh-CN"/>
        </w:rPr>
      </w:pPr>
      <w:r>
        <w:rPr>
          <w:rFonts w:hint="eastAsia" w:ascii="宋体" w:hAnsi="宋体" w:cs="宋体"/>
          <w:b/>
          <w:bCs/>
          <w:color w:val="auto"/>
          <w:sz w:val="20"/>
          <w:szCs w:val="20"/>
          <w:highlight w:val="none"/>
        </w:rPr>
        <w:t xml:space="preserve"> </w:t>
      </w:r>
      <w:r>
        <w:rPr>
          <w:rFonts w:hint="eastAsia" w:ascii="宋体" w:hAnsi="宋体" w:cs="宋体"/>
          <w:b/>
          <w:bCs/>
          <w:color w:val="auto"/>
          <w:sz w:val="24"/>
          <w:highlight w:val="none"/>
        </w:rPr>
        <w:t>项目编号：</w:t>
      </w:r>
      <w:r>
        <w:rPr>
          <w:rFonts w:hint="eastAsia" w:ascii="宋体" w:hAnsi="宋体" w:cs="宋体"/>
          <w:b/>
          <w:bCs/>
          <w:color w:val="auto"/>
          <w:sz w:val="24"/>
          <w:highlight w:val="none"/>
          <w:lang w:eastAsia="zh-CN"/>
        </w:rPr>
        <w:t>温交易【20</w:t>
      </w:r>
      <w:r>
        <w:rPr>
          <w:rFonts w:hint="eastAsia" w:ascii="宋体" w:hAnsi="宋体" w:cs="宋体"/>
          <w:b/>
          <w:bCs/>
          <w:color w:val="auto"/>
          <w:sz w:val="24"/>
          <w:highlight w:val="none"/>
          <w:lang w:val="en-US" w:eastAsia="zh-CN"/>
        </w:rPr>
        <w:t>20</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26</w:t>
      </w:r>
      <w:r>
        <w:rPr>
          <w:rFonts w:hint="eastAsia" w:ascii="宋体" w:hAnsi="宋体" w:cs="宋体"/>
          <w:b/>
          <w:bCs/>
          <w:color w:val="auto"/>
          <w:sz w:val="24"/>
          <w:highlight w:val="none"/>
          <w:lang w:eastAsia="zh-CN"/>
        </w:rPr>
        <w:t>号</w:t>
      </w:r>
    </w:p>
    <w:p>
      <w:pPr>
        <w:spacing w:line="390" w:lineRule="exact"/>
        <w:jc w:val="center"/>
        <w:rPr>
          <w:rFonts w:hint="eastAsia" w:ascii="宋体" w:hAnsi="宋体" w:eastAsia="宋体" w:cs="宋体"/>
          <w:b/>
          <w:bCs/>
          <w:color w:val="auto"/>
          <w:spacing w:val="30"/>
          <w:sz w:val="36"/>
          <w:szCs w:val="28"/>
          <w:highlight w:val="none"/>
          <w:lang w:eastAsia="zh-CN"/>
        </w:rPr>
      </w:pPr>
      <w:r>
        <w:rPr>
          <w:rFonts w:hint="eastAsia" w:ascii="宋体" w:hAnsi="宋体" w:cs="宋体"/>
          <w:b/>
          <w:bCs/>
          <w:color w:val="auto"/>
          <w:sz w:val="24"/>
          <w:highlight w:val="none"/>
        </w:rPr>
        <w:t xml:space="preserve"> 采购编号：</w:t>
      </w:r>
      <w:r>
        <w:rPr>
          <w:rFonts w:hint="eastAsia" w:ascii="宋体" w:hAnsi="宋体" w:cs="宋体"/>
          <w:b/>
          <w:bCs/>
          <w:color w:val="auto"/>
          <w:sz w:val="24"/>
          <w:highlight w:val="none"/>
          <w:lang w:eastAsia="zh-CN"/>
        </w:rPr>
        <w:t>温政采【20</w:t>
      </w:r>
      <w:r>
        <w:rPr>
          <w:rFonts w:hint="eastAsia" w:ascii="宋体" w:hAnsi="宋体" w:cs="宋体"/>
          <w:b/>
          <w:bCs/>
          <w:color w:val="auto"/>
          <w:sz w:val="24"/>
          <w:highlight w:val="none"/>
          <w:lang w:val="en-US" w:eastAsia="zh-CN"/>
        </w:rPr>
        <w:t>20</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-03-16</w:t>
      </w:r>
      <w:r>
        <w:rPr>
          <w:rFonts w:hint="eastAsia" w:ascii="宋体" w:hAnsi="宋体" w:cs="宋体"/>
          <w:b/>
          <w:bCs/>
          <w:color w:val="auto"/>
          <w:sz w:val="24"/>
          <w:highlight w:val="none"/>
          <w:lang w:eastAsia="zh-CN"/>
        </w:rPr>
        <w:t>号</w:t>
      </w:r>
    </w:p>
    <w:p>
      <w:pPr>
        <w:rPr>
          <w:rFonts w:ascii="宋体" w:hAnsi="宋体" w:cs="宋体"/>
          <w:color w:val="auto"/>
          <w:spacing w:val="30"/>
          <w:sz w:val="32"/>
          <w:highlight w:val="none"/>
        </w:rPr>
      </w:pPr>
    </w:p>
    <w:p>
      <w:pPr>
        <w:rPr>
          <w:rFonts w:hint="eastAsia" w:ascii="宋体" w:hAnsi="宋体" w:cs="宋体"/>
          <w:b/>
          <w:color w:val="auto"/>
          <w:spacing w:val="30"/>
          <w:sz w:val="32"/>
          <w:highlight w:val="none"/>
        </w:rPr>
      </w:pPr>
      <w:r>
        <w:rPr>
          <w:rFonts w:hint="eastAsia" w:ascii="宋体" w:hAnsi="宋体" w:cs="宋体"/>
          <w:b/>
          <w:color w:val="auto"/>
          <w:sz w:val="36"/>
          <w:szCs w:val="36"/>
          <w:highlight w:val="none"/>
          <w:lang w:val="en-US" w:eastAsia="zh-CN"/>
        </w:rPr>
        <w:t xml:space="preserve">             </w:t>
      </w:r>
      <w:r>
        <w:rPr>
          <w:rFonts w:hint="eastAsia" w:ascii="宋体" w:hAnsi="宋体" w:eastAsia="宋体" w:cs="宋体"/>
          <w:b/>
          <w:color w:val="auto"/>
          <w:kern w:val="2"/>
          <w:sz w:val="36"/>
          <w:szCs w:val="36"/>
          <w:highlight w:val="none"/>
          <w:lang w:val="en-US" w:eastAsia="zh-CN" w:bidi="ar-SA"/>
        </w:rPr>
        <w:drawing>
          <wp:inline distT="0" distB="0" distL="114300" distR="114300">
            <wp:extent cx="2476500" cy="2362200"/>
            <wp:effectExtent l="0" t="0" r="0" b="0"/>
            <wp:docPr id="1" name="图片框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框 1026"/>
                    <pic:cNvPicPr>
                      <a:picLocks noChangeAspect="1"/>
                    </pic:cNvPicPr>
                  </pic:nvPicPr>
                  <pic:blipFill>
                    <a:blip r:embed="rId6">
                      <a:lum/>
                    </a:blip>
                    <a:stretch>
                      <a:fillRect/>
                    </a:stretch>
                  </pic:blipFill>
                  <pic:spPr>
                    <a:xfrm>
                      <a:off x="0" y="0"/>
                      <a:ext cx="2476500" cy="2362200"/>
                    </a:xfrm>
                    <a:prstGeom prst="rect">
                      <a:avLst/>
                    </a:prstGeom>
                    <a:noFill/>
                    <a:ln>
                      <a:noFill/>
                    </a:ln>
                  </pic:spPr>
                </pic:pic>
              </a:graphicData>
            </a:graphic>
          </wp:inline>
        </w:drawing>
      </w:r>
    </w:p>
    <w:p>
      <w:pPr>
        <w:rPr>
          <w:rFonts w:ascii="宋体" w:hAnsi="宋体" w:cs="宋体"/>
          <w:b/>
          <w:color w:val="auto"/>
          <w:spacing w:val="30"/>
          <w:sz w:val="32"/>
          <w:highlight w:val="none"/>
        </w:rPr>
      </w:pPr>
    </w:p>
    <w:p>
      <w:pPr>
        <w:pStyle w:val="21"/>
        <w:widowControl w:val="0"/>
        <w:adjustRightInd w:val="0"/>
        <w:snapToGrid w:val="0"/>
        <w:spacing w:line="360" w:lineRule="auto"/>
        <w:ind w:firstLine="1928" w:firstLineChars="600"/>
        <w:jc w:val="both"/>
        <w:rPr>
          <w:rFonts w:hint="eastAsia" w:hAnsi="宋体" w:eastAsia="宋体" w:cs="宋体"/>
          <w:color w:val="auto"/>
          <w:sz w:val="32"/>
          <w:szCs w:val="32"/>
          <w:highlight w:val="none"/>
          <w:lang w:eastAsia="zh-CN"/>
        </w:rPr>
      </w:pPr>
      <w:r>
        <w:rPr>
          <w:rFonts w:hint="eastAsia" w:hAnsi="宋体" w:eastAsia="宋体" w:cs="宋体"/>
          <w:color w:val="auto"/>
          <w:sz w:val="32"/>
          <w:highlight w:val="none"/>
        </w:rPr>
        <w:t>招 标 人：</w:t>
      </w:r>
      <w:r>
        <w:rPr>
          <w:rFonts w:hint="eastAsia" w:hAnsi="宋体" w:eastAsia="宋体" w:cs="宋体"/>
          <w:color w:val="auto"/>
          <w:sz w:val="32"/>
          <w:highlight w:val="none"/>
          <w:lang w:eastAsia="zh-CN"/>
        </w:rPr>
        <w:t>温县第一高级中学</w:t>
      </w:r>
    </w:p>
    <w:p>
      <w:pPr>
        <w:pStyle w:val="21"/>
        <w:widowControl w:val="0"/>
        <w:adjustRightInd w:val="0"/>
        <w:snapToGrid w:val="0"/>
        <w:spacing w:line="360" w:lineRule="auto"/>
        <w:ind w:firstLine="1928" w:firstLineChars="600"/>
        <w:jc w:val="both"/>
        <w:rPr>
          <w:rFonts w:hint="eastAsia" w:hAnsi="宋体" w:eastAsia="宋体" w:cs="宋体"/>
          <w:color w:val="auto"/>
          <w:sz w:val="32"/>
          <w:szCs w:val="32"/>
          <w:highlight w:val="none"/>
          <w:lang w:eastAsia="zh-CN"/>
        </w:rPr>
      </w:pPr>
      <w:r>
        <w:rPr>
          <w:rFonts w:hint="eastAsia" w:hAnsi="宋体" w:eastAsia="宋体" w:cs="宋体"/>
          <w:color w:val="auto"/>
          <w:sz w:val="32"/>
          <w:highlight w:val="none"/>
        </w:rPr>
        <w:t>代理机构：</w:t>
      </w:r>
      <w:r>
        <w:rPr>
          <w:rFonts w:hint="eastAsia" w:hAnsi="宋体" w:eastAsia="宋体" w:cs="宋体"/>
          <w:color w:val="auto"/>
          <w:sz w:val="32"/>
          <w:szCs w:val="32"/>
          <w:highlight w:val="none"/>
          <w:lang w:eastAsia="zh-CN"/>
        </w:rPr>
        <w:t>卓信工程咨询有限公司</w:t>
      </w:r>
    </w:p>
    <w:p>
      <w:pPr>
        <w:pStyle w:val="21"/>
        <w:widowControl w:val="0"/>
        <w:adjustRightInd w:val="0"/>
        <w:snapToGrid w:val="0"/>
        <w:spacing w:line="360" w:lineRule="auto"/>
        <w:ind w:firstLine="1921" w:firstLineChars="600"/>
        <w:jc w:val="both"/>
        <w:rPr>
          <w:rFonts w:hAnsi="宋体" w:eastAsia="宋体" w:cs="宋体"/>
          <w:color w:val="auto"/>
          <w:szCs w:val="32"/>
          <w:highlight w:val="none"/>
        </w:rPr>
      </w:pPr>
      <w:r>
        <w:rPr>
          <w:rFonts w:hint="eastAsia" w:hAnsi="宋体" w:cs="宋体"/>
          <w:color w:val="auto"/>
          <w:sz w:val="32"/>
          <w:szCs w:val="32"/>
          <w:highlight w:val="none"/>
        </w:rPr>
        <w:t>日</w:t>
      </w:r>
      <w:r>
        <w:rPr>
          <w:rFonts w:hint="eastAsia" w:hAnsi="宋体" w:cs="宋体"/>
          <w:color w:val="auto"/>
          <w:sz w:val="32"/>
          <w:szCs w:val="32"/>
          <w:highlight w:val="none"/>
          <w:lang w:val="en-US"/>
        </w:rPr>
        <w:t xml:space="preserve">    </w:t>
      </w:r>
      <w:r>
        <w:rPr>
          <w:rFonts w:hint="eastAsia" w:hAnsi="宋体" w:cs="宋体"/>
          <w:color w:val="auto"/>
          <w:sz w:val="32"/>
          <w:szCs w:val="32"/>
          <w:highlight w:val="none"/>
        </w:rPr>
        <w:t>期：二零</w:t>
      </w:r>
      <w:r>
        <w:rPr>
          <w:rFonts w:hint="eastAsia" w:hAnsi="宋体" w:eastAsia="宋体" w:cs="宋体"/>
          <w:color w:val="auto"/>
          <w:sz w:val="32"/>
          <w:szCs w:val="32"/>
          <w:highlight w:val="none"/>
          <w:lang w:eastAsia="zh-CN"/>
        </w:rPr>
        <w:t>二零</w:t>
      </w:r>
      <w:r>
        <w:rPr>
          <w:rFonts w:hint="eastAsia" w:hAnsi="宋体" w:cs="宋体"/>
          <w:color w:val="auto"/>
          <w:sz w:val="32"/>
          <w:szCs w:val="32"/>
          <w:highlight w:val="none"/>
        </w:rPr>
        <w:t>年</w:t>
      </w:r>
      <w:r>
        <w:rPr>
          <w:rFonts w:hint="eastAsia" w:hAnsi="宋体" w:eastAsia="宋体" w:cs="宋体"/>
          <w:color w:val="auto"/>
          <w:sz w:val="32"/>
          <w:szCs w:val="32"/>
          <w:highlight w:val="none"/>
          <w:lang w:eastAsia="zh-CN"/>
        </w:rPr>
        <w:t>三</w:t>
      </w:r>
      <w:r>
        <w:rPr>
          <w:rFonts w:hint="eastAsia" w:hAnsi="宋体" w:cs="宋体"/>
          <w:color w:val="auto"/>
          <w:sz w:val="32"/>
          <w:szCs w:val="32"/>
          <w:highlight w:val="none"/>
        </w:rPr>
        <w:t>月</w:t>
      </w:r>
    </w:p>
    <w:p>
      <w:pPr>
        <w:jc w:val="center"/>
        <w:rPr>
          <w:rFonts w:ascii="宋体" w:hAnsi="宋体" w:cs="宋体"/>
          <w:color w:val="auto"/>
          <w:highlight w:val="none"/>
        </w:rPr>
      </w:pPr>
    </w:p>
    <w:p>
      <w:pPr>
        <w:pStyle w:val="3"/>
        <w:jc w:val="center"/>
        <w:rPr>
          <w:rFonts w:ascii="宋体" w:hAnsi="宋体" w:cs="宋体"/>
          <w:b w:val="0"/>
          <w:bCs w:val="0"/>
          <w:color w:val="auto"/>
          <w:highlight w:val="none"/>
        </w:rPr>
      </w:pPr>
      <w:bookmarkStart w:id="3" w:name="_Toc466470903"/>
      <w:bookmarkStart w:id="4" w:name="_Toc466470773"/>
      <w:r>
        <w:rPr>
          <w:rFonts w:hint="eastAsia" w:ascii="宋体" w:hAnsi="宋体" w:cs="宋体"/>
          <w:color w:val="auto"/>
          <w:highlight w:val="none"/>
        </w:rPr>
        <w:t>目   录</w:t>
      </w:r>
      <w:bookmarkEnd w:id="0"/>
      <w:bookmarkEnd w:id="1"/>
      <w:bookmarkEnd w:id="2"/>
      <w:bookmarkEnd w:id="3"/>
      <w:bookmarkEnd w:id="4"/>
      <w:bookmarkStart w:id="5" w:name="_Toc152042287"/>
      <w:bookmarkStart w:id="6" w:name="_Toc152045511"/>
      <w:bookmarkStart w:id="7" w:name="_Toc179632527"/>
      <w:bookmarkStart w:id="8" w:name="_Toc144974479"/>
      <w:r>
        <w:rPr>
          <w:rFonts w:hint="eastAsia" w:ascii="宋体" w:hAnsi="宋体" w:cs="宋体"/>
          <w:b w:val="0"/>
          <w:bCs w:val="0"/>
          <w:color w:val="auto"/>
          <w:highlight w:val="none"/>
        </w:rPr>
        <w:fldChar w:fldCharType="begin"/>
      </w:r>
      <w:r>
        <w:rPr>
          <w:rFonts w:hint="eastAsia" w:ascii="宋体" w:hAnsi="宋体" w:cs="宋体"/>
          <w:b w:val="0"/>
          <w:bCs w:val="0"/>
          <w:color w:val="auto"/>
          <w:highlight w:val="none"/>
        </w:rPr>
        <w:instrText xml:space="preserve"> TOC \o "1-3" \h \z \u </w:instrText>
      </w:r>
      <w:r>
        <w:rPr>
          <w:rFonts w:hint="eastAsia" w:ascii="宋体" w:hAnsi="宋体" w:cs="宋体"/>
          <w:b w:val="0"/>
          <w:bCs w:val="0"/>
          <w:color w:val="auto"/>
          <w:highlight w:val="none"/>
        </w:rPr>
        <w:fldChar w:fldCharType="separate"/>
      </w:r>
    </w:p>
    <w:p>
      <w:pPr>
        <w:pStyle w:val="14"/>
        <w:tabs>
          <w:tab w:val="left" w:pos="1050"/>
          <w:tab w:val="right" w:leader="dot" w:pos="8296"/>
        </w:tabs>
        <w:spacing w:line="520" w:lineRule="exact"/>
        <w:rPr>
          <w:rFonts w:ascii="宋体" w:hAnsi="宋体" w:cs="宋体"/>
          <w:smallCaps w:val="0"/>
          <w:color w:val="auto"/>
          <w:sz w:val="21"/>
          <w:szCs w:val="22"/>
          <w:highlight w:val="none"/>
        </w:rPr>
      </w:pPr>
      <w:r>
        <w:rPr>
          <w:color w:val="auto"/>
          <w:highlight w:val="none"/>
        </w:rPr>
        <w:fldChar w:fldCharType="begin"/>
      </w:r>
      <w:r>
        <w:rPr>
          <w:color w:val="auto"/>
          <w:highlight w:val="none"/>
        </w:rPr>
        <w:instrText xml:space="preserve"> HYPERLINK \l "_Toc466470904" </w:instrText>
      </w:r>
      <w:r>
        <w:rPr>
          <w:color w:val="auto"/>
          <w:highlight w:val="none"/>
        </w:rPr>
        <w:fldChar w:fldCharType="separate"/>
      </w:r>
      <w:r>
        <w:rPr>
          <w:rStyle w:val="17"/>
          <w:rFonts w:hint="eastAsia" w:ascii="宋体" w:hAnsi="宋体" w:cs="宋体"/>
          <w:color w:val="auto"/>
          <w:highlight w:val="none"/>
        </w:rPr>
        <w:t>第一章</w:t>
      </w:r>
      <w:r>
        <w:rPr>
          <w:rFonts w:hint="eastAsia" w:ascii="宋体" w:hAnsi="宋体" w:cs="宋体"/>
          <w:smallCaps w:val="0"/>
          <w:color w:val="auto"/>
          <w:sz w:val="21"/>
          <w:szCs w:val="22"/>
          <w:highlight w:val="none"/>
        </w:rPr>
        <w:tab/>
      </w:r>
      <w:r>
        <w:rPr>
          <w:rStyle w:val="17"/>
          <w:rFonts w:hint="eastAsia" w:ascii="宋体" w:hAnsi="宋体" w:cs="宋体"/>
          <w:color w:val="auto"/>
          <w:highlight w:val="none"/>
        </w:rPr>
        <w:t>招标公告</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_Toc466470904 \h </w:instrText>
      </w:r>
      <w:r>
        <w:rPr>
          <w:rFonts w:hint="eastAsia" w:ascii="宋体" w:hAnsi="宋体" w:cs="宋体"/>
          <w:color w:val="auto"/>
          <w:highlight w:val="none"/>
        </w:rPr>
        <w:fldChar w:fldCharType="separate"/>
      </w:r>
      <w:r>
        <w:rPr>
          <w:rFonts w:hint="eastAsia" w:ascii="宋体" w:hAnsi="宋体" w:cs="宋体"/>
          <w:color w:val="auto"/>
          <w:highlight w:val="none"/>
        </w:rPr>
        <w:t>3</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3"/>
        <w:tabs>
          <w:tab w:val="right" w:leader="dot" w:pos="8296"/>
        </w:tabs>
        <w:spacing w:line="520" w:lineRule="exact"/>
        <w:ind w:firstLine="197" w:firstLineChars="98"/>
        <w:rPr>
          <w:rFonts w:ascii="宋体" w:hAnsi="宋体" w:cs="宋体"/>
          <w:b w:val="0"/>
          <w:bCs w:val="0"/>
          <w:caps w:val="0"/>
          <w:color w:val="auto"/>
          <w:sz w:val="21"/>
          <w:szCs w:val="22"/>
          <w:highlight w:val="none"/>
        </w:rPr>
      </w:pPr>
      <w:r>
        <w:rPr>
          <w:color w:val="auto"/>
          <w:highlight w:val="none"/>
        </w:rPr>
        <w:fldChar w:fldCharType="begin"/>
      </w:r>
      <w:r>
        <w:rPr>
          <w:color w:val="auto"/>
          <w:highlight w:val="none"/>
        </w:rPr>
        <w:instrText xml:space="preserve"> HYPERLINK \l "_Toc466470905" </w:instrText>
      </w:r>
      <w:r>
        <w:rPr>
          <w:color w:val="auto"/>
          <w:highlight w:val="none"/>
        </w:rPr>
        <w:fldChar w:fldCharType="separate"/>
      </w:r>
      <w:r>
        <w:rPr>
          <w:rStyle w:val="17"/>
          <w:rFonts w:hint="eastAsia" w:ascii="宋体" w:hAnsi="宋体" w:cs="宋体"/>
          <w:b w:val="0"/>
          <w:bCs w:val="0"/>
          <w:color w:val="auto"/>
          <w:highlight w:val="none"/>
        </w:rPr>
        <w:t>第二章 投标人须知</w:t>
      </w:r>
      <w:r>
        <w:rPr>
          <w:rFonts w:hint="eastAsia" w:ascii="宋体" w:hAnsi="宋体" w:cs="宋体"/>
          <w:b w:val="0"/>
          <w:bCs w:val="0"/>
          <w:color w:val="auto"/>
          <w:highlight w:val="none"/>
        </w:rPr>
        <w:tab/>
      </w:r>
      <w:r>
        <w:rPr>
          <w:rFonts w:hint="eastAsia" w:ascii="宋体" w:hAnsi="宋体" w:cs="宋体"/>
          <w:b w:val="0"/>
          <w:bCs w:val="0"/>
          <w:color w:val="auto"/>
          <w:highlight w:val="none"/>
        </w:rPr>
        <w:fldChar w:fldCharType="begin"/>
      </w:r>
      <w:r>
        <w:rPr>
          <w:rFonts w:hint="eastAsia" w:ascii="宋体" w:hAnsi="宋体" w:cs="宋体"/>
          <w:b w:val="0"/>
          <w:bCs w:val="0"/>
          <w:color w:val="auto"/>
          <w:highlight w:val="none"/>
        </w:rPr>
        <w:instrText xml:space="preserve"> PAGEREF _Toc466470905 \h </w:instrText>
      </w:r>
      <w:r>
        <w:rPr>
          <w:rFonts w:hint="eastAsia" w:ascii="宋体" w:hAnsi="宋体" w:cs="宋体"/>
          <w:b w:val="0"/>
          <w:bCs w:val="0"/>
          <w:color w:val="auto"/>
          <w:highlight w:val="none"/>
        </w:rPr>
        <w:fldChar w:fldCharType="separate"/>
      </w:r>
      <w:r>
        <w:rPr>
          <w:rFonts w:hint="eastAsia" w:ascii="宋体" w:hAnsi="宋体" w:cs="宋体"/>
          <w:b w:val="0"/>
          <w:bCs w:val="0"/>
          <w:color w:val="auto"/>
          <w:highlight w:val="none"/>
        </w:rPr>
        <w:t>5</w:t>
      </w:r>
      <w:r>
        <w:rPr>
          <w:rFonts w:hint="eastAsia" w:ascii="宋体" w:hAnsi="宋体" w:cs="宋体"/>
          <w:b w:val="0"/>
          <w:bCs w:val="0"/>
          <w:color w:val="auto"/>
          <w:highlight w:val="none"/>
        </w:rPr>
        <w:fldChar w:fldCharType="end"/>
      </w:r>
      <w:r>
        <w:rPr>
          <w:rFonts w:hint="eastAsia" w:ascii="宋体" w:hAnsi="宋体" w:cs="宋体"/>
          <w:b w:val="0"/>
          <w:bCs w:val="0"/>
          <w:color w:val="auto"/>
          <w:highlight w:val="none"/>
        </w:rPr>
        <w:fldChar w:fldCharType="end"/>
      </w:r>
    </w:p>
    <w:p>
      <w:pPr>
        <w:pStyle w:val="14"/>
        <w:tabs>
          <w:tab w:val="right" w:leader="dot" w:pos="8296"/>
        </w:tabs>
        <w:spacing w:line="520" w:lineRule="exact"/>
        <w:rPr>
          <w:rFonts w:ascii="宋体" w:hAnsi="宋体" w:cs="宋体"/>
          <w:smallCaps w:val="0"/>
          <w:color w:val="auto"/>
          <w:sz w:val="21"/>
          <w:szCs w:val="22"/>
          <w:highlight w:val="none"/>
        </w:rPr>
      </w:pPr>
      <w:r>
        <w:rPr>
          <w:color w:val="auto"/>
          <w:highlight w:val="none"/>
        </w:rPr>
        <w:fldChar w:fldCharType="begin"/>
      </w:r>
      <w:r>
        <w:rPr>
          <w:color w:val="auto"/>
          <w:highlight w:val="none"/>
        </w:rPr>
        <w:instrText xml:space="preserve"> HYPERLINK \l "_Toc466470907" </w:instrText>
      </w:r>
      <w:r>
        <w:rPr>
          <w:color w:val="auto"/>
          <w:highlight w:val="none"/>
        </w:rPr>
        <w:fldChar w:fldCharType="separate"/>
      </w:r>
      <w:r>
        <w:rPr>
          <w:rStyle w:val="17"/>
          <w:rFonts w:hint="eastAsia" w:ascii="宋体" w:hAnsi="宋体" w:cs="宋体"/>
          <w:color w:val="auto"/>
          <w:highlight w:val="none"/>
        </w:rPr>
        <w:t>1. 总则</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_Toc466470907 \h </w:instrText>
      </w:r>
      <w:r>
        <w:rPr>
          <w:rFonts w:hint="eastAsia" w:ascii="宋体" w:hAnsi="宋体" w:cs="宋体"/>
          <w:color w:val="auto"/>
          <w:highlight w:val="none"/>
        </w:rPr>
        <w:fldChar w:fldCharType="separate"/>
      </w:r>
      <w:r>
        <w:rPr>
          <w:rFonts w:hint="eastAsia" w:ascii="宋体" w:hAnsi="宋体" w:cs="宋体"/>
          <w:color w:val="auto"/>
          <w:highlight w:val="none"/>
        </w:rPr>
        <w:t>13</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4"/>
        <w:tabs>
          <w:tab w:val="right" w:leader="dot" w:pos="8296"/>
        </w:tabs>
        <w:spacing w:line="520" w:lineRule="exact"/>
        <w:rPr>
          <w:rFonts w:ascii="宋体" w:hAnsi="宋体" w:cs="宋体"/>
          <w:iCs/>
          <w:color w:val="auto"/>
          <w:sz w:val="21"/>
          <w:szCs w:val="22"/>
          <w:highlight w:val="none"/>
        </w:rPr>
      </w:pPr>
      <w:r>
        <w:rPr>
          <w:color w:val="auto"/>
          <w:highlight w:val="none"/>
        </w:rPr>
        <w:fldChar w:fldCharType="begin"/>
      </w:r>
      <w:r>
        <w:rPr>
          <w:color w:val="auto"/>
          <w:highlight w:val="none"/>
        </w:rPr>
        <w:instrText xml:space="preserve"> HYPERLINK \l "_Toc466470908" </w:instrText>
      </w:r>
      <w:r>
        <w:rPr>
          <w:color w:val="auto"/>
          <w:highlight w:val="none"/>
        </w:rPr>
        <w:fldChar w:fldCharType="separate"/>
      </w:r>
      <w:r>
        <w:rPr>
          <w:rStyle w:val="17"/>
          <w:rFonts w:hint="eastAsia" w:ascii="宋体" w:hAnsi="宋体" w:cs="宋体"/>
          <w:color w:val="auto"/>
          <w:highlight w:val="none"/>
        </w:rPr>
        <w:t>2. 招标文件</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_Toc466470908 \h </w:instrText>
      </w:r>
      <w:r>
        <w:rPr>
          <w:rFonts w:hint="eastAsia" w:ascii="宋体" w:hAnsi="宋体" w:cs="宋体"/>
          <w:color w:val="auto"/>
          <w:highlight w:val="none"/>
        </w:rPr>
        <w:fldChar w:fldCharType="separate"/>
      </w:r>
      <w:r>
        <w:rPr>
          <w:rFonts w:hint="eastAsia" w:ascii="宋体" w:hAnsi="宋体" w:cs="宋体"/>
          <w:color w:val="auto"/>
          <w:highlight w:val="none"/>
        </w:rPr>
        <w:t>14</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4"/>
        <w:tabs>
          <w:tab w:val="right" w:leader="dot" w:pos="8296"/>
        </w:tabs>
        <w:spacing w:line="520" w:lineRule="exact"/>
        <w:rPr>
          <w:rFonts w:ascii="宋体" w:hAnsi="宋体" w:cs="宋体"/>
          <w:smallCaps w:val="0"/>
          <w:color w:val="auto"/>
          <w:sz w:val="21"/>
          <w:szCs w:val="22"/>
          <w:highlight w:val="none"/>
        </w:rPr>
      </w:pPr>
      <w:r>
        <w:rPr>
          <w:color w:val="auto"/>
          <w:highlight w:val="none"/>
        </w:rPr>
        <w:fldChar w:fldCharType="begin"/>
      </w:r>
      <w:r>
        <w:rPr>
          <w:color w:val="auto"/>
          <w:highlight w:val="none"/>
        </w:rPr>
        <w:instrText xml:space="preserve"> HYPERLINK \l "_Toc466470910" </w:instrText>
      </w:r>
      <w:r>
        <w:rPr>
          <w:color w:val="auto"/>
          <w:highlight w:val="none"/>
        </w:rPr>
        <w:fldChar w:fldCharType="separate"/>
      </w:r>
      <w:r>
        <w:rPr>
          <w:rStyle w:val="17"/>
          <w:rFonts w:hint="eastAsia" w:ascii="宋体" w:hAnsi="宋体" w:cs="宋体"/>
          <w:color w:val="auto"/>
          <w:highlight w:val="none"/>
        </w:rPr>
        <w:t>3. 投标文件</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_Toc466470910 \h </w:instrText>
      </w:r>
      <w:r>
        <w:rPr>
          <w:rFonts w:hint="eastAsia" w:ascii="宋体" w:hAnsi="宋体" w:cs="宋体"/>
          <w:color w:val="auto"/>
          <w:highlight w:val="none"/>
        </w:rPr>
        <w:fldChar w:fldCharType="separate"/>
      </w:r>
      <w:r>
        <w:rPr>
          <w:rFonts w:hint="eastAsia" w:ascii="宋体" w:hAnsi="宋体" w:cs="宋体"/>
          <w:color w:val="auto"/>
          <w:highlight w:val="none"/>
        </w:rPr>
        <w:t>15</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4"/>
        <w:tabs>
          <w:tab w:val="right" w:leader="dot" w:pos="8296"/>
        </w:tabs>
        <w:spacing w:line="520" w:lineRule="exact"/>
        <w:rPr>
          <w:rFonts w:ascii="宋体" w:hAnsi="宋体" w:cs="宋体"/>
          <w:smallCaps w:val="0"/>
          <w:color w:val="auto"/>
          <w:sz w:val="21"/>
          <w:szCs w:val="22"/>
          <w:highlight w:val="none"/>
        </w:rPr>
      </w:pPr>
      <w:r>
        <w:rPr>
          <w:color w:val="auto"/>
          <w:highlight w:val="none"/>
        </w:rPr>
        <w:fldChar w:fldCharType="begin"/>
      </w:r>
      <w:r>
        <w:rPr>
          <w:color w:val="auto"/>
          <w:highlight w:val="none"/>
        </w:rPr>
        <w:instrText xml:space="preserve"> HYPERLINK \l "_Toc466470911" </w:instrText>
      </w:r>
      <w:r>
        <w:rPr>
          <w:color w:val="auto"/>
          <w:highlight w:val="none"/>
        </w:rPr>
        <w:fldChar w:fldCharType="separate"/>
      </w:r>
      <w:r>
        <w:rPr>
          <w:rStyle w:val="17"/>
          <w:rFonts w:hint="eastAsia" w:ascii="宋体" w:hAnsi="宋体" w:cs="宋体"/>
          <w:color w:val="auto"/>
          <w:highlight w:val="none"/>
        </w:rPr>
        <w:t>4. 投标</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_Toc466470911 \h </w:instrText>
      </w:r>
      <w:r>
        <w:rPr>
          <w:rFonts w:hint="eastAsia" w:ascii="宋体" w:hAnsi="宋体" w:cs="宋体"/>
          <w:color w:val="auto"/>
          <w:highlight w:val="none"/>
        </w:rPr>
        <w:fldChar w:fldCharType="separate"/>
      </w:r>
      <w:r>
        <w:rPr>
          <w:rFonts w:hint="eastAsia" w:ascii="宋体" w:hAnsi="宋体" w:cs="宋体"/>
          <w:color w:val="auto"/>
          <w:highlight w:val="none"/>
        </w:rPr>
        <w:t>17</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4"/>
        <w:tabs>
          <w:tab w:val="right" w:leader="dot" w:pos="8296"/>
        </w:tabs>
        <w:spacing w:line="520" w:lineRule="exact"/>
        <w:rPr>
          <w:rFonts w:ascii="宋体" w:hAnsi="宋体" w:cs="宋体"/>
          <w:smallCaps w:val="0"/>
          <w:color w:val="auto"/>
          <w:sz w:val="21"/>
          <w:szCs w:val="22"/>
          <w:highlight w:val="none"/>
        </w:rPr>
      </w:pPr>
      <w:r>
        <w:rPr>
          <w:color w:val="auto"/>
          <w:highlight w:val="none"/>
        </w:rPr>
        <w:fldChar w:fldCharType="begin"/>
      </w:r>
      <w:r>
        <w:rPr>
          <w:color w:val="auto"/>
          <w:highlight w:val="none"/>
        </w:rPr>
        <w:instrText xml:space="preserve"> HYPERLINK \l "_Toc466470912" </w:instrText>
      </w:r>
      <w:r>
        <w:rPr>
          <w:color w:val="auto"/>
          <w:highlight w:val="none"/>
        </w:rPr>
        <w:fldChar w:fldCharType="separate"/>
      </w:r>
      <w:r>
        <w:rPr>
          <w:rStyle w:val="17"/>
          <w:rFonts w:hint="eastAsia" w:ascii="宋体" w:hAnsi="宋体" w:cs="宋体"/>
          <w:color w:val="auto"/>
          <w:highlight w:val="none"/>
        </w:rPr>
        <w:t>5. 开标</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_Toc466470912 \h </w:instrText>
      </w:r>
      <w:r>
        <w:rPr>
          <w:rFonts w:hint="eastAsia" w:ascii="宋体" w:hAnsi="宋体" w:cs="宋体"/>
          <w:color w:val="auto"/>
          <w:highlight w:val="none"/>
        </w:rPr>
        <w:fldChar w:fldCharType="separate"/>
      </w:r>
      <w:r>
        <w:rPr>
          <w:rFonts w:hint="eastAsia" w:ascii="宋体" w:hAnsi="宋体" w:cs="宋体"/>
          <w:color w:val="auto"/>
          <w:highlight w:val="none"/>
        </w:rPr>
        <w:t>17</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4"/>
        <w:tabs>
          <w:tab w:val="right" w:leader="dot" w:pos="8296"/>
        </w:tabs>
        <w:spacing w:line="520" w:lineRule="exact"/>
        <w:rPr>
          <w:rFonts w:ascii="宋体" w:hAnsi="宋体" w:cs="宋体"/>
          <w:smallCaps w:val="0"/>
          <w:color w:val="auto"/>
          <w:sz w:val="21"/>
          <w:szCs w:val="22"/>
          <w:highlight w:val="none"/>
        </w:rPr>
      </w:pPr>
      <w:r>
        <w:rPr>
          <w:color w:val="auto"/>
          <w:highlight w:val="none"/>
        </w:rPr>
        <w:fldChar w:fldCharType="begin"/>
      </w:r>
      <w:r>
        <w:rPr>
          <w:color w:val="auto"/>
          <w:highlight w:val="none"/>
        </w:rPr>
        <w:instrText xml:space="preserve"> HYPERLINK \l "_Toc466470913" </w:instrText>
      </w:r>
      <w:r>
        <w:rPr>
          <w:color w:val="auto"/>
          <w:highlight w:val="none"/>
        </w:rPr>
        <w:fldChar w:fldCharType="separate"/>
      </w:r>
      <w:r>
        <w:rPr>
          <w:rStyle w:val="17"/>
          <w:rFonts w:hint="eastAsia" w:ascii="宋体" w:hAnsi="宋体" w:cs="宋体"/>
          <w:color w:val="auto"/>
          <w:highlight w:val="none"/>
        </w:rPr>
        <w:t>6. 评标</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_Toc466470913 \h </w:instrText>
      </w:r>
      <w:r>
        <w:rPr>
          <w:rFonts w:hint="eastAsia" w:ascii="宋体" w:hAnsi="宋体" w:cs="宋体"/>
          <w:color w:val="auto"/>
          <w:highlight w:val="none"/>
        </w:rPr>
        <w:fldChar w:fldCharType="separate"/>
      </w:r>
      <w:r>
        <w:rPr>
          <w:rFonts w:hint="eastAsia" w:ascii="宋体" w:hAnsi="宋体" w:cs="宋体"/>
          <w:color w:val="auto"/>
          <w:highlight w:val="none"/>
        </w:rPr>
        <w:t>18</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4"/>
        <w:tabs>
          <w:tab w:val="right" w:leader="dot" w:pos="8296"/>
        </w:tabs>
        <w:spacing w:line="520" w:lineRule="exact"/>
        <w:rPr>
          <w:rFonts w:ascii="宋体" w:hAnsi="宋体" w:cs="宋体"/>
          <w:smallCaps w:val="0"/>
          <w:color w:val="auto"/>
          <w:sz w:val="21"/>
          <w:szCs w:val="22"/>
          <w:highlight w:val="none"/>
        </w:rPr>
      </w:pPr>
      <w:r>
        <w:rPr>
          <w:color w:val="auto"/>
          <w:highlight w:val="none"/>
        </w:rPr>
        <w:fldChar w:fldCharType="begin"/>
      </w:r>
      <w:r>
        <w:rPr>
          <w:color w:val="auto"/>
          <w:highlight w:val="none"/>
        </w:rPr>
        <w:instrText xml:space="preserve"> HYPERLINK \l "_Toc466470914" </w:instrText>
      </w:r>
      <w:r>
        <w:rPr>
          <w:color w:val="auto"/>
          <w:highlight w:val="none"/>
        </w:rPr>
        <w:fldChar w:fldCharType="separate"/>
      </w:r>
      <w:r>
        <w:rPr>
          <w:rStyle w:val="17"/>
          <w:rFonts w:hint="eastAsia" w:ascii="宋体" w:hAnsi="宋体" w:cs="宋体"/>
          <w:color w:val="auto"/>
          <w:highlight w:val="none"/>
        </w:rPr>
        <w:t>7. 合同授予</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_Toc466470914 \h </w:instrText>
      </w:r>
      <w:r>
        <w:rPr>
          <w:rFonts w:hint="eastAsia" w:ascii="宋体" w:hAnsi="宋体" w:cs="宋体"/>
          <w:color w:val="auto"/>
          <w:highlight w:val="none"/>
        </w:rPr>
        <w:fldChar w:fldCharType="separate"/>
      </w:r>
      <w:r>
        <w:rPr>
          <w:rFonts w:hint="eastAsia" w:ascii="宋体" w:hAnsi="宋体" w:cs="宋体"/>
          <w:color w:val="auto"/>
          <w:highlight w:val="none"/>
        </w:rPr>
        <w:t>18</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4"/>
        <w:tabs>
          <w:tab w:val="right" w:leader="dot" w:pos="8296"/>
        </w:tabs>
        <w:spacing w:line="520" w:lineRule="exact"/>
        <w:rPr>
          <w:rFonts w:ascii="宋体" w:hAnsi="宋体" w:cs="宋体"/>
          <w:smallCaps w:val="0"/>
          <w:color w:val="auto"/>
          <w:sz w:val="21"/>
          <w:szCs w:val="22"/>
          <w:highlight w:val="none"/>
        </w:rPr>
      </w:pPr>
      <w:r>
        <w:rPr>
          <w:color w:val="auto"/>
          <w:highlight w:val="none"/>
        </w:rPr>
        <w:fldChar w:fldCharType="begin"/>
      </w:r>
      <w:r>
        <w:rPr>
          <w:color w:val="auto"/>
          <w:highlight w:val="none"/>
        </w:rPr>
        <w:instrText xml:space="preserve"> HYPERLINK \l "_Toc466470915" </w:instrText>
      </w:r>
      <w:r>
        <w:rPr>
          <w:color w:val="auto"/>
          <w:highlight w:val="none"/>
        </w:rPr>
        <w:fldChar w:fldCharType="separate"/>
      </w:r>
      <w:r>
        <w:rPr>
          <w:rStyle w:val="17"/>
          <w:rFonts w:hint="eastAsia" w:ascii="宋体" w:hAnsi="宋体" w:cs="宋体"/>
          <w:color w:val="auto"/>
          <w:highlight w:val="none"/>
        </w:rPr>
        <w:t>8. 纪律和监督</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_Toc466470915 \h </w:instrText>
      </w:r>
      <w:r>
        <w:rPr>
          <w:rFonts w:hint="eastAsia" w:ascii="宋体" w:hAnsi="宋体" w:cs="宋体"/>
          <w:color w:val="auto"/>
          <w:highlight w:val="none"/>
        </w:rPr>
        <w:fldChar w:fldCharType="separate"/>
      </w:r>
      <w:r>
        <w:rPr>
          <w:rFonts w:hint="eastAsia" w:ascii="宋体" w:hAnsi="宋体" w:cs="宋体"/>
          <w:color w:val="auto"/>
          <w:highlight w:val="none"/>
        </w:rPr>
        <w:t>19</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4"/>
        <w:tabs>
          <w:tab w:val="right" w:leader="dot" w:pos="8296"/>
        </w:tabs>
        <w:spacing w:line="520" w:lineRule="exact"/>
        <w:rPr>
          <w:rFonts w:ascii="宋体" w:hAnsi="宋体" w:cs="宋体"/>
          <w:smallCaps w:val="0"/>
          <w:color w:val="auto"/>
          <w:sz w:val="21"/>
          <w:szCs w:val="22"/>
          <w:highlight w:val="none"/>
        </w:rPr>
      </w:pPr>
      <w:r>
        <w:rPr>
          <w:color w:val="auto"/>
          <w:highlight w:val="none"/>
        </w:rPr>
        <w:fldChar w:fldCharType="begin"/>
      </w:r>
      <w:r>
        <w:rPr>
          <w:color w:val="auto"/>
          <w:highlight w:val="none"/>
        </w:rPr>
        <w:instrText xml:space="preserve"> HYPERLINK \l "_Toc466470916" </w:instrText>
      </w:r>
      <w:r>
        <w:rPr>
          <w:color w:val="auto"/>
          <w:highlight w:val="none"/>
        </w:rPr>
        <w:fldChar w:fldCharType="separate"/>
      </w:r>
      <w:r>
        <w:rPr>
          <w:rStyle w:val="17"/>
          <w:rFonts w:hint="eastAsia" w:ascii="宋体" w:hAnsi="宋体" w:cs="宋体"/>
          <w:color w:val="auto"/>
          <w:highlight w:val="none"/>
        </w:rPr>
        <w:t>9. 需要补充的其他内容</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_Toc466470916 \h </w:instrText>
      </w:r>
      <w:r>
        <w:rPr>
          <w:rFonts w:hint="eastAsia" w:ascii="宋体" w:hAnsi="宋体" w:cs="宋体"/>
          <w:color w:val="auto"/>
          <w:highlight w:val="none"/>
        </w:rPr>
        <w:fldChar w:fldCharType="separate"/>
      </w:r>
      <w:r>
        <w:rPr>
          <w:rFonts w:hint="eastAsia" w:ascii="宋体" w:hAnsi="宋体" w:cs="宋体"/>
          <w:color w:val="auto"/>
          <w:highlight w:val="none"/>
        </w:rPr>
        <w:t>19</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3"/>
        <w:tabs>
          <w:tab w:val="right" w:leader="dot" w:pos="8296"/>
        </w:tabs>
        <w:spacing w:line="520" w:lineRule="exact"/>
        <w:ind w:firstLine="197" w:firstLineChars="98"/>
        <w:rPr>
          <w:rFonts w:ascii="宋体" w:hAnsi="宋体" w:cs="宋体"/>
          <w:b w:val="0"/>
          <w:bCs w:val="0"/>
          <w:caps w:val="0"/>
          <w:color w:val="auto"/>
          <w:sz w:val="21"/>
          <w:szCs w:val="22"/>
          <w:highlight w:val="none"/>
        </w:rPr>
      </w:pPr>
      <w:r>
        <w:rPr>
          <w:color w:val="auto"/>
          <w:highlight w:val="none"/>
        </w:rPr>
        <w:fldChar w:fldCharType="begin"/>
      </w:r>
      <w:r>
        <w:rPr>
          <w:color w:val="auto"/>
          <w:highlight w:val="none"/>
        </w:rPr>
        <w:instrText xml:space="preserve"> HYPERLINK \l "_Toc466470922" </w:instrText>
      </w:r>
      <w:r>
        <w:rPr>
          <w:color w:val="auto"/>
          <w:highlight w:val="none"/>
        </w:rPr>
        <w:fldChar w:fldCharType="separate"/>
      </w:r>
      <w:r>
        <w:rPr>
          <w:rStyle w:val="17"/>
          <w:rFonts w:hint="eastAsia" w:ascii="宋体" w:hAnsi="宋体" w:cs="宋体"/>
          <w:b w:val="0"/>
          <w:bCs w:val="0"/>
          <w:color w:val="auto"/>
          <w:highlight w:val="none"/>
        </w:rPr>
        <w:t>第三章 评标办法</w:t>
      </w:r>
      <w:r>
        <w:rPr>
          <w:rFonts w:hint="eastAsia" w:ascii="宋体" w:hAnsi="宋体" w:cs="宋体"/>
          <w:b w:val="0"/>
          <w:bCs w:val="0"/>
          <w:color w:val="auto"/>
          <w:highlight w:val="none"/>
        </w:rPr>
        <w:tab/>
      </w:r>
      <w:r>
        <w:rPr>
          <w:rFonts w:hint="eastAsia" w:ascii="宋体" w:hAnsi="宋体" w:cs="宋体"/>
          <w:b w:val="0"/>
          <w:bCs w:val="0"/>
          <w:color w:val="auto"/>
          <w:highlight w:val="none"/>
        </w:rPr>
        <w:fldChar w:fldCharType="begin"/>
      </w:r>
      <w:r>
        <w:rPr>
          <w:rFonts w:hint="eastAsia" w:ascii="宋体" w:hAnsi="宋体" w:cs="宋体"/>
          <w:b w:val="0"/>
          <w:bCs w:val="0"/>
          <w:color w:val="auto"/>
          <w:highlight w:val="none"/>
        </w:rPr>
        <w:instrText xml:space="preserve"> PAGEREF _Toc466470922 \h </w:instrText>
      </w:r>
      <w:r>
        <w:rPr>
          <w:rFonts w:hint="eastAsia" w:ascii="宋体" w:hAnsi="宋体" w:cs="宋体"/>
          <w:b w:val="0"/>
          <w:bCs w:val="0"/>
          <w:color w:val="auto"/>
          <w:highlight w:val="none"/>
        </w:rPr>
        <w:fldChar w:fldCharType="separate"/>
      </w:r>
      <w:r>
        <w:rPr>
          <w:rFonts w:hint="eastAsia" w:ascii="宋体" w:hAnsi="宋体" w:cs="宋体"/>
          <w:b w:val="0"/>
          <w:bCs w:val="0"/>
          <w:color w:val="auto"/>
          <w:highlight w:val="none"/>
        </w:rPr>
        <w:t>25</w:t>
      </w:r>
      <w:r>
        <w:rPr>
          <w:rFonts w:hint="eastAsia" w:ascii="宋体" w:hAnsi="宋体" w:cs="宋体"/>
          <w:b w:val="0"/>
          <w:bCs w:val="0"/>
          <w:color w:val="auto"/>
          <w:highlight w:val="none"/>
        </w:rPr>
        <w:fldChar w:fldCharType="end"/>
      </w:r>
      <w:r>
        <w:rPr>
          <w:rFonts w:hint="eastAsia" w:ascii="宋体" w:hAnsi="宋体" w:cs="宋体"/>
          <w:b w:val="0"/>
          <w:bCs w:val="0"/>
          <w:color w:val="auto"/>
          <w:highlight w:val="none"/>
        </w:rPr>
        <w:fldChar w:fldCharType="end"/>
      </w:r>
    </w:p>
    <w:p>
      <w:pPr>
        <w:pStyle w:val="13"/>
        <w:tabs>
          <w:tab w:val="right" w:leader="dot" w:pos="8296"/>
        </w:tabs>
        <w:spacing w:line="520" w:lineRule="exact"/>
        <w:ind w:firstLine="197" w:firstLineChars="98"/>
        <w:rPr>
          <w:rFonts w:ascii="宋体" w:hAnsi="宋体" w:cs="宋体"/>
          <w:b w:val="0"/>
          <w:bCs w:val="0"/>
          <w:caps w:val="0"/>
          <w:color w:val="auto"/>
          <w:sz w:val="21"/>
          <w:szCs w:val="22"/>
          <w:highlight w:val="none"/>
        </w:rPr>
      </w:pPr>
      <w:r>
        <w:rPr>
          <w:color w:val="auto"/>
          <w:highlight w:val="none"/>
        </w:rPr>
        <w:fldChar w:fldCharType="begin"/>
      </w:r>
      <w:r>
        <w:rPr>
          <w:color w:val="auto"/>
          <w:highlight w:val="none"/>
        </w:rPr>
        <w:instrText xml:space="preserve"> HYPERLINK \l "_Toc466470926" </w:instrText>
      </w:r>
      <w:r>
        <w:rPr>
          <w:color w:val="auto"/>
          <w:highlight w:val="none"/>
        </w:rPr>
        <w:fldChar w:fldCharType="separate"/>
      </w:r>
      <w:r>
        <w:rPr>
          <w:rStyle w:val="17"/>
          <w:rFonts w:hint="eastAsia" w:ascii="宋体" w:hAnsi="宋体" w:cs="宋体"/>
          <w:b w:val="0"/>
          <w:bCs w:val="0"/>
          <w:color w:val="auto"/>
          <w:highlight w:val="none"/>
        </w:rPr>
        <w:t>第四章 合同条款及格式</w:t>
      </w:r>
      <w:r>
        <w:rPr>
          <w:rFonts w:hint="eastAsia" w:ascii="宋体" w:hAnsi="宋体" w:cs="宋体"/>
          <w:b w:val="0"/>
          <w:bCs w:val="0"/>
          <w:color w:val="auto"/>
          <w:highlight w:val="none"/>
        </w:rPr>
        <w:tab/>
      </w:r>
      <w:r>
        <w:rPr>
          <w:rFonts w:hint="eastAsia" w:ascii="宋体" w:hAnsi="宋体" w:cs="宋体"/>
          <w:b w:val="0"/>
          <w:bCs w:val="0"/>
          <w:color w:val="auto"/>
          <w:highlight w:val="none"/>
        </w:rPr>
        <w:fldChar w:fldCharType="begin"/>
      </w:r>
      <w:r>
        <w:rPr>
          <w:rFonts w:hint="eastAsia" w:ascii="宋体" w:hAnsi="宋体" w:cs="宋体"/>
          <w:b w:val="0"/>
          <w:bCs w:val="0"/>
          <w:color w:val="auto"/>
          <w:highlight w:val="none"/>
        </w:rPr>
        <w:instrText xml:space="preserve"> PAGEREF _Toc466470926 \h </w:instrText>
      </w:r>
      <w:r>
        <w:rPr>
          <w:rFonts w:hint="eastAsia" w:ascii="宋体" w:hAnsi="宋体" w:cs="宋体"/>
          <w:b w:val="0"/>
          <w:bCs w:val="0"/>
          <w:color w:val="auto"/>
          <w:highlight w:val="none"/>
        </w:rPr>
        <w:fldChar w:fldCharType="separate"/>
      </w:r>
      <w:r>
        <w:rPr>
          <w:rFonts w:hint="eastAsia" w:ascii="宋体" w:hAnsi="宋体" w:cs="宋体"/>
          <w:b w:val="0"/>
          <w:bCs w:val="0"/>
          <w:color w:val="auto"/>
          <w:highlight w:val="none"/>
        </w:rPr>
        <w:t>30</w:t>
      </w:r>
      <w:r>
        <w:rPr>
          <w:rFonts w:hint="eastAsia" w:ascii="宋体" w:hAnsi="宋体" w:cs="宋体"/>
          <w:b w:val="0"/>
          <w:bCs w:val="0"/>
          <w:color w:val="auto"/>
          <w:highlight w:val="none"/>
        </w:rPr>
        <w:fldChar w:fldCharType="end"/>
      </w:r>
      <w:r>
        <w:rPr>
          <w:rFonts w:hint="eastAsia" w:ascii="宋体" w:hAnsi="宋体" w:cs="宋体"/>
          <w:b w:val="0"/>
          <w:bCs w:val="0"/>
          <w:color w:val="auto"/>
          <w:highlight w:val="none"/>
        </w:rPr>
        <w:fldChar w:fldCharType="end"/>
      </w:r>
    </w:p>
    <w:p>
      <w:pPr>
        <w:pStyle w:val="13"/>
        <w:tabs>
          <w:tab w:val="right" w:leader="dot" w:pos="8296"/>
        </w:tabs>
        <w:spacing w:line="520" w:lineRule="exact"/>
        <w:ind w:firstLine="197" w:firstLineChars="98"/>
        <w:rPr>
          <w:rFonts w:ascii="宋体" w:hAnsi="宋体" w:cs="宋体"/>
          <w:b w:val="0"/>
          <w:bCs w:val="0"/>
          <w:caps w:val="0"/>
          <w:color w:val="auto"/>
          <w:sz w:val="21"/>
          <w:szCs w:val="22"/>
          <w:highlight w:val="none"/>
        </w:rPr>
      </w:pPr>
      <w:r>
        <w:rPr>
          <w:color w:val="auto"/>
          <w:highlight w:val="none"/>
        </w:rPr>
        <w:fldChar w:fldCharType="begin"/>
      </w:r>
      <w:r>
        <w:rPr>
          <w:color w:val="auto"/>
          <w:highlight w:val="none"/>
        </w:rPr>
        <w:instrText xml:space="preserve"> HYPERLINK \l "_Toc466470946" </w:instrText>
      </w:r>
      <w:r>
        <w:rPr>
          <w:color w:val="auto"/>
          <w:highlight w:val="none"/>
        </w:rPr>
        <w:fldChar w:fldCharType="separate"/>
      </w:r>
      <w:r>
        <w:rPr>
          <w:rStyle w:val="17"/>
          <w:rFonts w:hint="eastAsia" w:ascii="宋体" w:hAnsi="宋体" w:cs="宋体"/>
          <w:b w:val="0"/>
          <w:bCs w:val="0"/>
          <w:color w:val="auto"/>
          <w:highlight w:val="none"/>
        </w:rPr>
        <w:t>第五章  工程量清单</w:t>
      </w:r>
      <w:r>
        <w:rPr>
          <w:rFonts w:hint="eastAsia" w:ascii="宋体" w:hAnsi="宋体" w:cs="宋体"/>
          <w:b w:val="0"/>
          <w:bCs w:val="0"/>
          <w:color w:val="auto"/>
          <w:highlight w:val="none"/>
        </w:rPr>
        <w:tab/>
      </w:r>
      <w:r>
        <w:rPr>
          <w:rFonts w:hint="eastAsia" w:ascii="宋体" w:hAnsi="宋体" w:cs="宋体"/>
          <w:b w:val="0"/>
          <w:bCs w:val="0"/>
          <w:color w:val="auto"/>
          <w:highlight w:val="none"/>
        </w:rPr>
        <w:fldChar w:fldCharType="begin"/>
      </w:r>
      <w:r>
        <w:rPr>
          <w:rFonts w:hint="eastAsia" w:ascii="宋体" w:hAnsi="宋体" w:cs="宋体"/>
          <w:b w:val="0"/>
          <w:bCs w:val="0"/>
          <w:color w:val="auto"/>
          <w:highlight w:val="none"/>
        </w:rPr>
        <w:instrText xml:space="preserve"> PAGEREF _Toc466470946 \h </w:instrText>
      </w:r>
      <w:r>
        <w:rPr>
          <w:rFonts w:hint="eastAsia" w:ascii="宋体" w:hAnsi="宋体" w:cs="宋体"/>
          <w:b w:val="0"/>
          <w:bCs w:val="0"/>
          <w:color w:val="auto"/>
          <w:highlight w:val="none"/>
        </w:rPr>
        <w:fldChar w:fldCharType="separate"/>
      </w:r>
      <w:r>
        <w:rPr>
          <w:rFonts w:hint="eastAsia" w:ascii="宋体" w:hAnsi="宋体" w:cs="宋体"/>
          <w:b w:val="0"/>
          <w:bCs w:val="0"/>
          <w:color w:val="auto"/>
          <w:highlight w:val="none"/>
        </w:rPr>
        <w:t>49</w:t>
      </w:r>
      <w:r>
        <w:rPr>
          <w:rFonts w:hint="eastAsia" w:ascii="宋体" w:hAnsi="宋体" w:cs="宋体"/>
          <w:b w:val="0"/>
          <w:bCs w:val="0"/>
          <w:color w:val="auto"/>
          <w:highlight w:val="none"/>
        </w:rPr>
        <w:fldChar w:fldCharType="end"/>
      </w:r>
      <w:r>
        <w:rPr>
          <w:rFonts w:hint="eastAsia" w:ascii="宋体" w:hAnsi="宋体" w:cs="宋体"/>
          <w:b w:val="0"/>
          <w:bCs w:val="0"/>
          <w:color w:val="auto"/>
          <w:highlight w:val="none"/>
        </w:rPr>
        <w:fldChar w:fldCharType="end"/>
      </w:r>
    </w:p>
    <w:p>
      <w:pPr>
        <w:pStyle w:val="13"/>
        <w:tabs>
          <w:tab w:val="right" w:leader="dot" w:pos="8296"/>
        </w:tabs>
        <w:spacing w:line="520" w:lineRule="exact"/>
        <w:ind w:firstLine="197" w:firstLineChars="98"/>
        <w:rPr>
          <w:rFonts w:ascii="宋体" w:hAnsi="宋体" w:cs="宋体"/>
          <w:b w:val="0"/>
          <w:bCs w:val="0"/>
          <w:caps w:val="0"/>
          <w:color w:val="auto"/>
          <w:sz w:val="21"/>
          <w:szCs w:val="22"/>
          <w:highlight w:val="none"/>
        </w:rPr>
      </w:pPr>
      <w:r>
        <w:rPr>
          <w:color w:val="auto"/>
          <w:highlight w:val="none"/>
        </w:rPr>
        <w:fldChar w:fldCharType="begin"/>
      </w:r>
      <w:r>
        <w:rPr>
          <w:color w:val="auto"/>
          <w:highlight w:val="none"/>
        </w:rPr>
        <w:instrText xml:space="preserve"> HYPERLINK \l "_Toc466470950" </w:instrText>
      </w:r>
      <w:r>
        <w:rPr>
          <w:color w:val="auto"/>
          <w:highlight w:val="none"/>
        </w:rPr>
        <w:fldChar w:fldCharType="separate"/>
      </w:r>
      <w:r>
        <w:rPr>
          <w:rStyle w:val="17"/>
          <w:rFonts w:hint="eastAsia" w:ascii="宋体" w:hAnsi="宋体" w:cs="宋体"/>
          <w:b w:val="0"/>
          <w:bCs w:val="0"/>
          <w:color w:val="auto"/>
          <w:highlight w:val="none"/>
        </w:rPr>
        <w:t>第六章  技术标准和要求</w:t>
      </w:r>
      <w:r>
        <w:rPr>
          <w:rFonts w:hint="eastAsia" w:ascii="宋体" w:hAnsi="宋体" w:cs="宋体"/>
          <w:b w:val="0"/>
          <w:bCs w:val="0"/>
          <w:color w:val="auto"/>
          <w:highlight w:val="none"/>
        </w:rPr>
        <w:tab/>
      </w:r>
      <w:r>
        <w:rPr>
          <w:rFonts w:hint="eastAsia" w:ascii="宋体" w:hAnsi="宋体" w:cs="宋体"/>
          <w:b w:val="0"/>
          <w:bCs w:val="0"/>
          <w:color w:val="auto"/>
          <w:highlight w:val="none"/>
        </w:rPr>
        <w:fldChar w:fldCharType="begin"/>
      </w:r>
      <w:r>
        <w:rPr>
          <w:rFonts w:hint="eastAsia" w:ascii="宋体" w:hAnsi="宋体" w:cs="宋体"/>
          <w:b w:val="0"/>
          <w:bCs w:val="0"/>
          <w:color w:val="auto"/>
          <w:highlight w:val="none"/>
        </w:rPr>
        <w:instrText xml:space="preserve"> PAGEREF _Toc466470950 \h </w:instrText>
      </w:r>
      <w:r>
        <w:rPr>
          <w:rFonts w:hint="eastAsia" w:ascii="宋体" w:hAnsi="宋体" w:cs="宋体"/>
          <w:b w:val="0"/>
          <w:bCs w:val="0"/>
          <w:color w:val="auto"/>
          <w:highlight w:val="none"/>
        </w:rPr>
        <w:fldChar w:fldCharType="separate"/>
      </w:r>
      <w:r>
        <w:rPr>
          <w:rFonts w:hint="eastAsia" w:ascii="宋体" w:hAnsi="宋体" w:cs="宋体"/>
          <w:b w:val="0"/>
          <w:bCs w:val="0"/>
          <w:color w:val="auto"/>
          <w:highlight w:val="none"/>
        </w:rPr>
        <w:t>50</w:t>
      </w:r>
      <w:r>
        <w:rPr>
          <w:rFonts w:hint="eastAsia" w:ascii="宋体" w:hAnsi="宋体" w:cs="宋体"/>
          <w:b w:val="0"/>
          <w:bCs w:val="0"/>
          <w:color w:val="auto"/>
          <w:highlight w:val="none"/>
        </w:rPr>
        <w:fldChar w:fldCharType="end"/>
      </w:r>
      <w:r>
        <w:rPr>
          <w:rFonts w:hint="eastAsia" w:ascii="宋体" w:hAnsi="宋体" w:cs="宋体"/>
          <w:b w:val="0"/>
          <w:bCs w:val="0"/>
          <w:color w:val="auto"/>
          <w:highlight w:val="none"/>
        </w:rPr>
        <w:fldChar w:fldCharType="end"/>
      </w:r>
    </w:p>
    <w:p>
      <w:pPr>
        <w:pStyle w:val="13"/>
        <w:tabs>
          <w:tab w:val="right" w:leader="dot" w:pos="8296"/>
        </w:tabs>
        <w:spacing w:line="520" w:lineRule="exact"/>
        <w:ind w:firstLine="197" w:firstLineChars="98"/>
        <w:rPr>
          <w:rFonts w:ascii="宋体" w:hAnsi="宋体" w:cs="宋体"/>
          <w:b w:val="0"/>
          <w:bCs w:val="0"/>
          <w:caps w:val="0"/>
          <w:color w:val="auto"/>
          <w:sz w:val="21"/>
          <w:szCs w:val="22"/>
          <w:highlight w:val="none"/>
        </w:rPr>
      </w:pPr>
      <w:r>
        <w:rPr>
          <w:color w:val="auto"/>
          <w:highlight w:val="none"/>
        </w:rPr>
        <w:fldChar w:fldCharType="begin"/>
      </w:r>
      <w:r>
        <w:rPr>
          <w:color w:val="auto"/>
          <w:highlight w:val="none"/>
        </w:rPr>
        <w:instrText xml:space="preserve"> HYPERLINK \l "_Toc466470951" </w:instrText>
      </w:r>
      <w:r>
        <w:rPr>
          <w:color w:val="auto"/>
          <w:highlight w:val="none"/>
        </w:rPr>
        <w:fldChar w:fldCharType="separate"/>
      </w:r>
      <w:r>
        <w:rPr>
          <w:rStyle w:val="17"/>
          <w:rFonts w:hint="eastAsia" w:ascii="宋体" w:hAnsi="宋体" w:cs="宋体"/>
          <w:b w:val="0"/>
          <w:bCs w:val="0"/>
          <w:color w:val="auto"/>
          <w:highlight w:val="none"/>
        </w:rPr>
        <w:t>第七章  投标文件格式</w:t>
      </w:r>
      <w:r>
        <w:rPr>
          <w:rFonts w:hint="eastAsia" w:ascii="宋体" w:hAnsi="宋体" w:cs="宋体"/>
          <w:b w:val="0"/>
          <w:bCs w:val="0"/>
          <w:color w:val="auto"/>
          <w:highlight w:val="none"/>
        </w:rPr>
        <w:tab/>
      </w:r>
      <w:r>
        <w:rPr>
          <w:rFonts w:hint="eastAsia" w:ascii="宋体" w:hAnsi="宋体" w:cs="宋体"/>
          <w:b w:val="0"/>
          <w:bCs w:val="0"/>
          <w:color w:val="auto"/>
          <w:highlight w:val="none"/>
        </w:rPr>
        <w:fldChar w:fldCharType="begin"/>
      </w:r>
      <w:r>
        <w:rPr>
          <w:rFonts w:hint="eastAsia" w:ascii="宋体" w:hAnsi="宋体" w:cs="宋体"/>
          <w:b w:val="0"/>
          <w:bCs w:val="0"/>
          <w:color w:val="auto"/>
          <w:highlight w:val="none"/>
        </w:rPr>
        <w:instrText xml:space="preserve"> PAGEREF _Toc466470951 \h </w:instrText>
      </w:r>
      <w:r>
        <w:rPr>
          <w:rFonts w:hint="eastAsia" w:ascii="宋体" w:hAnsi="宋体" w:cs="宋体"/>
          <w:b w:val="0"/>
          <w:bCs w:val="0"/>
          <w:color w:val="auto"/>
          <w:highlight w:val="none"/>
        </w:rPr>
        <w:fldChar w:fldCharType="separate"/>
      </w:r>
      <w:r>
        <w:rPr>
          <w:rFonts w:hint="eastAsia" w:ascii="宋体" w:hAnsi="宋体" w:cs="宋体"/>
          <w:b w:val="0"/>
          <w:bCs w:val="0"/>
          <w:color w:val="auto"/>
          <w:highlight w:val="none"/>
        </w:rPr>
        <w:t>51</w:t>
      </w:r>
      <w:r>
        <w:rPr>
          <w:rFonts w:hint="eastAsia" w:ascii="宋体" w:hAnsi="宋体" w:cs="宋体"/>
          <w:b w:val="0"/>
          <w:bCs w:val="0"/>
          <w:color w:val="auto"/>
          <w:highlight w:val="none"/>
        </w:rPr>
        <w:fldChar w:fldCharType="end"/>
      </w:r>
      <w:r>
        <w:rPr>
          <w:rFonts w:hint="eastAsia" w:ascii="宋体" w:hAnsi="宋体" w:cs="宋体"/>
          <w:b w:val="0"/>
          <w:bCs w:val="0"/>
          <w:color w:val="auto"/>
          <w:highlight w:val="none"/>
        </w:rPr>
        <w:fldChar w:fldCharType="end"/>
      </w:r>
    </w:p>
    <w:p>
      <w:pPr>
        <w:rPr>
          <w:rFonts w:ascii="宋体" w:hAnsi="宋体" w:cs="宋体"/>
          <w:color w:val="auto"/>
          <w:highlight w:val="none"/>
        </w:rPr>
      </w:pPr>
      <w:r>
        <w:rPr>
          <w:rFonts w:hint="eastAsia" w:ascii="宋体" w:hAnsi="宋体" w:cs="宋体"/>
          <w:color w:val="auto"/>
          <w:highlight w:val="none"/>
        </w:rPr>
        <w:fldChar w:fldCharType="end"/>
      </w: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tabs>
          <w:tab w:val="left" w:pos="7526"/>
        </w:tabs>
        <w:jc w:val="left"/>
        <w:rPr>
          <w:color w:val="auto"/>
          <w:highlight w:val="none"/>
        </w:rPr>
        <w:sectPr>
          <w:headerReference r:id="rId3" w:type="default"/>
          <w:footerReference r:id="rId4" w:type="default"/>
          <w:pgSz w:w="11906" w:h="16838"/>
          <w:pgMar w:top="1440" w:right="1800" w:bottom="1440" w:left="1800" w:header="851" w:footer="992" w:gutter="0"/>
          <w:pgNumType w:start="1"/>
          <w:cols w:space="720" w:num="1"/>
          <w:titlePg/>
          <w:docGrid w:type="lines" w:linePitch="312" w:charSpace="0"/>
        </w:sectPr>
      </w:pPr>
      <w:r>
        <w:rPr>
          <w:rFonts w:hint="eastAsia" w:ascii="宋体" w:hAnsi="宋体" w:cs="宋体"/>
          <w:color w:val="auto"/>
          <w:highlight w:val="none"/>
        </w:rPr>
        <w:tab/>
      </w:r>
    </w:p>
    <w:bookmarkEnd w:id="5"/>
    <w:bookmarkEnd w:id="6"/>
    <w:bookmarkEnd w:id="7"/>
    <w:bookmarkEnd w:id="8"/>
    <w:p>
      <w:pPr>
        <w:pStyle w:val="4"/>
        <w:numPr>
          <w:ilvl w:val="0"/>
          <w:numId w:val="1"/>
        </w:numPr>
        <w:spacing w:line="440" w:lineRule="exact"/>
        <w:jc w:val="center"/>
        <w:rPr>
          <w:rFonts w:ascii="宋体" w:hAnsi="宋体" w:eastAsia="宋体" w:cs="宋体"/>
          <w:color w:val="auto"/>
          <w:sz w:val="44"/>
          <w:szCs w:val="44"/>
          <w:highlight w:val="none"/>
        </w:rPr>
      </w:pPr>
      <w:bookmarkStart w:id="9" w:name="_Toc29848"/>
      <w:bookmarkStart w:id="10" w:name="_Toc466470904"/>
      <w:bookmarkStart w:id="11" w:name="_Toc466470774"/>
      <w:r>
        <w:rPr>
          <w:rFonts w:hint="eastAsia" w:ascii="宋体" w:hAnsi="宋体" w:eastAsia="宋体" w:cs="宋体"/>
          <w:color w:val="auto"/>
          <w:sz w:val="44"/>
          <w:szCs w:val="44"/>
          <w:highlight w:val="none"/>
        </w:rPr>
        <w:t>招标公告</w:t>
      </w:r>
      <w:bookmarkEnd w:id="9"/>
      <w:bookmarkEnd w:id="10"/>
      <w:bookmarkEnd w:id="11"/>
    </w:p>
    <w:p>
      <w:pPr>
        <w:widowControl w:val="0"/>
        <w:wordWrap/>
        <w:adjustRightInd/>
        <w:snapToGrid/>
        <w:spacing w:before="0" w:after="0" w:line="510" w:lineRule="exact"/>
        <w:ind w:left="0" w:leftChars="0" w:right="0"/>
        <w:jc w:val="center"/>
        <w:textAlignment w:val="auto"/>
        <w:outlineLvl w:val="9"/>
        <w:rPr>
          <w:rFonts w:ascii="宋体" w:hAnsi="宋体" w:cs="宋体"/>
          <w:b/>
          <w:bCs/>
          <w:color w:val="auto"/>
          <w:sz w:val="28"/>
          <w:szCs w:val="28"/>
          <w:highlight w:val="none"/>
        </w:rPr>
      </w:pPr>
      <w:bookmarkStart w:id="12" w:name="_Toc179632544"/>
      <w:bookmarkStart w:id="13" w:name="_Toc152045527"/>
      <w:bookmarkStart w:id="14" w:name="_Toc152042303"/>
      <w:bookmarkStart w:id="15" w:name="_Toc144974495"/>
      <w:bookmarkStart w:id="16" w:name="_Toc246996916"/>
      <w:bookmarkStart w:id="17" w:name="_Toc247085687"/>
      <w:bookmarkStart w:id="18" w:name="_Toc246996173"/>
      <w:r>
        <w:rPr>
          <w:rFonts w:hint="eastAsia" w:ascii="宋体" w:hAnsi="宋体" w:cs="宋体"/>
          <w:b/>
          <w:bCs/>
          <w:color w:val="auto"/>
          <w:sz w:val="28"/>
          <w:szCs w:val="28"/>
          <w:highlight w:val="none"/>
          <w:lang w:eastAsia="zh-CN"/>
        </w:rPr>
        <w:t xml:space="preserve"> 温县第一高级中学综合教学楼</w:t>
      </w:r>
      <w:r>
        <w:rPr>
          <w:rFonts w:hint="eastAsia" w:ascii="宋体" w:hAnsi="宋体" w:cs="宋体"/>
          <w:b/>
          <w:bCs/>
          <w:color w:val="auto"/>
          <w:sz w:val="28"/>
          <w:szCs w:val="28"/>
          <w:highlight w:val="none"/>
        </w:rPr>
        <w:t>招标公告</w:t>
      </w:r>
    </w:p>
    <w:p>
      <w:pPr>
        <w:widowControl w:val="0"/>
        <w:wordWrap/>
        <w:adjustRightInd/>
        <w:snapToGrid/>
        <w:spacing w:line="440" w:lineRule="exact"/>
        <w:ind w:left="0" w:leftChars="0" w:right="0"/>
        <w:jc w:val="left"/>
        <w:textAlignment w:val="auto"/>
        <w:outlineLvl w:val="9"/>
        <w:rPr>
          <w:rFonts w:ascii="宋体" w:hAnsi="宋体" w:cs="宋体"/>
          <w:color w:val="auto"/>
          <w:szCs w:val="21"/>
          <w:highlight w:val="none"/>
        </w:rPr>
      </w:pPr>
      <w:r>
        <w:rPr>
          <w:rFonts w:hint="eastAsia" w:ascii="宋体" w:hAnsi="宋体" w:cs="宋体"/>
          <w:color w:val="auto"/>
          <w:szCs w:val="21"/>
          <w:highlight w:val="none"/>
        </w:rPr>
        <w:t>一．招标条件</w:t>
      </w:r>
    </w:p>
    <w:p>
      <w:pPr>
        <w:widowControl w:val="0"/>
        <w:wordWrap/>
        <w:adjustRightInd/>
        <w:snapToGrid/>
        <w:spacing w:line="440" w:lineRule="exact"/>
        <w:ind w:left="0" w:leftChars="0" w:right="0" w:firstLine="420" w:firstLineChars="200"/>
        <w:jc w:val="left"/>
        <w:textAlignment w:val="auto"/>
        <w:outlineLvl w:val="9"/>
        <w:rPr>
          <w:rFonts w:ascii="宋体" w:hAnsi="宋体" w:cs="宋体"/>
          <w:b/>
          <w:color w:val="auto"/>
          <w:szCs w:val="21"/>
          <w:highlight w:val="none"/>
        </w:rPr>
      </w:pPr>
      <w:r>
        <w:rPr>
          <w:rFonts w:hint="eastAsia" w:ascii="宋体" w:hAnsi="宋体" w:cs="宋体"/>
          <w:color w:val="auto"/>
          <w:szCs w:val="21"/>
          <w:highlight w:val="none"/>
        </w:rPr>
        <w:t>本招标项目</w:t>
      </w:r>
      <w:r>
        <w:rPr>
          <w:rFonts w:hint="eastAsia" w:ascii="宋体" w:hAnsi="宋体" w:cs="宋体"/>
          <w:color w:val="auto"/>
          <w:szCs w:val="21"/>
          <w:highlight w:val="none"/>
          <w:lang w:eastAsia="zh-CN"/>
        </w:rPr>
        <w:t xml:space="preserve"> 温县第一高级中学综合教学楼项目</w:t>
      </w:r>
      <w:r>
        <w:rPr>
          <w:rFonts w:hint="eastAsia" w:ascii="宋体" w:hAnsi="宋体" w:cs="宋体"/>
          <w:color w:val="auto"/>
          <w:szCs w:val="21"/>
          <w:highlight w:val="none"/>
        </w:rPr>
        <w:t>已由温县人民政府批准建设，建设资金来自</w:t>
      </w:r>
      <w:r>
        <w:rPr>
          <w:rFonts w:hint="eastAsia" w:ascii="宋体" w:hAnsi="宋体" w:cs="宋体"/>
          <w:color w:val="auto"/>
          <w:szCs w:val="21"/>
          <w:highlight w:val="none"/>
          <w:lang w:eastAsia="zh-CN"/>
        </w:rPr>
        <w:t>财政资金（省、县）</w:t>
      </w:r>
      <w:r>
        <w:rPr>
          <w:rFonts w:hint="eastAsia" w:ascii="宋体" w:hAnsi="宋体" w:cs="宋体"/>
          <w:color w:val="auto"/>
          <w:szCs w:val="21"/>
          <w:highlight w:val="none"/>
        </w:rPr>
        <w:t>，招标人为</w:t>
      </w:r>
      <w:r>
        <w:rPr>
          <w:rFonts w:hint="eastAsia" w:ascii="宋体" w:hAnsi="宋体" w:cs="宋体"/>
          <w:color w:val="auto"/>
          <w:szCs w:val="21"/>
          <w:highlight w:val="none"/>
          <w:lang w:eastAsia="zh-CN"/>
        </w:rPr>
        <w:t>温县第一高级中学</w:t>
      </w:r>
      <w:r>
        <w:rPr>
          <w:rFonts w:hint="eastAsia" w:ascii="宋体" w:hAnsi="宋体" w:cs="宋体"/>
          <w:color w:val="auto"/>
          <w:szCs w:val="21"/>
          <w:highlight w:val="none"/>
        </w:rPr>
        <w:t>。项目己具备招标条件，现委托</w:t>
      </w:r>
      <w:r>
        <w:rPr>
          <w:rFonts w:hint="eastAsia" w:ascii="宋体" w:hAnsi="宋体" w:cs="宋体"/>
          <w:color w:val="auto"/>
          <w:szCs w:val="21"/>
          <w:highlight w:val="none"/>
          <w:lang w:eastAsia="zh-CN"/>
        </w:rPr>
        <w:t>卓信工程咨询有限公司</w:t>
      </w:r>
      <w:r>
        <w:rPr>
          <w:rFonts w:hint="eastAsia" w:ascii="宋体" w:hAnsi="宋体" w:cs="宋体"/>
          <w:color w:val="auto"/>
          <w:szCs w:val="21"/>
          <w:highlight w:val="none"/>
        </w:rPr>
        <w:t>对该项目进行公开招标。</w:t>
      </w:r>
    </w:p>
    <w:p>
      <w:pPr>
        <w:widowControl w:val="0"/>
        <w:wordWrap/>
        <w:adjustRightInd/>
        <w:snapToGrid/>
        <w:spacing w:line="440" w:lineRule="exact"/>
        <w:ind w:left="0" w:leftChars="0" w:right="0"/>
        <w:jc w:val="left"/>
        <w:textAlignment w:val="auto"/>
        <w:outlineLvl w:val="9"/>
        <w:rPr>
          <w:rFonts w:ascii="宋体" w:hAnsi="宋体" w:cs="宋体"/>
          <w:color w:val="auto"/>
          <w:szCs w:val="21"/>
          <w:highlight w:val="none"/>
        </w:rPr>
      </w:pPr>
      <w:r>
        <w:rPr>
          <w:rFonts w:hint="eastAsia" w:ascii="宋体" w:hAnsi="宋体" w:cs="宋体"/>
          <w:color w:val="auto"/>
          <w:szCs w:val="21"/>
          <w:highlight w:val="none"/>
        </w:rPr>
        <w:t>二．项目概况与招标范围</w:t>
      </w:r>
    </w:p>
    <w:p>
      <w:pPr>
        <w:widowControl w:val="0"/>
        <w:wordWrap/>
        <w:adjustRightInd/>
        <w:snapToGrid/>
        <w:spacing w:line="440" w:lineRule="exact"/>
        <w:ind w:left="0" w:leftChars="0" w:right="0" w:firstLine="420" w:firstLineChars="200"/>
        <w:jc w:val="left"/>
        <w:textAlignment w:val="auto"/>
        <w:outlineLvl w:val="9"/>
        <w:rPr>
          <w:rFonts w:ascii="宋体" w:hAnsi="宋体" w:cs="宋体"/>
          <w:color w:val="auto"/>
          <w:szCs w:val="21"/>
          <w:highlight w:val="none"/>
        </w:rPr>
      </w:pPr>
      <w:r>
        <w:rPr>
          <w:rFonts w:hint="eastAsia" w:ascii="宋体" w:hAnsi="宋体" w:cs="宋体"/>
          <w:color w:val="auto"/>
          <w:szCs w:val="21"/>
          <w:highlight w:val="none"/>
        </w:rPr>
        <w:t>2.1 项目编号：</w:t>
      </w:r>
      <w:r>
        <w:rPr>
          <w:rFonts w:hint="eastAsia" w:ascii="宋体" w:hAnsi="宋体" w:cs="宋体"/>
          <w:color w:val="auto"/>
          <w:szCs w:val="21"/>
          <w:highlight w:val="none"/>
          <w:lang w:eastAsia="zh-CN"/>
        </w:rPr>
        <w:t>温交易【20</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26</w:t>
      </w:r>
      <w:r>
        <w:rPr>
          <w:rFonts w:hint="eastAsia" w:ascii="宋体" w:hAnsi="宋体" w:cs="宋体"/>
          <w:color w:val="auto"/>
          <w:szCs w:val="21"/>
          <w:highlight w:val="none"/>
          <w:lang w:eastAsia="zh-CN"/>
        </w:rPr>
        <w:t>号</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采购编号：</w:t>
      </w:r>
      <w:r>
        <w:rPr>
          <w:rFonts w:hint="eastAsia" w:ascii="宋体" w:hAnsi="宋体" w:cs="宋体"/>
          <w:color w:val="auto"/>
          <w:szCs w:val="21"/>
          <w:highlight w:val="none"/>
          <w:lang w:eastAsia="zh-CN"/>
        </w:rPr>
        <w:t>温政采【20</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-03-16</w:t>
      </w:r>
      <w:r>
        <w:rPr>
          <w:rFonts w:hint="eastAsia" w:ascii="宋体" w:hAnsi="宋体" w:cs="宋体"/>
          <w:color w:val="auto"/>
          <w:szCs w:val="21"/>
          <w:highlight w:val="none"/>
          <w:lang w:eastAsia="zh-CN"/>
        </w:rPr>
        <w:t>号</w:t>
      </w:r>
      <w:r>
        <w:rPr>
          <w:rFonts w:hint="eastAsia" w:ascii="宋体" w:hAnsi="宋体" w:cs="宋体"/>
          <w:color w:val="auto"/>
          <w:szCs w:val="21"/>
          <w:highlight w:val="none"/>
        </w:rPr>
        <w:t xml:space="preserve">；    </w:t>
      </w:r>
    </w:p>
    <w:p>
      <w:pPr>
        <w:widowControl w:val="0"/>
        <w:wordWrap/>
        <w:adjustRightInd/>
        <w:snapToGrid/>
        <w:spacing w:line="440" w:lineRule="exact"/>
        <w:ind w:left="0" w:leftChars="0" w:right="0" w:firstLine="420" w:firstLineChars="200"/>
        <w:jc w:val="lef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2.2项目概况：该项目为新建综合教学楼，建筑面积8007.57平方米，地上5层（局部4层），建筑高度19.95米，框架结构，抗震防裂度为7度，抗震等级二级。具体内容详见工程量清单及施工图纸。</w:t>
      </w:r>
    </w:p>
    <w:p>
      <w:pPr>
        <w:widowControl w:val="0"/>
        <w:wordWrap/>
        <w:adjustRightInd/>
        <w:snapToGrid/>
        <w:spacing w:line="440" w:lineRule="exact"/>
        <w:ind w:left="0" w:leftChars="0" w:right="0" w:firstLine="420" w:firstLineChars="200"/>
        <w:jc w:val="left"/>
        <w:textAlignment w:val="auto"/>
        <w:outlineLvl w:val="9"/>
        <w:rPr>
          <w:rFonts w:ascii="宋体" w:hAnsi="宋体" w:cs="宋体"/>
          <w:color w:val="auto"/>
          <w:szCs w:val="21"/>
          <w:highlight w:val="none"/>
        </w:rPr>
      </w:pPr>
      <w:r>
        <w:rPr>
          <w:rFonts w:hint="eastAsia" w:ascii="宋体" w:hAnsi="宋体" w:cs="宋体"/>
          <w:color w:val="auto"/>
          <w:szCs w:val="21"/>
          <w:highlight w:val="none"/>
        </w:rPr>
        <w:t>2.3项目地点：</w:t>
      </w:r>
      <w:r>
        <w:rPr>
          <w:rFonts w:hint="eastAsia" w:ascii="宋体" w:hAnsi="宋体" w:cs="宋体"/>
          <w:color w:val="auto"/>
          <w:szCs w:val="21"/>
          <w:highlight w:val="none"/>
          <w:lang w:eastAsia="zh-CN"/>
        </w:rPr>
        <w:t>温县第一高级中学</w:t>
      </w:r>
      <w:r>
        <w:rPr>
          <w:rFonts w:hint="eastAsia" w:ascii="宋体" w:hAnsi="宋体" w:cs="宋体"/>
          <w:color w:val="auto"/>
          <w:szCs w:val="21"/>
          <w:highlight w:val="none"/>
        </w:rPr>
        <w:t>院内；</w:t>
      </w:r>
    </w:p>
    <w:p>
      <w:pPr>
        <w:widowControl w:val="0"/>
        <w:wordWrap/>
        <w:adjustRightInd/>
        <w:snapToGrid/>
        <w:spacing w:line="440" w:lineRule="exact"/>
        <w:ind w:left="0" w:leftChars="0" w:right="0" w:firstLine="420" w:firstLineChars="200"/>
        <w:jc w:val="left"/>
        <w:textAlignment w:val="auto"/>
        <w:outlineLvl w:val="9"/>
        <w:rPr>
          <w:rFonts w:ascii="宋体" w:hAnsi="宋体" w:cs="宋体"/>
          <w:color w:val="auto"/>
          <w:szCs w:val="21"/>
          <w:highlight w:val="none"/>
        </w:rPr>
      </w:pPr>
      <w:r>
        <w:rPr>
          <w:rFonts w:hint="eastAsia" w:ascii="宋体" w:hAnsi="宋体" w:cs="宋体"/>
          <w:color w:val="auto"/>
          <w:szCs w:val="21"/>
          <w:highlight w:val="none"/>
        </w:rPr>
        <w:t>2.4招标范围：招标文件</w:t>
      </w:r>
      <w:r>
        <w:rPr>
          <w:rFonts w:hint="eastAsia" w:ascii="宋体" w:hAnsi="宋体" w:cs="宋体"/>
          <w:color w:val="auto"/>
          <w:szCs w:val="21"/>
          <w:highlight w:val="none"/>
          <w:lang w:eastAsia="zh-CN"/>
        </w:rPr>
        <w:t>、</w:t>
      </w:r>
      <w:r>
        <w:rPr>
          <w:rFonts w:hint="eastAsia" w:ascii="宋体" w:hAnsi="宋体" w:cs="宋体"/>
          <w:color w:val="auto"/>
          <w:szCs w:val="21"/>
          <w:highlight w:val="none"/>
          <w:u w:val="single" w:color="auto"/>
          <w:lang w:eastAsia="zh-CN"/>
        </w:rPr>
        <w:t>施工图纸</w:t>
      </w:r>
      <w:r>
        <w:rPr>
          <w:rFonts w:hint="eastAsia" w:ascii="宋体" w:hAnsi="宋体" w:cs="宋体"/>
          <w:color w:val="auto"/>
          <w:szCs w:val="21"/>
          <w:highlight w:val="none"/>
        </w:rPr>
        <w:t>所有内容及工程量清单所包含的全部内容；</w:t>
      </w:r>
    </w:p>
    <w:p>
      <w:pPr>
        <w:widowControl w:val="0"/>
        <w:wordWrap/>
        <w:adjustRightInd/>
        <w:snapToGrid/>
        <w:spacing w:line="440" w:lineRule="exact"/>
        <w:ind w:left="0" w:leftChars="0" w:right="0" w:firstLine="420" w:firstLineChars="200"/>
        <w:jc w:val="left"/>
        <w:textAlignment w:val="auto"/>
        <w:outlineLvl w:val="9"/>
        <w:rPr>
          <w:rFonts w:ascii="宋体" w:hAnsi="宋体" w:cs="宋体"/>
          <w:color w:val="auto"/>
          <w:szCs w:val="21"/>
          <w:highlight w:val="none"/>
        </w:rPr>
      </w:pPr>
      <w:r>
        <w:rPr>
          <w:rFonts w:hint="eastAsia" w:ascii="宋体" w:hAnsi="宋体" w:cs="宋体"/>
          <w:color w:val="auto"/>
          <w:szCs w:val="21"/>
          <w:highlight w:val="none"/>
        </w:rPr>
        <w:t>2.5计划工期：</w:t>
      </w:r>
      <w:r>
        <w:rPr>
          <w:rFonts w:hint="eastAsia" w:ascii="宋体" w:hAnsi="宋体" w:cs="宋体"/>
          <w:color w:val="auto"/>
          <w:szCs w:val="21"/>
          <w:highlight w:val="none"/>
          <w:lang w:val="en-US" w:eastAsia="zh-CN"/>
        </w:rPr>
        <w:t>300</w:t>
      </w:r>
      <w:r>
        <w:rPr>
          <w:rFonts w:hint="eastAsia" w:ascii="宋体" w:hAnsi="宋体" w:cs="宋体"/>
          <w:color w:val="auto"/>
          <w:szCs w:val="21"/>
          <w:highlight w:val="none"/>
          <w:lang w:eastAsia="zh-CN"/>
        </w:rPr>
        <w:t>天</w:t>
      </w:r>
      <w:r>
        <w:rPr>
          <w:rFonts w:hint="eastAsia" w:ascii="宋体" w:hAnsi="宋体" w:cs="宋体"/>
          <w:color w:val="auto"/>
          <w:szCs w:val="21"/>
          <w:highlight w:val="none"/>
        </w:rPr>
        <w:t>。</w:t>
      </w:r>
    </w:p>
    <w:p>
      <w:pPr>
        <w:widowControl w:val="0"/>
        <w:wordWrap/>
        <w:adjustRightInd/>
        <w:snapToGrid/>
        <w:spacing w:line="440" w:lineRule="exact"/>
        <w:ind w:left="0" w:leftChars="0" w:right="0" w:firstLine="420" w:firstLineChars="200"/>
        <w:jc w:val="left"/>
        <w:textAlignment w:val="auto"/>
        <w:outlineLvl w:val="9"/>
        <w:rPr>
          <w:rFonts w:ascii="宋体" w:hAnsi="宋体" w:cs="宋体"/>
          <w:color w:val="auto"/>
          <w:szCs w:val="21"/>
          <w:highlight w:val="none"/>
        </w:rPr>
      </w:pPr>
      <w:r>
        <w:rPr>
          <w:rFonts w:hint="eastAsia" w:ascii="宋体" w:hAnsi="宋体" w:cs="宋体"/>
          <w:color w:val="auto"/>
          <w:szCs w:val="21"/>
          <w:highlight w:val="none"/>
        </w:rPr>
        <w:t>2.6质量要求：合格。</w:t>
      </w:r>
    </w:p>
    <w:p>
      <w:pPr>
        <w:widowControl w:val="0"/>
        <w:wordWrap/>
        <w:adjustRightInd/>
        <w:snapToGrid/>
        <w:spacing w:line="440" w:lineRule="exact"/>
        <w:ind w:left="0" w:leftChars="0" w:right="0" w:firstLine="420" w:firstLineChars="200"/>
        <w:jc w:val="left"/>
        <w:textAlignment w:val="auto"/>
        <w:outlineLvl w:val="9"/>
        <w:rPr>
          <w:rFonts w:ascii="宋体" w:hAnsi="宋体" w:cs="宋体"/>
          <w:color w:val="auto"/>
          <w:szCs w:val="21"/>
          <w:highlight w:val="none"/>
        </w:rPr>
      </w:pPr>
      <w:r>
        <w:rPr>
          <w:rFonts w:hint="eastAsia" w:ascii="宋体" w:hAnsi="宋体" w:cs="宋体"/>
          <w:color w:val="auto"/>
          <w:szCs w:val="21"/>
          <w:highlight w:val="none"/>
        </w:rPr>
        <w:t>2.7标段划分：本项目划分一个标段。</w:t>
      </w:r>
    </w:p>
    <w:p>
      <w:pPr>
        <w:widowControl w:val="0"/>
        <w:wordWrap/>
        <w:adjustRightInd/>
        <w:snapToGrid/>
        <w:spacing w:line="440" w:lineRule="exact"/>
        <w:ind w:left="0" w:leftChars="0" w:right="0"/>
        <w:jc w:val="left"/>
        <w:textAlignment w:val="auto"/>
        <w:outlineLvl w:val="9"/>
        <w:rPr>
          <w:rFonts w:ascii="宋体" w:hAnsi="宋体" w:cs="宋体"/>
          <w:color w:val="auto"/>
          <w:szCs w:val="21"/>
          <w:highlight w:val="none"/>
        </w:rPr>
      </w:pPr>
      <w:r>
        <w:rPr>
          <w:rFonts w:hint="eastAsia" w:ascii="宋体" w:hAnsi="宋体" w:cs="宋体"/>
          <w:color w:val="auto"/>
          <w:szCs w:val="21"/>
          <w:highlight w:val="none"/>
        </w:rPr>
        <w:t>三．投标人资格要求</w:t>
      </w:r>
    </w:p>
    <w:p>
      <w:pPr>
        <w:widowControl w:val="0"/>
        <w:wordWrap/>
        <w:adjustRightInd/>
        <w:snapToGrid/>
        <w:spacing w:line="440" w:lineRule="exact"/>
        <w:ind w:left="0" w:leftChars="0" w:right="0" w:firstLine="420" w:firstLineChars="200"/>
        <w:jc w:val="left"/>
        <w:textAlignment w:val="auto"/>
        <w:outlineLvl w:val="9"/>
        <w:rPr>
          <w:rFonts w:ascii="宋体" w:hAnsi="宋体" w:cs="宋体"/>
          <w:color w:val="auto"/>
          <w:szCs w:val="21"/>
          <w:highlight w:val="none"/>
        </w:rPr>
      </w:pPr>
      <w:r>
        <w:rPr>
          <w:rFonts w:hint="eastAsia" w:ascii="宋体" w:hAnsi="宋体" w:cs="宋体"/>
          <w:color w:val="auto"/>
          <w:szCs w:val="21"/>
          <w:highlight w:val="none"/>
        </w:rPr>
        <w:t>3.1本次招标要求：投标人须具备独立法人资格，具备建筑工程施工总承包</w:t>
      </w:r>
      <w:r>
        <w:rPr>
          <w:rFonts w:hint="eastAsia" w:ascii="宋体" w:hAnsi="宋体" w:cs="宋体"/>
          <w:color w:val="auto"/>
          <w:szCs w:val="21"/>
          <w:highlight w:val="none"/>
          <w:lang w:eastAsia="zh-CN"/>
        </w:rPr>
        <w:t>贰</w:t>
      </w:r>
      <w:r>
        <w:rPr>
          <w:rFonts w:hint="eastAsia" w:ascii="宋体" w:hAnsi="宋体" w:cs="宋体"/>
          <w:color w:val="auto"/>
          <w:szCs w:val="21"/>
          <w:highlight w:val="none"/>
        </w:rPr>
        <w:t>级及以上资质；并在人员、设备、资金等方面具有相应的施工能力；</w:t>
      </w:r>
    </w:p>
    <w:p>
      <w:pPr>
        <w:widowControl w:val="0"/>
        <w:wordWrap/>
        <w:adjustRightInd/>
        <w:snapToGrid/>
        <w:spacing w:line="440" w:lineRule="exact"/>
        <w:ind w:left="0" w:leftChars="0" w:right="0" w:firstLine="420" w:firstLineChars="200"/>
        <w:jc w:val="left"/>
        <w:textAlignment w:val="auto"/>
        <w:outlineLvl w:val="9"/>
        <w:rPr>
          <w:rFonts w:ascii="宋体" w:hAnsi="宋体" w:cs="宋体"/>
          <w:color w:val="auto"/>
          <w:szCs w:val="21"/>
          <w:highlight w:val="none"/>
        </w:rPr>
      </w:pPr>
      <w:r>
        <w:rPr>
          <w:rFonts w:hint="eastAsia" w:ascii="宋体" w:hAnsi="宋体" w:cs="宋体"/>
          <w:color w:val="auto"/>
          <w:szCs w:val="21"/>
          <w:highlight w:val="none"/>
        </w:rPr>
        <w:t>3.2拟派项目经理具有贰级及以上的建筑工程专业项目经理资格证书且具有有效的安全考核B证目前无在建工程。（投标人出具加盖企业公章和法定代表人的印章的证明，如有在建，一经查实，取消中标资格同时投标保证金不予退还）。注：本文件所指“在建项目”是指：项目尚未竣工或已中标未开工。如果“在建项目”项目经理有变更情况的，需在投标文件中附变更证明材料，否则视为项目经理有“在建项目”。其认定及例外按照《河南省规范项目经理和项目总监任职行为的若该规定（试行）》执行。</w:t>
      </w:r>
    </w:p>
    <w:p>
      <w:pPr>
        <w:widowControl w:val="0"/>
        <w:wordWrap/>
        <w:adjustRightInd/>
        <w:snapToGrid/>
        <w:spacing w:line="440" w:lineRule="exact"/>
        <w:ind w:left="0" w:leftChars="0"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3.3本次招标不接受联合体投标。</w:t>
      </w:r>
    </w:p>
    <w:p>
      <w:pPr>
        <w:widowControl w:val="0"/>
        <w:wordWrap/>
        <w:adjustRightInd/>
        <w:snapToGrid/>
        <w:spacing w:line="440" w:lineRule="exact"/>
        <w:ind w:left="0" w:leftChars="0"/>
        <w:jc w:val="left"/>
        <w:textAlignment w:val="auto"/>
        <w:rPr>
          <w:rFonts w:ascii="宋体" w:hAnsi="宋体" w:cs="宋体"/>
          <w:color w:val="auto"/>
          <w:szCs w:val="21"/>
          <w:highlight w:val="none"/>
        </w:rPr>
      </w:pPr>
      <w:r>
        <w:rPr>
          <w:rFonts w:hint="eastAsia" w:ascii="宋体" w:hAnsi="宋体" w:cs="宋体"/>
          <w:color w:val="auto"/>
          <w:szCs w:val="21"/>
          <w:highlight w:val="none"/>
        </w:rPr>
        <w:t>四．报名须知</w:t>
      </w:r>
    </w:p>
    <w:p>
      <w:pPr>
        <w:widowControl w:val="0"/>
        <w:wordWrap/>
        <w:adjustRightInd/>
        <w:snapToGrid/>
        <w:spacing w:line="440" w:lineRule="exact"/>
        <w:ind w:left="0" w:leftChars="0"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本项目采用网上报名，已入库且资质符合的企业可以直接网上报名，未入库企业进入温县公共资源交易中心网(http://www.wxggzy.com/)按照《温县公共资源交易中心关于面向全国征集电子招投标会员的公告》要求先网上提交信息经工作人员通过审核后，方可带原件来现场备案入库并办理CA数字证书后报名。</w:t>
      </w:r>
    </w:p>
    <w:p>
      <w:pPr>
        <w:widowControl w:val="0"/>
        <w:wordWrap/>
        <w:adjustRightInd/>
        <w:snapToGrid/>
        <w:spacing w:line="440" w:lineRule="exact"/>
        <w:ind w:left="0" w:leftChars="0"/>
        <w:jc w:val="left"/>
        <w:textAlignment w:val="auto"/>
        <w:rPr>
          <w:rFonts w:ascii="宋体" w:hAnsi="宋体" w:cs="宋体"/>
          <w:color w:val="auto"/>
          <w:szCs w:val="21"/>
          <w:highlight w:val="none"/>
        </w:rPr>
      </w:pPr>
      <w:r>
        <w:rPr>
          <w:rFonts w:hint="eastAsia" w:ascii="宋体" w:hAnsi="宋体" w:cs="宋体"/>
          <w:color w:val="auto"/>
          <w:szCs w:val="21"/>
          <w:highlight w:val="none"/>
        </w:rPr>
        <w:t>五．报名时间</w:t>
      </w:r>
    </w:p>
    <w:p>
      <w:pPr>
        <w:widowControl w:val="0"/>
        <w:wordWrap/>
        <w:adjustRightInd/>
        <w:snapToGrid/>
        <w:spacing w:line="440" w:lineRule="exact"/>
        <w:ind w:left="0" w:leftChars="0"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lang w:eastAsia="zh-CN"/>
        </w:rPr>
        <w:t>2020</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 xml:space="preserve"> 时</w:t>
      </w:r>
      <w:r>
        <w:rPr>
          <w:rFonts w:hint="eastAsia" w:ascii="宋体" w:hAnsi="宋体" w:cs="宋体"/>
          <w:color w:val="auto"/>
          <w:szCs w:val="21"/>
          <w:highlight w:val="none"/>
          <w:lang w:val="en-US" w:eastAsia="zh-CN"/>
        </w:rPr>
        <w:t>00</w:t>
      </w:r>
      <w:r>
        <w:rPr>
          <w:rFonts w:hint="eastAsia" w:ascii="宋体" w:hAnsi="宋体" w:cs="宋体"/>
          <w:color w:val="auto"/>
          <w:szCs w:val="21"/>
          <w:highlight w:val="none"/>
        </w:rPr>
        <w:t xml:space="preserve"> 分--</w:t>
      </w:r>
      <w:r>
        <w:rPr>
          <w:rFonts w:hint="eastAsia" w:ascii="宋体" w:hAnsi="宋体" w:cs="宋体"/>
          <w:color w:val="auto"/>
          <w:szCs w:val="21"/>
          <w:highlight w:val="none"/>
          <w:lang w:eastAsia="zh-CN"/>
        </w:rPr>
        <w:t>2020</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日17 时30 分（节假日除外）</w:t>
      </w:r>
    </w:p>
    <w:p>
      <w:pPr>
        <w:widowControl w:val="0"/>
        <w:wordWrap/>
        <w:adjustRightInd/>
        <w:snapToGrid/>
        <w:spacing w:line="440" w:lineRule="exact"/>
        <w:ind w:left="0" w:leftChars="0"/>
        <w:jc w:val="left"/>
        <w:textAlignment w:val="auto"/>
        <w:rPr>
          <w:rFonts w:ascii="宋体" w:hAnsi="宋体" w:cs="宋体"/>
          <w:color w:val="auto"/>
          <w:szCs w:val="21"/>
          <w:highlight w:val="none"/>
        </w:rPr>
      </w:pPr>
      <w:r>
        <w:rPr>
          <w:rFonts w:hint="eastAsia" w:ascii="宋体" w:hAnsi="宋体" w:cs="宋体"/>
          <w:color w:val="auto"/>
          <w:szCs w:val="21"/>
          <w:highlight w:val="none"/>
        </w:rPr>
        <w:t>六．招标文件的获取</w:t>
      </w:r>
    </w:p>
    <w:p>
      <w:pPr>
        <w:widowControl w:val="0"/>
        <w:wordWrap/>
        <w:adjustRightInd/>
        <w:snapToGrid/>
        <w:spacing w:line="440" w:lineRule="exact"/>
        <w:ind w:left="0" w:leftChars="0"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 xml:space="preserve">6.1 </w:t>
      </w:r>
      <w:r>
        <w:rPr>
          <w:rFonts w:hint="eastAsia" w:ascii="宋体" w:hAnsi="宋体" w:cs="宋体"/>
          <w:color w:val="auto"/>
          <w:szCs w:val="21"/>
          <w:highlight w:val="none"/>
          <w:lang w:eastAsia="zh-CN"/>
        </w:rPr>
        <w:t>2020</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 xml:space="preserve"> 时</w:t>
      </w:r>
      <w:r>
        <w:rPr>
          <w:rFonts w:hint="eastAsia" w:ascii="宋体" w:hAnsi="宋体" w:cs="宋体"/>
          <w:color w:val="auto"/>
          <w:szCs w:val="21"/>
          <w:highlight w:val="none"/>
          <w:lang w:val="en-US" w:eastAsia="zh-CN"/>
        </w:rPr>
        <w:t>00</w:t>
      </w:r>
      <w:r>
        <w:rPr>
          <w:rFonts w:hint="eastAsia" w:ascii="宋体" w:hAnsi="宋体" w:cs="宋体"/>
          <w:color w:val="auto"/>
          <w:szCs w:val="21"/>
          <w:highlight w:val="none"/>
        </w:rPr>
        <w:t>分--</w:t>
      </w:r>
      <w:r>
        <w:rPr>
          <w:rFonts w:hint="eastAsia" w:ascii="宋体" w:hAnsi="宋体" w:cs="宋体"/>
          <w:color w:val="auto"/>
          <w:szCs w:val="21"/>
          <w:highlight w:val="none"/>
          <w:lang w:eastAsia="zh-CN"/>
        </w:rPr>
        <w:t>2020</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日17 时30 分，通过温县公共资源交易中心网站招标投标交易管理系统在报名缴费后自行下载；</w:t>
      </w:r>
    </w:p>
    <w:p>
      <w:pPr>
        <w:widowControl w:val="0"/>
        <w:wordWrap/>
        <w:adjustRightInd/>
        <w:snapToGrid/>
        <w:spacing w:line="440" w:lineRule="exact"/>
        <w:ind w:left="0" w:leftChars="0"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6.2通过网银购买招标文件，招标文件 300 元/份、手续费交易金额的7‰，0.5元封底，20元封顶。</w:t>
      </w:r>
    </w:p>
    <w:p>
      <w:pPr>
        <w:widowControl w:val="0"/>
        <w:wordWrap/>
        <w:adjustRightInd/>
        <w:snapToGrid/>
        <w:spacing w:line="440" w:lineRule="exact"/>
        <w:ind w:left="0" w:leftChars="0"/>
        <w:jc w:val="left"/>
        <w:textAlignment w:val="auto"/>
        <w:rPr>
          <w:rFonts w:ascii="宋体" w:hAnsi="宋体" w:cs="宋体"/>
          <w:color w:val="auto"/>
          <w:szCs w:val="21"/>
          <w:highlight w:val="none"/>
        </w:rPr>
      </w:pPr>
      <w:r>
        <w:rPr>
          <w:rFonts w:hint="eastAsia" w:ascii="宋体" w:hAnsi="宋体" w:cs="宋体"/>
          <w:color w:val="auto"/>
          <w:szCs w:val="21"/>
          <w:highlight w:val="none"/>
        </w:rPr>
        <w:t>七．投标文件的递交</w:t>
      </w:r>
    </w:p>
    <w:p>
      <w:pPr>
        <w:widowControl w:val="0"/>
        <w:wordWrap/>
        <w:adjustRightInd/>
        <w:snapToGrid/>
        <w:spacing w:line="440" w:lineRule="exact"/>
        <w:ind w:left="0" w:leftChars="0"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7.1 投标文件递交的截止时间（投标截止时间，下同）为</w:t>
      </w:r>
      <w:r>
        <w:rPr>
          <w:rFonts w:hint="eastAsia" w:ascii="宋体" w:hAnsi="宋体" w:cs="宋体"/>
          <w:color w:val="auto"/>
          <w:szCs w:val="21"/>
          <w:highlight w:val="none"/>
          <w:lang w:eastAsia="zh-CN"/>
        </w:rPr>
        <w:t>2020</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时</w:t>
      </w:r>
      <w:r>
        <w:rPr>
          <w:rFonts w:hint="eastAsia" w:ascii="宋体" w:hAnsi="宋体" w:cs="宋体"/>
          <w:color w:val="auto"/>
          <w:szCs w:val="21"/>
          <w:highlight w:val="none"/>
          <w:lang w:val="en-US" w:eastAsia="zh-CN"/>
        </w:rPr>
        <w:t>00</w:t>
      </w:r>
      <w:r>
        <w:rPr>
          <w:rFonts w:hint="eastAsia" w:ascii="宋体" w:hAnsi="宋体" w:cs="宋体"/>
          <w:color w:val="auto"/>
          <w:szCs w:val="21"/>
          <w:highlight w:val="none"/>
        </w:rPr>
        <w:t>分，地点为温县公共资源交易中心。</w:t>
      </w:r>
    </w:p>
    <w:p>
      <w:pPr>
        <w:widowControl w:val="0"/>
        <w:wordWrap/>
        <w:adjustRightInd/>
        <w:snapToGrid/>
        <w:spacing w:line="440" w:lineRule="exact"/>
        <w:ind w:left="0" w:leftChars="0"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7.2 逾期送达的或者未送达指定地点的投标文件，招标人不予受理。</w:t>
      </w:r>
    </w:p>
    <w:p>
      <w:pPr>
        <w:widowControl w:val="0"/>
        <w:wordWrap/>
        <w:adjustRightInd/>
        <w:snapToGrid/>
        <w:spacing w:line="440" w:lineRule="exact"/>
        <w:ind w:left="0" w:leftChars="0"/>
        <w:jc w:val="left"/>
        <w:textAlignment w:val="auto"/>
        <w:rPr>
          <w:rFonts w:ascii="宋体" w:hAnsi="宋体" w:cs="宋体"/>
          <w:color w:val="auto"/>
          <w:szCs w:val="21"/>
          <w:highlight w:val="none"/>
        </w:rPr>
      </w:pPr>
      <w:r>
        <w:rPr>
          <w:rFonts w:hint="eastAsia" w:ascii="宋体" w:hAnsi="宋体" w:cs="宋体"/>
          <w:color w:val="auto"/>
          <w:szCs w:val="21"/>
          <w:highlight w:val="none"/>
        </w:rPr>
        <w:t>八． 发布公告的媒介</w:t>
      </w:r>
    </w:p>
    <w:p>
      <w:pPr>
        <w:widowControl w:val="0"/>
        <w:wordWrap/>
        <w:adjustRightInd/>
        <w:snapToGrid/>
        <w:spacing w:line="440" w:lineRule="exact"/>
        <w:ind w:left="0" w:leftChars="0"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本次招标公告同时在《中国采购与招标网》、《河南省政府采购网》、</w:t>
      </w:r>
      <w:r>
        <w:rPr>
          <w:rFonts w:hint="eastAsia" w:ascii="宋体" w:hAnsi="宋体" w:cs="宋体"/>
          <w:color w:val="auto"/>
          <w:szCs w:val="21"/>
        </w:rPr>
        <w:t>《</w:t>
      </w:r>
      <w:r>
        <w:rPr>
          <w:rFonts w:hint="eastAsia" w:ascii="宋体" w:hAnsi="宋体" w:cs="宋体"/>
          <w:color w:val="auto"/>
          <w:szCs w:val="21"/>
          <w:shd w:val="clear" w:color="auto" w:fill="FFFFFF"/>
        </w:rPr>
        <w:t>焦作市公共资源交易中心网</w:t>
      </w:r>
      <w:r>
        <w:rPr>
          <w:rFonts w:hint="eastAsia" w:ascii="宋体" w:hAnsi="宋体" w:cs="宋体"/>
          <w:color w:val="auto"/>
          <w:szCs w:val="21"/>
        </w:rPr>
        <w:t>》</w:t>
      </w:r>
      <w:r>
        <w:rPr>
          <w:rFonts w:hint="eastAsia" w:ascii="宋体" w:hAnsi="宋体" w:cs="宋体"/>
          <w:color w:val="auto"/>
          <w:szCs w:val="21"/>
          <w:lang w:eastAsia="zh-CN"/>
        </w:rPr>
        <w:t>、</w:t>
      </w:r>
      <w:r>
        <w:rPr>
          <w:rFonts w:hint="eastAsia" w:ascii="宋体" w:hAnsi="宋体" w:cs="宋体"/>
          <w:color w:val="auto"/>
          <w:szCs w:val="21"/>
          <w:highlight w:val="none"/>
        </w:rPr>
        <w:t>《温县公共资源交易中心网》、《中国招标投标公共服务平台》上发布。</w:t>
      </w:r>
    </w:p>
    <w:p>
      <w:pPr>
        <w:widowControl w:val="0"/>
        <w:wordWrap/>
        <w:adjustRightInd/>
        <w:snapToGrid/>
        <w:spacing w:line="440" w:lineRule="exact"/>
        <w:ind w:left="0" w:leftChars="0"/>
        <w:jc w:val="left"/>
        <w:textAlignment w:val="auto"/>
        <w:rPr>
          <w:rFonts w:ascii="宋体" w:hAnsi="宋体" w:cs="宋体"/>
          <w:color w:val="auto"/>
          <w:szCs w:val="21"/>
          <w:highlight w:val="none"/>
        </w:rPr>
      </w:pPr>
      <w:r>
        <w:rPr>
          <w:rFonts w:hint="eastAsia" w:ascii="宋体" w:hAnsi="宋体" w:cs="宋体"/>
          <w:color w:val="auto"/>
          <w:szCs w:val="21"/>
          <w:highlight w:val="none"/>
        </w:rPr>
        <w:t>九. 其他</w:t>
      </w:r>
    </w:p>
    <w:p>
      <w:pPr>
        <w:widowControl w:val="0"/>
        <w:wordWrap/>
        <w:adjustRightInd/>
        <w:snapToGrid/>
        <w:spacing w:line="440" w:lineRule="exact"/>
        <w:ind w:left="0" w:leftChars="0"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投标保证金的形式：网上在线支付</w:t>
      </w:r>
    </w:p>
    <w:p>
      <w:pPr>
        <w:widowControl w:val="0"/>
        <w:wordWrap/>
        <w:adjustRightInd/>
        <w:snapToGrid/>
        <w:spacing w:line="440" w:lineRule="exact"/>
        <w:ind w:left="0" w:leftChars="0"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投标保证金的金额：</w:t>
      </w:r>
      <w:r>
        <w:rPr>
          <w:rFonts w:hint="eastAsia" w:ascii="宋体" w:hAnsi="宋体" w:cs="宋体"/>
          <w:color w:val="auto"/>
          <w:szCs w:val="21"/>
          <w:highlight w:val="none"/>
          <w:lang w:eastAsia="zh-CN"/>
        </w:rPr>
        <w:t>贰拾玖万伍仟元</w:t>
      </w:r>
      <w:r>
        <w:rPr>
          <w:rFonts w:hint="eastAsia" w:ascii="宋体" w:hAnsi="宋体" w:cs="宋体"/>
          <w:color w:val="auto"/>
          <w:szCs w:val="21"/>
          <w:highlight w:val="none"/>
          <w:lang w:val="en-US" w:eastAsia="zh-CN"/>
        </w:rPr>
        <w:t>整</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295000</w:t>
      </w:r>
      <w:r>
        <w:rPr>
          <w:rFonts w:hint="eastAsia" w:ascii="宋体" w:hAnsi="宋体" w:cs="宋体"/>
          <w:color w:val="auto"/>
          <w:szCs w:val="21"/>
          <w:highlight w:val="none"/>
        </w:rPr>
        <w:t>.00元）</w:t>
      </w:r>
    </w:p>
    <w:p>
      <w:pPr>
        <w:widowControl w:val="0"/>
        <w:wordWrap/>
        <w:adjustRightInd/>
        <w:snapToGrid/>
        <w:spacing w:line="440" w:lineRule="exact"/>
        <w:ind w:left="0" w:leftChars="0"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递交时间：</w:t>
      </w:r>
      <w:r>
        <w:rPr>
          <w:rFonts w:hint="eastAsia" w:ascii="宋体" w:hAnsi="宋体" w:cs="宋体"/>
          <w:color w:val="auto"/>
          <w:szCs w:val="21"/>
          <w:highlight w:val="none"/>
          <w:lang w:eastAsia="zh-CN"/>
        </w:rPr>
        <w:t>2020</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日16 时前，交至指定账户，以温县公共资源交易中心电子招标投标交易管理系统确认为准。</w:t>
      </w:r>
    </w:p>
    <w:p>
      <w:pPr>
        <w:widowControl w:val="0"/>
        <w:wordWrap/>
        <w:adjustRightInd/>
        <w:snapToGrid/>
        <w:spacing w:line="360" w:lineRule="auto"/>
        <w:ind w:left="0" w:lef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具体详见温县公共资源交易中心文件《温县公共资源交易中心关于面向全国征集电子招投标会员的公告》及《温县公共资源交易中心面向全国征集会员的补充公告》。</w:t>
      </w:r>
    </w:p>
    <w:p>
      <w:pPr>
        <w:pStyle w:val="18"/>
        <w:spacing w:line="360" w:lineRule="auto"/>
      </w:pPr>
      <w:r>
        <w:rPr>
          <w:rFonts w:hint="eastAsia"/>
        </w:rPr>
        <w:t>十、重要提醒事项</w:t>
      </w:r>
    </w:p>
    <w:p>
      <w:pPr>
        <w:pStyle w:val="18"/>
        <w:spacing w:line="360" w:lineRule="auto"/>
      </w:pPr>
      <w:r>
        <w:rPr>
          <w:rFonts w:hint="eastAsia"/>
        </w:rPr>
        <w:t>1、为全力做好疫情防控工作，最大限度减少人员聚集，请各投标人做好个人防护措施，每个投标单位只允许法定代表人或其委托代理人一人参加谈判会议（带身份证原件）。</w:t>
      </w:r>
    </w:p>
    <w:p>
      <w:pPr>
        <w:pStyle w:val="18"/>
        <w:spacing w:line="360" w:lineRule="auto"/>
      </w:pPr>
      <w:r>
        <w:rPr>
          <w:rFonts w:hint="eastAsia"/>
        </w:rPr>
        <w:t>2、会议开始前请各投标人及相关人员配合工作人员做好信息登记、消毒、体温检测以及现场填写健康承诺书等工作。</w:t>
      </w:r>
    </w:p>
    <w:p>
      <w:pPr>
        <w:pStyle w:val="18"/>
        <w:spacing w:line="360" w:lineRule="auto"/>
      </w:pPr>
      <w:r>
        <w:rPr>
          <w:rFonts w:hint="eastAsia"/>
        </w:rPr>
        <w:t>3、为确保判文件递交时间充分，请各投标人提前到达开标现场。</w:t>
      </w:r>
    </w:p>
    <w:p>
      <w:pPr>
        <w:widowControl w:val="0"/>
        <w:wordWrap/>
        <w:adjustRightInd/>
        <w:snapToGrid/>
        <w:spacing w:line="440" w:lineRule="exact"/>
        <w:ind w:left="0" w:leftChars="0"/>
        <w:jc w:val="left"/>
        <w:textAlignment w:val="auto"/>
        <w:rPr>
          <w:rFonts w:ascii="宋体" w:hAnsi="宋体" w:cs="宋体"/>
          <w:color w:val="auto"/>
          <w:szCs w:val="21"/>
          <w:highlight w:val="none"/>
        </w:rPr>
      </w:pPr>
      <w:r>
        <w:rPr>
          <w:rFonts w:hint="eastAsia" w:ascii="宋体" w:hAnsi="宋体" w:cs="宋体"/>
          <w:color w:val="auto"/>
          <w:szCs w:val="21"/>
          <w:highlight w:val="none"/>
        </w:rPr>
        <w:t>十</w:t>
      </w:r>
      <w:r>
        <w:rPr>
          <w:rFonts w:hint="eastAsia" w:ascii="宋体" w:hAnsi="宋体" w:cs="宋体"/>
          <w:color w:val="auto"/>
          <w:szCs w:val="21"/>
          <w:highlight w:val="none"/>
          <w:lang w:eastAsia="zh-CN"/>
        </w:rPr>
        <w:t>一</w:t>
      </w:r>
      <w:r>
        <w:rPr>
          <w:rFonts w:hint="eastAsia" w:ascii="宋体" w:hAnsi="宋体" w:cs="宋体"/>
          <w:color w:val="auto"/>
          <w:szCs w:val="21"/>
          <w:highlight w:val="none"/>
        </w:rPr>
        <w:t>．联系方式</w:t>
      </w:r>
    </w:p>
    <w:p>
      <w:pPr>
        <w:widowControl w:val="0"/>
        <w:wordWrap/>
        <w:adjustRightInd/>
        <w:snapToGrid/>
        <w:spacing w:line="440" w:lineRule="exact"/>
        <w:ind w:left="0" w:leftChars="0"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招标人：</w:t>
      </w:r>
      <w:r>
        <w:rPr>
          <w:rFonts w:hint="eastAsia" w:ascii="宋体" w:hAnsi="宋体" w:cs="宋体"/>
          <w:color w:val="auto"/>
          <w:szCs w:val="21"/>
          <w:highlight w:val="none"/>
          <w:lang w:eastAsia="zh-CN"/>
        </w:rPr>
        <w:t>温县第一高级中学</w:t>
      </w:r>
    </w:p>
    <w:p>
      <w:pPr>
        <w:widowControl w:val="0"/>
        <w:wordWrap/>
        <w:adjustRightInd/>
        <w:snapToGrid/>
        <w:spacing w:line="440" w:lineRule="exact"/>
        <w:ind w:left="0" w:leftChars="0"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联系人：</w:t>
      </w:r>
      <w:r>
        <w:rPr>
          <w:rFonts w:hint="eastAsia" w:ascii="宋体" w:hAnsi="宋体" w:cs="宋体"/>
          <w:color w:val="auto"/>
          <w:szCs w:val="21"/>
          <w:highlight w:val="none"/>
          <w:lang w:eastAsia="zh-CN"/>
        </w:rPr>
        <w:t>郑先生</w:t>
      </w:r>
      <w:r>
        <w:rPr>
          <w:rFonts w:hint="eastAsia" w:ascii="宋体" w:hAnsi="宋体" w:cs="宋体"/>
          <w:color w:val="auto"/>
          <w:szCs w:val="21"/>
          <w:highlight w:val="none"/>
        </w:rPr>
        <w:t xml:space="preserve">   </w:t>
      </w:r>
    </w:p>
    <w:p>
      <w:pPr>
        <w:widowControl w:val="0"/>
        <w:wordWrap/>
        <w:adjustRightInd/>
        <w:snapToGrid/>
        <w:spacing w:line="440" w:lineRule="exact"/>
        <w:ind w:left="0" w:leftChars="0" w:firstLine="420" w:firstLineChars="200"/>
        <w:jc w:val="left"/>
        <w:textAlignment w:val="auto"/>
        <w:rPr>
          <w:rFonts w:hint="default" w:ascii="宋体" w:hAnsi="宋体" w:cs="宋体"/>
          <w:color w:val="auto"/>
          <w:szCs w:val="21"/>
          <w:highlight w:val="none"/>
          <w:lang w:val="en-US"/>
        </w:rPr>
      </w:pPr>
      <w:r>
        <w:rPr>
          <w:rFonts w:hint="eastAsia" w:ascii="宋体" w:hAnsi="宋体" w:cs="宋体"/>
          <w:color w:val="auto"/>
          <w:szCs w:val="21"/>
          <w:highlight w:val="none"/>
        </w:rPr>
        <w:t>电话：</w:t>
      </w:r>
      <w:r>
        <w:rPr>
          <w:rFonts w:hint="eastAsia" w:ascii="宋体" w:hAnsi="宋体" w:cs="宋体"/>
          <w:color w:val="auto"/>
          <w:szCs w:val="21"/>
          <w:highlight w:val="none"/>
          <w:lang w:val="en-US" w:eastAsia="zh-CN"/>
        </w:rPr>
        <w:t>13782712707</w:t>
      </w:r>
    </w:p>
    <w:p>
      <w:pPr>
        <w:widowControl w:val="0"/>
        <w:wordWrap/>
        <w:adjustRightInd/>
        <w:snapToGrid/>
        <w:spacing w:line="440" w:lineRule="exact"/>
        <w:ind w:left="0" w:leftChars="0"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 xml:space="preserve">地址： </w:t>
      </w:r>
      <w:r>
        <w:rPr>
          <w:rFonts w:hint="eastAsia" w:ascii="宋体" w:hAnsi="宋体" w:cs="宋体"/>
          <w:color w:val="auto"/>
          <w:szCs w:val="21"/>
          <w:highlight w:val="none"/>
          <w:lang w:eastAsia="zh-CN"/>
        </w:rPr>
        <w:t>温县温徐路与新洛路交叉口</w:t>
      </w:r>
    </w:p>
    <w:p>
      <w:pPr>
        <w:widowControl w:val="0"/>
        <w:wordWrap/>
        <w:adjustRightInd/>
        <w:snapToGrid/>
        <w:spacing w:line="440" w:lineRule="exact"/>
        <w:ind w:left="0" w:lef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代理机构：卓信工程咨询有限公司</w:t>
      </w:r>
    </w:p>
    <w:p>
      <w:pPr>
        <w:widowControl w:val="0"/>
        <w:wordWrap/>
        <w:adjustRightInd/>
        <w:snapToGrid/>
        <w:spacing w:line="440" w:lineRule="exact"/>
        <w:ind w:left="0" w:lef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联 系 人：朱先生</w:t>
      </w:r>
    </w:p>
    <w:p>
      <w:pPr>
        <w:widowControl w:val="0"/>
        <w:wordWrap/>
        <w:adjustRightInd/>
        <w:snapToGrid/>
        <w:spacing w:line="440" w:lineRule="exact"/>
        <w:ind w:left="0" w:leftChars="0" w:firstLine="420" w:firstLineChars="200"/>
        <w:jc w:val="left"/>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联系电话：</w:t>
      </w:r>
      <w:r>
        <w:rPr>
          <w:rFonts w:hint="eastAsia" w:ascii="宋体" w:hAnsi="宋体" w:cs="宋体"/>
          <w:color w:val="auto"/>
          <w:szCs w:val="21"/>
          <w:highlight w:val="none"/>
          <w:lang w:val="en-US" w:eastAsia="zh-CN"/>
        </w:rPr>
        <w:t>17639903921</w:t>
      </w:r>
    </w:p>
    <w:p>
      <w:pPr>
        <w:widowControl w:val="0"/>
        <w:wordWrap/>
        <w:adjustRightInd/>
        <w:snapToGrid/>
        <w:spacing w:line="440" w:lineRule="exact"/>
        <w:ind w:left="0" w:lef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地    址：郑州市金水区黄河路1号院1幢10层1001--1003号</w:t>
      </w:r>
    </w:p>
    <w:p>
      <w:pPr>
        <w:widowControl w:val="0"/>
        <w:wordWrap/>
        <w:adjustRightInd/>
        <w:snapToGrid/>
        <w:spacing w:line="440" w:lineRule="exact"/>
        <w:ind w:left="0" w:leftChars="0"/>
        <w:jc w:val="left"/>
        <w:textAlignment w:val="auto"/>
        <w:rPr>
          <w:rFonts w:ascii="宋体" w:hAnsi="宋体" w:cs="宋体"/>
          <w:color w:val="auto"/>
          <w:szCs w:val="21"/>
          <w:highlight w:val="none"/>
        </w:rPr>
      </w:pPr>
      <w:r>
        <w:rPr>
          <w:rFonts w:hint="eastAsia" w:ascii="宋体" w:hAnsi="宋体" w:cs="宋体"/>
          <w:color w:val="auto"/>
          <w:szCs w:val="21"/>
          <w:highlight w:val="none"/>
        </w:rPr>
        <w:t>十</w:t>
      </w:r>
      <w:r>
        <w:rPr>
          <w:rFonts w:hint="eastAsia" w:ascii="宋体" w:hAnsi="宋体" w:cs="宋体"/>
          <w:color w:val="auto"/>
          <w:szCs w:val="21"/>
          <w:highlight w:val="none"/>
          <w:lang w:eastAsia="zh-CN"/>
        </w:rPr>
        <w:t>二</w:t>
      </w:r>
      <w:r>
        <w:rPr>
          <w:rFonts w:hint="eastAsia" w:ascii="宋体" w:hAnsi="宋体" w:cs="宋体"/>
          <w:color w:val="auto"/>
          <w:szCs w:val="21"/>
          <w:highlight w:val="none"/>
        </w:rPr>
        <w:t>. 监督单位：</w:t>
      </w:r>
    </w:p>
    <w:p>
      <w:pPr>
        <w:widowControl w:val="0"/>
        <w:wordWrap/>
        <w:adjustRightInd/>
        <w:snapToGrid/>
        <w:spacing w:line="440" w:lineRule="exact"/>
        <w:ind w:left="0" w:leftChars="0" w:right="420"/>
        <w:jc w:val="both"/>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监督部门：温县住房和城乡建设局       联系电话：0391-6192411</w:t>
      </w:r>
    </w:p>
    <w:p>
      <w:pPr>
        <w:widowControl w:val="0"/>
        <w:wordWrap/>
        <w:adjustRightInd/>
        <w:snapToGrid/>
        <w:spacing w:line="440" w:lineRule="exact"/>
        <w:ind w:left="0" w:leftChars="0"/>
        <w:jc w:val="right"/>
        <w:textAlignment w:val="auto"/>
        <w:rPr>
          <w:rFonts w:ascii="宋体" w:hAnsi="宋体" w:cs="宋体"/>
          <w:color w:val="auto"/>
          <w:szCs w:val="21"/>
          <w:highlight w:val="none"/>
        </w:rPr>
      </w:pPr>
      <w:r>
        <w:rPr>
          <w:rFonts w:hint="eastAsia" w:ascii="宋体" w:hAnsi="宋体" w:cs="宋体"/>
          <w:color w:val="auto"/>
          <w:szCs w:val="21"/>
          <w:highlight w:val="none"/>
          <w:lang w:eastAsia="zh-CN"/>
        </w:rPr>
        <w:t>2020</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日</w:t>
      </w:r>
    </w:p>
    <w:p>
      <w:pPr>
        <w:rPr>
          <w:rFonts w:ascii="宋体" w:hAnsi="宋体" w:cs="宋体"/>
          <w:color w:val="auto"/>
          <w:highlight w:val="none"/>
        </w:rPr>
      </w:pPr>
      <w:bookmarkStart w:id="19" w:name="_Toc466470775"/>
      <w:bookmarkStart w:id="20" w:name="_Toc466470905"/>
    </w:p>
    <w:p>
      <w:pPr>
        <w:pStyle w:val="3"/>
        <w:spacing w:line="440" w:lineRule="exact"/>
        <w:jc w:val="center"/>
        <w:rPr>
          <w:rFonts w:ascii="宋体" w:hAnsi="宋体" w:cs="宋体"/>
          <w:color w:val="auto"/>
          <w:highlight w:val="none"/>
        </w:rPr>
      </w:pPr>
      <w:r>
        <w:rPr>
          <w:rFonts w:hint="eastAsia" w:ascii="宋体" w:hAnsi="宋体" w:cs="宋体"/>
          <w:color w:val="auto"/>
          <w:highlight w:val="none"/>
        </w:rPr>
        <w:t>第二章 投标人须知</w:t>
      </w:r>
      <w:bookmarkEnd w:id="12"/>
      <w:bookmarkEnd w:id="13"/>
      <w:bookmarkEnd w:id="14"/>
      <w:bookmarkEnd w:id="15"/>
      <w:bookmarkEnd w:id="16"/>
      <w:bookmarkEnd w:id="17"/>
      <w:bookmarkEnd w:id="18"/>
      <w:bookmarkEnd w:id="19"/>
      <w:bookmarkEnd w:id="20"/>
    </w:p>
    <w:p>
      <w:pPr>
        <w:pStyle w:val="4"/>
        <w:spacing w:before="0" w:after="0" w:line="440" w:lineRule="exact"/>
        <w:jc w:val="center"/>
        <w:rPr>
          <w:rFonts w:ascii="宋体" w:hAnsi="宋体" w:eastAsia="宋体" w:cs="宋体"/>
          <w:color w:val="auto"/>
          <w:highlight w:val="none"/>
        </w:rPr>
      </w:pPr>
      <w:bookmarkStart w:id="21" w:name="_Toc466470776"/>
      <w:bookmarkStart w:id="22" w:name="_Toc246996917"/>
      <w:bookmarkStart w:id="23" w:name="_Toc179632545"/>
      <w:bookmarkStart w:id="24" w:name="_Toc144974496"/>
      <w:bookmarkStart w:id="25" w:name="_Toc247085688"/>
      <w:bookmarkStart w:id="26" w:name="_Toc246996174"/>
      <w:bookmarkStart w:id="27" w:name="_Toc152045528"/>
      <w:bookmarkStart w:id="28" w:name="_Toc466470906"/>
      <w:bookmarkStart w:id="29" w:name="_Toc152042304"/>
      <w:r>
        <w:rPr>
          <w:rFonts w:hint="eastAsia" w:ascii="宋体" w:hAnsi="宋体" w:eastAsia="宋体" w:cs="宋体"/>
          <w:color w:val="auto"/>
          <w:highlight w:val="none"/>
        </w:rPr>
        <w:t>投标人须知前附表</w:t>
      </w:r>
      <w:bookmarkEnd w:id="21"/>
      <w:bookmarkEnd w:id="22"/>
      <w:bookmarkEnd w:id="23"/>
      <w:bookmarkEnd w:id="24"/>
      <w:bookmarkEnd w:id="25"/>
      <w:bookmarkEnd w:id="26"/>
      <w:bookmarkEnd w:id="27"/>
      <w:bookmarkEnd w:id="28"/>
      <w:bookmarkEnd w:id="29"/>
    </w:p>
    <w:p>
      <w:pPr>
        <w:rPr>
          <w:rFonts w:ascii="宋体" w:hAnsi="宋体" w:cs="宋体"/>
          <w:color w:val="auto"/>
          <w:highlight w:val="none"/>
        </w:rPr>
      </w:pPr>
    </w:p>
    <w:tbl>
      <w:tblPr>
        <w:tblStyle w:val="15"/>
        <w:tblW w:w="8904" w:type="dxa"/>
        <w:tblInd w:w="-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9"/>
        <w:gridCol w:w="129"/>
        <w:gridCol w:w="2564"/>
        <w:gridCol w:w="142"/>
        <w:gridCol w:w="51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b/>
                <w:color w:val="auto"/>
                <w:szCs w:val="21"/>
                <w:highlight w:val="none"/>
              </w:rPr>
            </w:pPr>
            <w:r>
              <w:rPr>
                <w:rFonts w:hint="eastAsia" w:ascii="宋体" w:hAnsi="宋体" w:cs="宋体"/>
                <w:b/>
                <w:color w:val="auto"/>
                <w:szCs w:val="21"/>
                <w:highlight w:val="none"/>
              </w:rPr>
              <w:t>条  款  名  称</w:t>
            </w:r>
          </w:p>
        </w:tc>
        <w:tc>
          <w:tcPr>
            <w:tcW w:w="51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b/>
                <w:color w:val="auto"/>
                <w:szCs w:val="21"/>
                <w:highlight w:val="none"/>
              </w:rPr>
            </w:pPr>
            <w:r>
              <w:rPr>
                <w:rFonts w:hint="eastAsia" w:ascii="宋体" w:hAnsi="宋体" w:cs="宋体"/>
                <w:b/>
                <w:color w:val="auto"/>
                <w:szCs w:val="21"/>
                <w:highlight w:val="none"/>
              </w:rPr>
              <w:t>编  列  内  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2" w:hRule="atLeast"/>
        </w:trPr>
        <w:tc>
          <w:tcPr>
            <w:tcW w:w="8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1.1.2</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招标人</w:t>
            </w:r>
          </w:p>
        </w:tc>
        <w:tc>
          <w:tcPr>
            <w:tcW w:w="5180"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40" w:lineRule="exact"/>
              <w:jc w:val="lef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招标人：</w:t>
            </w:r>
            <w:r>
              <w:rPr>
                <w:rFonts w:hint="eastAsia" w:ascii="宋体" w:hAnsi="宋体" w:cs="宋体"/>
                <w:color w:val="auto"/>
                <w:szCs w:val="21"/>
                <w:highlight w:val="none"/>
                <w:lang w:eastAsia="zh-CN"/>
              </w:rPr>
              <w:t>温县第一高级中学</w:t>
            </w:r>
          </w:p>
          <w:p>
            <w:pPr>
              <w:widowControl w:val="0"/>
              <w:wordWrap/>
              <w:adjustRightInd/>
              <w:snapToGrid/>
              <w:spacing w:line="440" w:lineRule="exact"/>
              <w:jc w:val="left"/>
              <w:textAlignment w:val="auto"/>
              <w:rPr>
                <w:rFonts w:ascii="宋体" w:hAnsi="宋体" w:cs="宋体"/>
                <w:color w:val="auto"/>
                <w:szCs w:val="21"/>
                <w:highlight w:val="none"/>
              </w:rPr>
            </w:pPr>
            <w:r>
              <w:rPr>
                <w:rFonts w:hint="eastAsia" w:ascii="宋体" w:hAnsi="宋体" w:cs="宋体"/>
                <w:color w:val="auto"/>
                <w:szCs w:val="21"/>
                <w:highlight w:val="none"/>
              </w:rPr>
              <w:t>联系人：</w:t>
            </w:r>
            <w:r>
              <w:rPr>
                <w:rFonts w:hint="eastAsia" w:ascii="宋体" w:hAnsi="宋体" w:cs="宋体"/>
                <w:color w:val="auto"/>
                <w:szCs w:val="21"/>
                <w:highlight w:val="none"/>
                <w:lang w:eastAsia="zh-CN"/>
              </w:rPr>
              <w:t>郑先生</w:t>
            </w:r>
          </w:p>
          <w:p>
            <w:pPr>
              <w:widowControl w:val="0"/>
              <w:wordWrap/>
              <w:adjustRightInd/>
              <w:snapToGrid/>
              <w:spacing w:line="440" w:lineRule="exact"/>
              <w:jc w:val="left"/>
              <w:textAlignment w:val="auto"/>
              <w:rPr>
                <w:rFonts w:hint="default" w:ascii="宋体" w:hAnsi="宋体" w:cs="宋体"/>
                <w:color w:val="auto"/>
                <w:szCs w:val="21"/>
                <w:highlight w:val="none"/>
                <w:lang w:val="en-US"/>
              </w:rPr>
            </w:pPr>
            <w:r>
              <w:rPr>
                <w:rFonts w:hint="eastAsia" w:ascii="宋体" w:hAnsi="宋体" w:cs="宋体"/>
                <w:color w:val="auto"/>
                <w:szCs w:val="21"/>
                <w:highlight w:val="none"/>
              </w:rPr>
              <w:t>电话：</w:t>
            </w:r>
            <w:r>
              <w:rPr>
                <w:rFonts w:hint="eastAsia" w:ascii="宋体" w:hAnsi="宋体" w:cs="宋体"/>
                <w:color w:val="auto"/>
                <w:szCs w:val="21"/>
                <w:highlight w:val="none"/>
                <w:lang w:val="en-US" w:eastAsia="zh-CN"/>
              </w:rPr>
              <w:t>13782712707</w:t>
            </w:r>
          </w:p>
          <w:p>
            <w:pPr>
              <w:widowControl w:val="0"/>
              <w:wordWrap/>
              <w:adjustRightInd/>
              <w:snapToGrid/>
              <w:spacing w:line="440" w:lineRule="exact"/>
              <w:jc w:val="left"/>
              <w:textAlignment w:val="auto"/>
              <w:rPr>
                <w:rFonts w:ascii="宋体" w:hAnsi="宋体" w:cs="宋体"/>
                <w:color w:val="auto"/>
                <w:szCs w:val="21"/>
                <w:highlight w:val="none"/>
              </w:rPr>
            </w:pPr>
            <w:r>
              <w:rPr>
                <w:rFonts w:hint="eastAsia" w:ascii="宋体" w:hAnsi="宋体" w:cs="宋体"/>
                <w:color w:val="auto"/>
                <w:szCs w:val="21"/>
                <w:highlight w:val="none"/>
              </w:rPr>
              <w:t xml:space="preserve">地址： </w:t>
            </w:r>
            <w:r>
              <w:rPr>
                <w:rFonts w:hint="eastAsia" w:ascii="宋体" w:hAnsi="宋体" w:cs="宋体"/>
                <w:color w:val="auto"/>
                <w:szCs w:val="21"/>
                <w:highlight w:val="none"/>
                <w:lang w:eastAsia="zh-CN"/>
              </w:rPr>
              <w:t>温县温徐路与新洛路交叉口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8" w:hRule="atLeast"/>
        </w:trPr>
        <w:tc>
          <w:tcPr>
            <w:tcW w:w="8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1.1.3</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招标代理机构</w:t>
            </w:r>
          </w:p>
        </w:tc>
        <w:tc>
          <w:tcPr>
            <w:tcW w:w="5180"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40" w:lineRule="exact"/>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代理机构：卓信工程咨询有限公司</w:t>
            </w:r>
          </w:p>
          <w:p>
            <w:pPr>
              <w:widowControl w:val="0"/>
              <w:wordWrap/>
              <w:adjustRightInd/>
              <w:snapToGrid/>
              <w:spacing w:line="440" w:lineRule="exact"/>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联 系 人：朱先生</w:t>
            </w:r>
          </w:p>
          <w:p>
            <w:pPr>
              <w:widowControl w:val="0"/>
              <w:wordWrap/>
              <w:adjustRightInd/>
              <w:snapToGrid/>
              <w:spacing w:line="440" w:lineRule="exact"/>
              <w:jc w:val="left"/>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联系电话：</w:t>
            </w:r>
            <w:r>
              <w:rPr>
                <w:rFonts w:hint="eastAsia" w:ascii="宋体" w:hAnsi="宋体" w:cs="宋体"/>
                <w:color w:val="auto"/>
                <w:szCs w:val="21"/>
                <w:highlight w:val="none"/>
                <w:lang w:val="en-US" w:eastAsia="zh-CN"/>
              </w:rPr>
              <w:t>17639903921</w:t>
            </w:r>
            <w:bookmarkStart w:id="1367" w:name="_GoBack"/>
            <w:bookmarkEnd w:id="1367"/>
          </w:p>
          <w:p>
            <w:pPr>
              <w:widowControl w:val="0"/>
              <w:wordWrap/>
              <w:adjustRightInd/>
              <w:snapToGrid/>
              <w:spacing w:line="440" w:lineRule="exact"/>
              <w:jc w:val="lef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地    址：郑州市金水区黄河路1号院1幢10层1001--1003号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1" w:hRule="atLeast"/>
        </w:trPr>
        <w:tc>
          <w:tcPr>
            <w:tcW w:w="8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1.1.4</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51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color w:val="auto"/>
                <w:highlight w:val="none"/>
                <w:shd w:val="clear" w:color="auto" w:fill="FFFFFF"/>
                <w:lang w:eastAsia="zh-CN"/>
              </w:rPr>
            </w:pPr>
            <w:r>
              <w:rPr>
                <w:rFonts w:hint="eastAsia" w:ascii="宋体" w:hAnsi="宋体" w:cs="宋体"/>
                <w:color w:val="auto"/>
                <w:szCs w:val="21"/>
                <w:highlight w:val="none"/>
                <w:lang w:eastAsia="zh-CN"/>
              </w:rPr>
              <w:t xml:space="preserve"> 温县第一高级中学综合教学楼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8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1.1.5</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建设地点</w:t>
            </w:r>
          </w:p>
        </w:tc>
        <w:tc>
          <w:tcPr>
            <w:tcW w:w="51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lang w:eastAsia="zh-CN"/>
              </w:rPr>
              <w:t xml:space="preserve"> 温县第一高级中学</w:t>
            </w:r>
            <w:r>
              <w:rPr>
                <w:rFonts w:hint="eastAsia" w:ascii="宋体" w:hAnsi="宋体" w:cs="宋体"/>
                <w:color w:val="auto"/>
                <w:szCs w:val="21"/>
                <w:highlight w:val="none"/>
              </w:rPr>
              <w:t>院内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trPr>
        <w:tc>
          <w:tcPr>
            <w:tcW w:w="8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1.1.6</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项目概况</w:t>
            </w:r>
          </w:p>
        </w:tc>
        <w:tc>
          <w:tcPr>
            <w:tcW w:w="5180"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宋体" w:hAnsi="宋体" w:cs="宋体"/>
                <w:color w:val="auto"/>
                <w:szCs w:val="21"/>
                <w:highlight w:val="none"/>
              </w:rPr>
            </w:pPr>
            <w:r>
              <w:rPr>
                <w:rFonts w:hint="eastAsia" w:ascii="宋体" w:hAnsi="宋体" w:cs="宋体"/>
                <w:color w:val="auto"/>
                <w:szCs w:val="21"/>
                <w:highlight w:val="none"/>
              </w:rPr>
              <w:t>该项目为新建综合教学楼，建筑面积8007.57平方米，地上5层（局部4层），建筑高度19.95米，框架结构，抗震防裂度为7度，抗震等级二级。具体内容详见工程量清单及施工图纸。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1.2.1</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资金来源及比例</w:t>
            </w:r>
          </w:p>
        </w:tc>
        <w:tc>
          <w:tcPr>
            <w:tcW w:w="51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财政资金（省、县）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1.2.2</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资金落实情况</w:t>
            </w:r>
          </w:p>
        </w:tc>
        <w:tc>
          <w:tcPr>
            <w:tcW w:w="51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已落实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1.3.1</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招标范围</w:t>
            </w:r>
          </w:p>
        </w:tc>
        <w:tc>
          <w:tcPr>
            <w:tcW w:w="51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color w:val="auto"/>
                <w:szCs w:val="21"/>
                <w:highlight w:val="none"/>
                <w:shd w:val="clear" w:color="auto" w:fill="FFFFFF"/>
              </w:rPr>
            </w:pPr>
            <w:r>
              <w:rPr>
                <w:rFonts w:hint="eastAsia" w:ascii="宋体" w:hAnsi="宋体" w:cs="宋体"/>
                <w:color w:val="auto"/>
                <w:highlight w:val="none"/>
              </w:rPr>
              <w:t>招标文件</w:t>
            </w:r>
            <w:r>
              <w:rPr>
                <w:rFonts w:hint="eastAsia" w:ascii="宋体" w:hAnsi="宋体" w:cs="宋体"/>
                <w:color w:val="auto"/>
                <w:highlight w:val="none"/>
                <w:lang w:eastAsia="zh-CN"/>
              </w:rPr>
              <w:t>、施工图纸</w:t>
            </w:r>
            <w:r>
              <w:rPr>
                <w:rFonts w:hint="eastAsia" w:ascii="宋体" w:hAnsi="宋体" w:cs="宋体"/>
                <w:color w:val="auto"/>
                <w:highlight w:val="none"/>
              </w:rPr>
              <w:t>所有内容及工程量清单所包含的全部内容；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1.3.2</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计划工期</w:t>
            </w:r>
          </w:p>
        </w:tc>
        <w:tc>
          <w:tcPr>
            <w:tcW w:w="51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300天</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计划开工、竣工日期：以合同为准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8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1.3.3</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质量要求</w:t>
            </w:r>
          </w:p>
        </w:tc>
        <w:tc>
          <w:tcPr>
            <w:tcW w:w="51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1.4.1</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投标人资质条件、能力</w:t>
            </w:r>
          </w:p>
        </w:tc>
        <w:tc>
          <w:tcPr>
            <w:tcW w:w="51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pacing w:val="-4"/>
                <w:szCs w:val="21"/>
                <w:highlight w:val="none"/>
              </w:rPr>
            </w:pPr>
            <w:r>
              <w:rPr>
                <w:rFonts w:hint="eastAsia" w:ascii="宋体" w:hAnsi="宋体" w:cs="宋体"/>
                <w:b/>
                <w:color w:val="auto"/>
                <w:spacing w:val="-4"/>
                <w:szCs w:val="21"/>
                <w:highlight w:val="none"/>
              </w:rPr>
              <w:t>资质条件：</w:t>
            </w:r>
            <w:r>
              <w:rPr>
                <w:rFonts w:hint="eastAsia" w:ascii="宋体" w:hAnsi="宋体" w:cs="宋体"/>
                <w:color w:val="auto"/>
                <w:spacing w:val="-4"/>
                <w:szCs w:val="21"/>
                <w:highlight w:val="none"/>
              </w:rPr>
              <w:t>投标人须具备独立法人资格，具备建筑工程施工总承包</w:t>
            </w:r>
            <w:r>
              <w:rPr>
                <w:rFonts w:hint="eastAsia" w:ascii="宋体" w:hAnsi="宋体" w:cs="宋体"/>
                <w:color w:val="auto"/>
                <w:spacing w:val="-4"/>
                <w:szCs w:val="21"/>
                <w:highlight w:val="none"/>
                <w:lang w:eastAsia="zh-CN"/>
              </w:rPr>
              <w:t>贰</w:t>
            </w:r>
            <w:r>
              <w:rPr>
                <w:rFonts w:hint="eastAsia" w:ascii="宋体" w:hAnsi="宋体" w:cs="宋体"/>
                <w:color w:val="auto"/>
                <w:spacing w:val="-4"/>
                <w:szCs w:val="21"/>
                <w:highlight w:val="none"/>
              </w:rPr>
              <w:t>级及以上资质；并在人员、设备、资金等方面具有相应的施工能力；</w:t>
            </w:r>
          </w:p>
          <w:p>
            <w:pPr>
              <w:spacing w:line="400" w:lineRule="exact"/>
              <w:rPr>
                <w:rFonts w:ascii="宋体" w:hAnsi="宋体" w:cs="宋体"/>
                <w:color w:val="auto"/>
                <w:spacing w:val="-4"/>
                <w:szCs w:val="21"/>
                <w:highlight w:val="none"/>
              </w:rPr>
            </w:pPr>
            <w:r>
              <w:rPr>
                <w:rFonts w:hint="eastAsia" w:ascii="宋体" w:hAnsi="宋体" w:cs="宋体"/>
                <w:b/>
                <w:color w:val="auto"/>
                <w:szCs w:val="21"/>
                <w:highlight w:val="none"/>
              </w:rPr>
              <w:t>项目经理资格：</w:t>
            </w:r>
            <w:r>
              <w:rPr>
                <w:rFonts w:hint="eastAsia" w:ascii="宋体" w:hAnsi="宋体" w:cs="宋体"/>
                <w:color w:val="auto"/>
                <w:spacing w:val="-4"/>
                <w:szCs w:val="21"/>
                <w:highlight w:val="none"/>
              </w:rPr>
              <w:t>拟派项目经理具有贰级及以上的建筑工程专业项目经理资格证书且具有有效的安全考核B证</w:t>
            </w:r>
            <w:r>
              <w:rPr>
                <w:rFonts w:hint="eastAsia" w:ascii="宋体" w:hAnsi="宋体" w:cs="宋体"/>
                <w:color w:val="auto"/>
                <w:spacing w:val="4"/>
                <w:szCs w:val="21"/>
                <w:highlight w:val="none"/>
              </w:rPr>
              <w:t>；拟派项目经理目前无在建工程</w:t>
            </w:r>
            <w:r>
              <w:rPr>
                <w:rFonts w:hint="eastAsia" w:ascii="宋体" w:hAnsi="宋体" w:cs="宋体"/>
                <w:b/>
                <w:color w:val="auto"/>
                <w:spacing w:val="4"/>
                <w:szCs w:val="21"/>
                <w:highlight w:val="none"/>
              </w:rPr>
              <w:t>（投标人出具加盖企业公章和法定代表人的印章的证明，如有在建，一经查实，取消中标资格</w:t>
            </w:r>
            <w:r>
              <w:rPr>
                <w:rFonts w:hint="eastAsia" w:ascii="宋体" w:hAnsi="宋体" w:cs="宋体"/>
                <w:b/>
                <w:color w:val="auto"/>
                <w:szCs w:val="21"/>
                <w:highlight w:val="none"/>
              </w:rPr>
              <w:t>同时投标保证金不予退还）。</w:t>
            </w:r>
            <w:r>
              <w:rPr>
                <w:rFonts w:hint="eastAsia" w:ascii="宋体" w:hAnsi="宋体" w:cs="宋体"/>
                <w:color w:val="auto"/>
                <w:szCs w:val="21"/>
                <w:highlight w:val="none"/>
              </w:rPr>
              <w:t>注：本文件所指“在建项目”是指：项目尚未竣工或已中标未开工。如果“在建项目”项目经理有变更情况的，需在投标文件中附变更证明材料，否则视为项目经理有“在建项目”。其认定及例外按照《河南省规范项目经理和项目总监任职行为的若该规定（试行）》执行。</w:t>
            </w:r>
          </w:p>
          <w:p>
            <w:pPr>
              <w:spacing w:line="400" w:lineRule="exact"/>
              <w:rPr>
                <w:rFonts w:ascii="宋体" w:hAnsi="宋体" w:cs="宋体"/>
                <w:color w:val="auto"/>
                <w:szCs w:val="21"/>
                <w:highlight w:val="none"/>
              </w:rPr>
            </w:pPr>
            <w:r>
              <w:rPr>
                <w:rFonts w:hint="eastAsia" w:ascii="宋体" w:hAnsi="宋体" w:cs="宋体"/>
                <w:b/>
                <w:color w:val="auto"/>
                <w:szCs w:val="21"/>
                <w:highlight w:val="none"/>
              </w:rPr>
              <w:t>诚信要求:</w:t>
            </w:r>
            <w:r>
              <w:rPr>
                <w:rFonts w:hint="eastAsia" w:ascii="宋体" w:hAnsi="宋体" w:cs="宋体"/>
                <w:color w:val="auto"/>
                <w:szCs w:val="21"/>
                <w:highlight w:val="none"/>
              </w:rPr>
              <w:t>（执行《关于在招标投标活动中对失信被执行人实施联合惩戒的通知》法（2016）285号文件）：投标人在“信用中国”网站（www.creditchina.gov.cn）上，没有被列为失信被执行人的。企业没有处于被责令停业、被暂停或取消投标资格、财产被接管或冻结状态（投标人出具网页彩色截图加盖企业法人章证明）。</w:t>
            </w:r>
          </w:p>
          <w:p>
            <w:pPr>
              <w:spacing w:line="400" w:lineRule="exact"/>
              <w:rPr>
                <w:rFonts w:ascii="宋体" w:hAnsi="宋体" w:cs="宋体"/>
                <w:b/>
                <w:color w:val="auto"/>
                <w:szCs w:val="21"/>
                <w:highlight w:val="none"/>
              </w:rPr>
            </w:pPr>
            <w:r>
              <w:rPr>
                <w:rFonts w:hint="eastAsia" w:ascii="宋体" w:hAnsi="宋体" w:cs="宋体"/>
                <w:b/>
                <w:color w:val="auto"/>
                <w:szCs w:val="21"/>
                <w:highlight w:val="none"/>
              </w:rPr>
              <w:t>财务要求：</w:t>
            </w:r>
            <w:r>
              <w:rPr>
                <w:rFonts w:hint="eastAsia" w:ascii="宋体" w:hAnsi="宋体" w:cs="宋体"/>
                <w:color w:val="auto"/>
                <w:szCs w:val="21"/>
                <w:highlight w:val="none"/>
                <w:lang w:eastAsia="zh-CN"/>
              </w:rPr>
              <w:t>近三年财务状况良好</w:t>
            </w:r>
            <w:r>
              <w:rPr>
                <w:rFonts w:hint="eastAsia" w:ascii="宋体" w:hAnsi="宋体" w:cs="宋体"/>
                <w:bCs/>
                <w:color w:val="auto"/>
                <w:highlight w:val="none"/>
              </w:rPr>
              <w:t>（投标人成立不足3年时从实际成立时间算起）</w:t>
            </w:r>
            <w:r>
              <w:rPr>
                <w:rFonts w:hint="eastAsia" w:ascii="宋体" w:hAnsi="宋体" w:cs="宋体"/>
                <w:color w:val="auto"/>
                <w:szCs w:val="21"/>
                <w:highlight w:val="none"/>
              </w:rPr>
              <w:t>；</w:t>
            </w:r>
          </w:p>
          <w:p>
            <w:pPr>
              <w:widowControl w:val="0"/>
              <w:wordWrap/>
              <w:adjustRightInd/>
              <w:snapToGrid/>
              <w:spacing w:before="0" w:after="0" w:line="400" w:lineRule="exact"/>
              <w:ind w:left="0" w:leftChars="0" w:right="0"/>
              <w:textAlignment w:val="auto"/>
              <w:outlineLvl w:val="9"/>
              <w:rPr>
                <w:rFonts w:ascii="宋体" w:hAnsi="宋体" w:cs="宋体"/>
                <w:color w:val="auto"/>
                <w:szCs w:val="21"/>
                <w:highlight w:val="none"/>
              </w:rPr>
            </w:pPr>
            <w:r>
              <w:rPr>
                <w:rFonts w:hint="eastAsia" w:ascii="宋体" w:hAnsi="宋体" w:cs="宋体"/>
                <w:b/>
                <w:color w:val="auto"/>
                <w:szCs w:val="21"/>
                <w:highlight w:val="none"/>
              </w:rPr>
              <w:t>业绩要求：</w:t>
            </w:r>
            <w:r>
              <w:rPr>
                <w:rFonts w:hint="eastAsia" w:ascii="宋体" w:hAnsi="宋体" w:cs="宋体"/>
                <w:color w:val="auto"/>
                <w:sz w:val="21"/>
                <w:szCs w:val="21"/>
                <w:highlight w:val="none"/>
                <w:lang w:eastAsia="zh-CN"/>
              </w:rPr>
              <w:t>近三年内（</w:t>
            </w:r>
            <w:r>
              <w:rPr>
                <w:rFonts w:hint="eastAsia" w:ascii="宋体" w:hAnsi="宋体" w:cs="宋体"/>
                <w:color w:val="auto"/>
                <w:sz w:val="21"/>
                <w:szCs w:val="21"/>
                <w:highlight w:val="none"/>
                <w:lang w:val="en-US" w:eastAsia="zh-CN"/>
              </w:rPr>
              <w:t>2016年12月31日—2019年12月31日</w:t>
            </w:r>
            <w:r>
              <w:rPr>
                <w:rFonts w:hint="eastAsia" w:ascii="宋体" w:hAnsi="宋体" w:cs="宋体"/>
                <w:color w:val="auto"/>
                <w:sz w:val="21"/>
                <w:szCs w:val="21"/>
                <w:highlight w:val="none"/>
                <w:lang w:eastAsia="zh-CN"/>
              </w:rPr>
              <w:t>）中标且竣工的业绩</w:t>
            </w:r>
            <w:r>
              <w:rPr>
                <w:rFonts w:hint="eastAsia" w:ascii="宋体" w:hAnsi="宋体" w:cs="宋体"/>
                <w:color w:val="auto"/>
                <w:sz w:val="21"/>
                <w:szCs w:val="21"/>
                <w:highlight w:val="none"/>
                <w:lang w:val="en-US" w:eastAsia="zh-CN"/>
              </w:rPr>
              <w:t>。</w:t>
            </w:r>
            <w:r>
              <w:rPr>
                <w:rFonts w:hint="eastAsia" w:ascii="宋体" w:hAnsi="宋体" w:cs="宋体"/>
                <w:color w:val="auto"/>
                <w:szCs w:val="21"/>
                <w:highlight w:val="none"/>
                <w:u w:val="none" w:color="auto"/>
                <w:lang w:val="en-US" w:eastAsia="zh-CN"/>
              </w:rPr>
              <w:t>（须提供中标网页公示截图加盖公章，中标通知书、施工合同、竣工验收报告原件）</w:t>
            </w:r>
          </w:p>
          <w:p>
            <w:pPr>
              <w:spacing w:line="400" w:lineRule="exact"/>
              <w:rPr>
                <w:rFonts w:ascii="宋体" w:hAnsi="宋体" w:cs="宋体"/>
                <w:b/>
                <w:color w:val="auto"/>
                <w:szCs w:val="21"/>
                <w:highlight w:val="none"/>
              </w:rPr>
            </w:pPr>
            <w:r>
              <w:rPr>
                <w:rFonts w:hint="eastAsia" w:ascii="宋体" w:hAnsi="宋体" w:cs="宋体"/>
                <w:b/>
                <w:color w:val="auto"/>
                <w:szCs w:val="21"/>
                <w:highlight w:val="none"/>
              </w:rPr>
              <w:t>无行贿犯罪记录承诺书：</w:t>
            </w:r>
            <w:r>
              <w:rPr>
                <w:rFonts w:hint="eastAsia" w:ascii="宋体" w:hAnsi="宋体" w:cs="宋体"/>
                <w:color w:val="auto"/>
                <w:highlight w:val="none"/>
              </w:rPr>
              <w:t>投标单位提供无行贿犯罪记录承诺书（出具由“中国裁判文书网”网站查询近三年来法人、法定代表人、法定代表人委托人、项目经理无行贿犯罪记录网页截图加盖企业公章证明）。</w:t>
            </w:r>
          </w:p>
          <w:p>
            <w:pPr>
              <w:spacing w:line="400" w:lineRule="exact"/>
              <w:rPr>
                <w:rFonts w:ascii="宋体" w:hAnsi="宋体" w:cs="宋体"/>
                <w:color w:val="auto"/>
                <w:highlight w:val="none"/>
              </w:rPr>
            </w:pPr>
            <w:r>
              <w:rPr>
                <w:rFonts w:hint="eastAsia" w:ascii="宋体" w:hAnsi="宋体" w:cs="宋体"/>
                <w:b/>
                <w:color w:val="auto"/>
                <w:szCs w:val="21"/>
                <w:highlight w:val="none"/>
              </w:rPr>
              <w:t>其他要求：</w:t>
            </w:r>
            <w:r>
              <w:rPr>
                <w:rFonts w:hint="eastAsia" w:ascii="宋体" w:hAnsi="宋体" w:cs="宋体"/>
                <w:color w:val="auto"/>
                <w:highlight w:val="none"/>
              </w:rPr>
              <w:t>（以下证件均为原件于开标时交到工作人员处，否则视为自动放弃投标，不再接收其投标文件）</w:t>
            </w:r>
          </w:p>
          <w:p>
            <w:pPr>
              <w:spacing w:line="400" w:lineRule="exact"/>
              <w:rPr>
                <w:rFonts w:ascii="宋体" w:hAnsi="宋体" w:cs="宋体"/>
                <w:b/>
                <w:color w:val="auto"/>
                <w:highlight w:val="none"/>
              </w:rPr>
            </w:pPr>
            <w:r>
              <w:rPr>
                <w:rFonts w:hint="eastAsia" w:ascii="宋体" w:hAnsi="宋体" w:cs="宋体"/>
                <w:color w:val="auto"/>
                <w:highlight w:val="none"/>
              </w:rPr>
              <w:t>法定代表人持本人身份证及身份证复印件（复印件须加盖公章）或授权委托人持法定代表人身份证明、法定代表人授权委托书及本人身份证（复印件须加盖公章）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1.9.1</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踏勘现场</w:t>
            </w:r>
          </w:p>
        </w:tc>
        <w:tc>
          <w:tcPr>
            <w:tcW w:w="5180" w:type="dxa"/>
            <w:tcBorders>
              <w:top w:val="single" w:color="auto" w:sz="4" w:space="0"/>
              <w:left w:val="single" w:color="auto" w:sz="4" w:space="0"/>
              <w:bottom w:val="single" w:color="auto" w:sz="4" w:space="0"/>
              <w:right w:val="single" w:color="auto" w:sz="4" w:space="0"/>
            </w:tcBorders>
            <w:vAlign w:val="center"/>
          </w:tcPr>
          <w:p>
            <w:pPr>
              <w:pStyle w:val="6"/>
              <w:spacing w:line="360" w:lineRule="exact"/>
              <w:rPr>
                <w:rFonts w:hAnsi="宋体" w:cs="宋体"/>
                <w:color w:val="auto"/>
                <w:szCs w:val="21"/>
                <w:highlight w:val="none"/>
              </w:rPr>
            </w:pPr>
            <w:r>
              <w:rPr>
                <w:rFonts w:hint="eastAsia" w:hAnsi="宋体" w:cs="宋体"/>
                <w:color w:val="auto"/>
                <w:sz w:val="21"/>
                <w:szCs w:val="21"/>
                <w:highlight w:val="none"/>
              </w:rPr>
              <w:t>不组织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1.10.1</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投标预备会</w:t>
            </w:r>
          </w:p>
        </w:tc>
        <w:tc>
          <w:tcPr>
            <w:tcW w:w="5180" w:type="dxa"/>
            <w:tcBorders>
              <w:top w:val="single" w:color="auto" w:sz="4" w:space="0"/>
              <w:left w:val="single" w:color="auto" w:sz="4" w:space="0"/>
              <w:bottom w:val="single" w:color="auto" w:sz="4" w:space="0"/>
              <w:right w:val="single" w:color="auto" w:sz="4" w:space="0"/>
            </w:tcBorders>
            <w:vAlign w:val="center"/>
          </w:tcPr>
          <w:p>
            <w:pPr>
              <w:pStyle w:val="6"/>
              <w:spacing w:line="360" w:lineRule="exact"/>
              <w:rPr>
                <w:rFonts w:hAnsi="宋体" w:cs="宋体"/>
                <w:color w:val="auto"/>
                <w:sz w:val="32"/>
                <w:szCs w:val="32"/>
                <w:highlight w:val="none"/>
              </w:rPr>
            </w:pPr>
            <w:r>
              <w:rPr>
                <w:rFonts w:hint="eastAsia" w:hAnsi="宋体" w:cs="宋体"/>
                <w:color w:val="auto"/>
                <w:sz w:val="21"/>
                <w:szCs w:val="21"/>
                <w:highlight w:val="none"/>
              </w:rPr>
              <w:t>不召开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1.10.2</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投标人提出问题的截止时间</w:t>
            </w:r>
          </w:p>
        </w:tc>
        <w:tc>
          <w:tcPr>
            <w:tcW w:w="518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递交投标文件截止时间10天前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8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1.10.3</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招标人书面澄清的时间</w:t>
            </w:r>
          </w:p>
        </w:tc>
        <w:tc>
          <w:tcPr>
            <w:tcW w:w="518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Cs w:val="21"/>
                <w:highlight w:val="none"/>
              </w:rPr>
            </w:pPr>
            <w:r>
              <w:rPr>
                <w:rFonts w:hint="eastAsia" w:ascii="宋体" w:hAnsi="宋体" w:cs="宋体"/>
                <w:color w:val="auto"/>
                <w:highlight w:val="none"/>
              </w:rPr>
              <w:t>自收到异议之日起3日内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8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1.11</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偏离</w:t>
            </w:r>
          </w:p>
        </w:tc>
        <w:tc>
          <w:tcPr>
            <w:tcW w:w="5180" w:type="dxa"/>
            <w:tcBorders>
              <w:top w:val="single" w:color="auto" w:sz="4" w:space="0"/>
              <w:left w:val="single" w:color="auto" w:sz="4" w:space="0"/>
              <w:bottom w:val="single" w:color="auto" w:sz="4" w:space="0"/>
              <w:right w:val="single" w:color="auto" w:sz="4" w:space="0"/>
            </w:tcBorders>
            <w:vAlign w:val="center"/>
          </w:tcPr>
          <w:p>
            <w:pPr>
              <w:pStyle w:val="6"/>
              <w:spacing w:line="360" w:lineRule="exact"/>
              <w:rPr>
                <w:rFonts w:hAnsi="宋体" w:cs="宋体"/>
                <w:color w:val="auto"/>
                <w:sz w:val="21"/>
                <w:szCs w:val="21"/>
                <w:highlight w:val="none"/>
              </w:rPr>
            </w:pPr>
            <w:r>
              <w:rPr>
                <w:rFonts w:hint="eastAsia" w:hAnsi="宋体" w:cs="宋体"/>
                <w:color w:val="auto"/>
                <w:sz w:val="21"/>
                <w:szCs w:val="21"/>
                <w:highlight w:val="none"/>
              </w:rPr>
              <w:t>不允许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2.1</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构成招标文件的其他材料</w:t>
            </w:r>
          </w:p>
        </w:tc>
        <w:tc>
          <w:tcPr>
            <w:tcW w:w="518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Cs w:val="21"/>
                <w:highlight w:val="none"/>
              </w:rPr>
            </w:pPr>
            <w:r>
              <w:rPr>
                <w:rFonts w:hint="eastAsia" w:ascii="宋体" w:hAnsi="宋体" w:cs="宋体"/>
                <w:color w:val="auto"/>
                <w:highlight w:val="none"/>
              </w:rPr>
              <w:t>工程量清单以及招标人在招标期间发出的有编号的补遗书和其它有效正式函件。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8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2.2.1</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投标人要求澄清招标文件的截止时间</w:t>
            </w:r>
          </w:p>
        </w:tc>
        <w:tc>
          <w:tcPr>
            <w:tcW w:w="518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Cs w:val="21"/>
                <w:highlight w:val="none"/>
              </w:rPr>
            </w:pPr>
            <w:r>
              <w:rPr>
                <w:rFonts w:hint="eastAsia" w:ascii="宋体" w:hAnsi="宋体" w:cs="宋体"/>
                <w:color w:val="auto"/>
                <w:highlight w:val="none"/>
              </w:rPr>
              <w:t>同投标人提出问题的截止时间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8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2.2.2</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投标截止时间</w:t>
            </w:r>
          </w:p>
        </w:tc>
        <w:tc>
          <w:tcPr>
            <w:tcW w:w="518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u w:val="single"/>
                <w:lang w:eastAsia="zh-CN"/>
              </w:rPr>
              <w:t>2020</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9</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00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2.2.3</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投标人确认收到招标文件澄清的时间</w:t>
            </w:r>
          </w:p>
        </w:tc>
        <w:tc>
          <w:tcPr>
            <w:tcW w:w="518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同招标人书面澄清的时间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2.3.2</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投标人确认收到招标文件修改的时间</w:t>
            </w:r>
          </w:p>
        </w:tc>
        <w:tc>
          <w:tcPr>
            <w:tcW w:w="518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同招标人书面澄清的时间，投标截止时间15日前，不足15日的，招标人应当顺延提交投标文件的截止时间。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3.1.1</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构成投标文件的其他材料</w:t>
            </w:r>
          </w:p>
        </w:tc>
        <w:tc>
          <w:tcPr>
            <w:tcW w:w="5180"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420" w:lineRule="exact"/>
              <w:rPr>
                <w:rFonts w:ascii="宋体" w:hAnsi="宋体" w:cs="宋体"/>
                <w:color w:val="auto"/>
                <w:highlight w:val="none"/>
              </w:rPr>
            </w:pPr>
            <w:r>
              <w:rPr>
                <w:rFonts w:hint="eastAsia" w:ascii="宋体" w:hAnsi="宋体" w:cs="宋体"/>
                <w:color w:val="auto"/>
                <w:highlight w:val="none"/>
              </w:rPr>
              <w:t>按招标文件要求。</w:t>
            </w:r>
          </w:p>
          <w:p>
            <w:pPr>
              <w:spacing w:line="420" w:lineRule="exact"/>
              <w:rPr>
                <w:rFonts w:ascii="宋体" w:hAnsi="宋体" w:cs="宋体"/>
                <w:color w:val="auto"/>
                <w:szCs w:val="21"/>
                <w:highlight w:val="none"/>
              </w:rPr>
            </w:pPr>
            <w:r>
              <w:rPr>
                <w:rFonts w:hint="eastAsia" w:ascii="宋体" w:hAnsi="宋体" w:cs="宋体"/>
                <w:color w:val="auto"/>
                <w:highlight w:val="none"/>
              </w:rPr>
              <w:t>注：</w:t>
            </w:r>
            <w:r>
              <w:rPr>
                <w:rFonts w:hint="eastAsia" w:ascii="宋体" w:hAnsi="宋体" w:cs="宋体"/>
                <w:b/>
                <w:color w:val="auto"/>
                <w:highlight w:val="none"/>
              </w:rPr>
              <w:t>资格审查资料所需证件均为复印件，开标时提供相应原件并列明清单，供评委评审。（资质证书提供原件或复印件加盖公章，可通过“全国建筑市场监管与诚信信息发布平台”、“河南省建筑市场监管信息系统暨一体化工作平台”以及资质证书二维码标识查阅企业相关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3.3.1</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投标有效期</w:t>
            </w:r>
          </w:p>
        </w:tc>
        <w:tc>
          <w:tcPr>
            <w:tcW w:w="518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u w:val="single"/>
              </w:rPr>
              <w:t xml:space="preserve"> 60 </w:t>
            </w:r>
            <w:r>
              <w:rPr>
                <w:rFonts w:hint="eastAsia" w:ascii="宋体" w:hAnsi="宋体" w:cs="宋体"/>
                <w:color w:val="auto"/>
                <w:szCs w:val="21"/>
                <w:highlight w:val="none"/>
              </w:rPr>
              <w:t>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3.4.1</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投标保证金</w:t>
            </w:r>
          </w:p>
        </w:tc>
        <w:tc>
          <w:tcPr>
            <w:tcW w:w="5180" w:type="dxa"/>
            <w:tcBorders>
              <w:top w:val="single" w:color="auto" w:sz="4" w:space="0"/>
              <w:left w:val="single" w:color="auto" w:sz="4" w:space="0"/>
              <w:bottom w:val="single" w:color="auto" w:sz="4" w:space="0"/>
              <w:right w:val="single" w:color="auto" w:sz="4" w:space="0"/>
            </w:tcBorders>
            <w:vAlign w:val="center"/>
          </w:tcPr>
          <w:p>
            <w:pPr>
              <w:spacing w:line="420" w:lineRule="exact"/>
              <w:jc w:val="left"/>
              <w:rPr>
                <w:rFonts w:ascii="宋体" w:hAnsi="宋体" w:cs="宋体"/>
                <w:color w:val="auto"/>
                <w:szCs w:val="21"/>
                <w:highlight w:val="none"/>
              </w:rPr>
            </w:pPr>
            <w:r>
              <w:rPr>
                <w:rFonts w:hint="eastAsia" w:ascii="宋体" w:hAnsi="宋体" w:cs="宋体"/>
                <w:color w:val="auto"/>
                <w:szCs w:val="21"/>
                <w:highlight w:val="none"/>
              </w:rPr>
              <w:t>投标保证金的形式：网上在线支付</w:t>
            </w:r>
          </w:p>
          <w:p>
            <w:pPr>
              <w:spacing w:line="420" w:lineRule="exact"/>
              <w:jc w:val="left"/>
              <w:rPr>
                <w:rFonts w:ascii="宋体" w:hAnsi="宋体" w:cs="宋体"/>
                <w:color w:val="auto"/>
                <w:szCs w:val="21"/>
                <w:highlight w:val="none"/>
              </w:rPr>
            </w:pPr>
            <w:r>
              <w:rPr>
                <w:rFonts w:hint="eastAsia" w:ascii="宋体" w:hAnsi="宋体" w:cs="宋体"/>
                <w:color w:val="auto"/>
                <w:szCs w:val="21"/>
                <w:highlight w:val="none"/>
              </w:rPr>
              <w:t>网上缴纳投标保证金：通过7家商业银行：工商银行、农业银行、中国银行、建设银行、交通银行、招商银行、中信银行的企业网银缴纳投标保证金(企业网银支付投标保证金的前提条件是：企业账户开通网上银行功能，以下4家有特殊要求：中国农业银行：智博版网银（必须用智博版网银，智锐版网银不能进行网上支付）</w:t>
            </w:r>
          </w:p>
          <w:p>
            <w:pPr>
              <w:spacing w:line="420" w:lineRule="exact"/>
              <w:jc w:val="left"/>
              <w:rPr>
                <w:rFonts w:ascii="宋体" w:hAnsi="宋体" w:cs="宋体"/>
                <w:color w:val="auto"/>
                <w:szCs w:val="21"/>
                <w:highlight w:val="none"/>
              </w:rPr>
            </w:pPr>
            <w:r>
              <w:rPr>
                <w:rFonts w:hint="eastAsia" w:ascii="宋体" w:hAnsi="宋体" w:cs="宋体"/>
                <w:color w:val="auto"/>
                <w:szCs w:val="21"/>
                <w:highlight w:val="none"/>
              </w:rPr>
              <w:t>中国建设银行：企业高级版网银（必须用高级版网银）</w:t>
            </w:r>
          </w:p>
          <w:p>
            <w:pPr>
              <w:spacing w:line="420" w:lineRule="exact"/>
              <w:jc w:val="left"/>
              <w:rPr>
                <w:rFonts w:ascii="宋体" w:hAnsi="宋体" w:cs="宋体"/>
                <w:color w:val="auto"/>
                <w:szCs w:val="21"/>
                <w:highlight w:val="none"/>
              </w:rPr>
            </w:pPr>
            <w:r>
              <w:rPr>
                <w:rFonts w:hint="eastAsia" w:ascii="宋体" w:hAnsi="宋体" w:cs="宋体"/>
                <w:color w:val="auto"/>
                <w:szCs w:val="21"/>
                <w:highlight w:val="none"/>
              </w:rPr>
              <w:t>中国交通银行：管理员在网银中设置操作员权限</w:t>
            </w:r>
          </w:p>
          <w:p>
            <w:pPr>
              <w:spacing w:line="420" w:lineRule="exact"/>
              <w:jc w:val="left"/>
              <w:rPr>
                <w:rFonts w:ascii="宋体" w:hAnsi="宋体" w:cs="宋体"/>
                <w:color w:val="auto"/>
                <w:szCs w:val="21"/>
                <w:highlight w:val="none"/>
              </w:rPr>
            </w:pPr>
            <w:r>
              <w:rPr>
                <w:rFonts w:hint="eastAsia" w:ascii="宋体" w:hAnsi="宋体" w:cs="宋体"/>
                <w:color w:val="auto"/>
                <w:szCs w:val="21"/>
                <w:highlight w:val="none"/>
              </w:rPr>
              <w:t>中国招商银行：管理员在招行U-Bank软件中设置（用网银前确认先客户端已安装）)，手续费15元/笔。</w:t>
            </w:r>
          </w:p>
          <w:p>
            <w:pPr>
              <w:spacing w:line="420" w:lineRule="exact"/>
              <w:jc w:val="left"/>
              <w:rPr>
                <w:rFonts w:ascii="宋体" w:hAnsi="宋体" w:cs="宋体"/>
                <w:color w:val="auto"/>
                <w:szCs w:val="21"/>
                <w:highlight w:val="none"/>
              </w:rPr>
            </w:pPr>
            <w:r>
              <w:rPr>
                <w:rFonts w:hint="eastAsia" w:ascii="宋体" w:hAnsi="宋体" w:cs="宋体"/>
                <w:color w:val="auto"/>
                <w:szCs w:val="21"/>
                <w:highlight w:val="none"/>
              </w:rPr>
              <w:t>企业网银缴纳咨询电话：客服电话：400 880 9888-8</w:t>
            </w:r>
          </w:p>
          <w:p>
            <w:pPr>
              <w:spacing w:line="420" w:lineRule="exact"/>
              <w:jc w:val="left"/>
              <w:rPr>
                <w:rFonts w:ascii="宋体" w:hAnsi="宋体" w:cs="宋体"/>
                <w:color w:val="auto"/>
                <w:szCs w:val="21"/>
                <w:highlight w:val="none"/>
              </w:rPr>
            </w:pPr>
            <w:r>
              <w:rPr>
                <w:rFonts w:hint="eastAsia" w:ascii="宋体" w:hAnsi="宋体" w:cs="宋体"/>
                <w:color w:val="auto"/>
                <w:szCs w:val="21"/>
                <w:highlight w:val="none"/>
              </w:rPr>
              <w:t>客服电话：010-58903377/010-58903336。</w:t>
            </w:r>
          </w:p>
          <w:p>
            <w:pPr>
              <w:spacing w:line="420" w:lineRule="exact"/>
              <w:jc w:val="left"/>
              <w:rPr>
                <w:rFonts w:ascii="宋体" w:hAnsi="宋体" w:cs="宋体"/>
                <w:color w:val="auto"/>
                <w:spacing w:val="-14"/>
                <w:szCs w:val="21"/>
                <w:highlight w:val="none"/>
              </w:rPr>
            </w:pPr>
            <w:r>
              <w:rPr>
                <w:rFonts w:hint="eastAsia" w:ascii="宋体" w:hAnsi="宋体" w:cs="宋体"/>
                <w:color w:val="auto"/>
                <w:spacing w:val="-14"/>
                <w:szCs w:val="21"/>
                <w:highlight w:val="none"/>
              </w:rPr>
              <w:t>投标保证金的金额：</w:t>
            </w:r>
          </w:p>
          <w:p>
            <w:pPr>
              <w:spacing w:line="420" w:lineRule="exact"/>
              <w:jc w:val="left"/>
              <w:rPr>
                <w:rFonts w:ascii="宋体" w:hAnsi="宋体" w:cs="宋体"/>
                <w:color w:val="auto"/>
                <w:szCs w:val="21"/>
                <w:highlight w:val="none"/>
                <w:lang w:val="zh-CN"/>
              </w:rPr>
            </w:pPr>
            <w:r>
              <w:rPr>
                <w:rFonts w:hint="eastAsia" w:ascii="宋体" w:hAnsi="宋体" w:cs="宋体"/>
                <w:color w:val="auto"/>
                <w:szCs w:val="21"/>
                <w:highlight w:val="none"/>
                <w:lang w:val="zh-CN"/>
              </w:rPr>
              <w:t>人民币：</w:t>
            </w:r>
            <w:r>
              <w:rPr>
                <w:rFonts w:hint="eastAsia" w:ascii="宋体" w:hAnsi="宋体" w:cs="宋体"/>
                <w:color w:val="auto"/>
                <w:szCs w:val="21"/>
                <w:highlight w:val="none"/>
                <w:lang w:val="en-US" w:eastAsia="zh-CN"/>
              </w:rPr>
              <w:t>贰拾玖万伍仟元</w:t>
            </w:r>
            <w:r>
              <w:rPr>
                <w:rFonts w:hint="eastAsia" w:ascii="宋体" w:hAnsi="宋体" w:cs="宋体"/>
                <w:color w:val="auto"/>
                <w:szCs w:val="21"/>
                <w:highlight w:val="none"/>
              </w:rPr>
              <w:t>整</w:t>
            </w:r>
            <w:r>
              <w:rPr>
                <w:rFonts w:hint="eastAsia" w:ascii="宋体" w:hAnsi="宋体" w:cs="宋体"/>
                <w:color w:val="auto"/>
                <w:szCs w:val="21"/>
                <w:highlight w:val="none"/>
                <w:lang w:val="zh-CN"/>
              </w:rPr>
              <w:t>（</w:t>
            </w:r>
            <w:r>
              <w:rPr>
                <w:rFonts w:hint="eastAsia" w:ascii="宋体" w:hAnsi="宋体" w:cs="宋体"/>
                <w:color w:val="auto"/>
                <w:szCs w:val="21"/>
                <w:highlight w:val="none"/>
              </w:rPr>
              <w:t>¥</w:t>
            </w:r>
            <w:r>
              <w:rPr>
                <w:rFonts w:hint="eastAsia" w:ascii="宋体" w:hAnsi="宋体" w:cs="宋体"/>
                <w:color w:val="auto"/>
                <w:szCs w:val="21"/>
                <w:highlight w:val="none"/>
                <w:lang w:val="zh-CN"/>
              </w:rPr>
              <w:t>：</w:t>
            </w:r>
            <w:r>
              <w:rPr>
                <w:rFonts w:hint="eastAsia" w:ascii="宋体" w:hAnsi="宋体" w:cs="宋体"/>
                <w:color w:val="auto"/>
                <w:szCs w:val="21"/>
                <w:highlight w:val="none"/>
                <w:lang w:val="en-US" w:eastAsia="zh-CN"/>
              </w:rPr>
              <w:t>295000</w:t>
            </w:r>
            <w:r>
              <w:rPr>
                <w:rFonts w:hint="eastAsia" w:ascii="宋体" w:hAnsi="宋体" w:cs="宋体"/>
                <w:color w:val="auto"/>
                <w:szCs w:val="21"/>
                <w:highlight w:val="none"/>
              </w:rPr>
              <w:t>.00</w:t>
            </w:r>
            <w:r>
              <w:rPr>
                <w:rFonts w:hint="eastAsia" w:ascii="宋体" w:hAnsi="宋体" w:cs="宋体"/>
                <w:color w:val="auto"/>
                <w:szCs w:val="21"/>
                <w:highlight w:val="none"/>
                <w:lang w:val="zh-CN"/>
              </w:rPr>
              <w:t>元）</w:t>
            </w:r>
          </w:p>
          <w:p>
            <w:pPr>
              <w:spacing w:line="420" w:lineRule="exact"/>
              <w:jc w:val="left"/>
              <w:rPr>
                <w:rFonts w:ascii="宋体" w:hAnsi="宋体" w:cs="宋体"/>
                <w:color w:val="auto"/>
                <w:szCs w:val="21"/>
                <w:highlight w:val="none"/>
              </w:rPr>
            </w:pPr>
            <w:r>
              <w:rPr>
                <w:rFonts w:hint="eastAsia" w:ascii="宋体" w:hAnsi="宋体" w:cs="宋体"/>
                <w:color w:val="auto"/>
                <w:szCs w:val="21"/>
                <w:highlight w:val="none"/>
                <w:lang w:val="zh-CN"/>
              </w:rPr>
              <w:t>投标人须使用已备案账户通过温县招标投标交易管理系统进行自助网上缴纳</w:t>
            </w:r>
            <w:r>
              <w:rPr>
                <w:rFonts w:hint="eastAsia" w:ascii="宋体" w:hAnsi="宋体" w:cs="宋体"/>
                <w:color w:val="auto"/>
                <w:szCs w:val="21"/>
                <w:highlight w:val="none"/>
              </w:rPr>
              <w:t>。</w:t>
            </w:r>
          </w:p>
          <w:p>
            <w:pPr>
              <w:spacing w:line="420" w:lineRule="exact"/>
              <w:jc w:val="left"/>
              <w:rPr>
                <w:rFonts w:ascii="宋体" w:hAnsi="宋体" w:cs="宋体"/>
                <w:color w:val="auto"/>
                <w:szCs w:val="21"/>
                <w:highlight w:val="none"/>
              </w:rPr>
            </w:pPr>
            <w:r>
              <w:rPr>
                <w:rFonts w:hint="eastAsia" w:ascii="宋体" w:hAnsi="宋体" w:cs="宋体"/>
                <w:color w:val="auto"/>
                <w:szCs w:val="21"/>
                <w:highlight w:val="none"/>
              </w:rPr>
              <w:t>递交时间：投标人必须于</w:t>
            </w:r>
            <w:r>
              <w:rPr>
                <w:rFonts w:hint="eastAsia" w:ascii="宋体" w:hAnsi="宋体" w:cs="宋体"/>
                <w:color w:val="auto"/>
                <w:szCs w:val="21"/>
                <w:highlight w:val="none"/>
                <w:lang w:eastAsia="zh-CN"/>
              </w:rPr>
              <w:t>2020</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日16 时前，交至指定账户，以温县公共资源交易中心招标投标交易管理系统确认为准。</w:t>
            </w:r>
          </w:p>
          <w:p>
            <w:pPr>
              <w:spacing w:line="420" w:lineRule="exact"/>
              <w:jc w:val="left"/>
              <w:rPr>
                <w:rFonts w:ascii="宋体" w:hAnsi="宋体" w:cs="宋体"/>
                <w:color w:val="auto"/>
                <w:szCs w:val="21"/>
                <w:highlight w:val="none"/>
              </w:rPr>
            </w:pPr>
            <w:r>
              <w:rPr>
                <w:rFonts w:hint="eastAsia" w:ascii="宋体" w:hAnsi="宋体" w:cs="宋体"/>
                <w:color w:val="auto"/>
                <w:szCs w:val="21"/>
                <w:highlight w:val="none"/>
              </w:rPr>
              <w:t>未按本规定和要求提交投标保证金的，按无效投标处理。如提交投标保证金的投标人少于三家的，招标人将依法重新组织招标。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3.5.2</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近年财务状况的年份要求</w:t>
            </w:r>
          </w:p>
        </w:tc>
        <w:tc>
          <w:tcPr>
            <w:tcW w:w="518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highlight w:val="none"/>
              </w:rPr>
            </w:pPr>
            <w:r>
              <w:rPr>
                <w:rFonts w:hint="eastAsia" w:ascii="宋体" w:hAnsi="宋体" w:cs="宋体"/>
                <w:color w:val="auto"/>
                <w:highlight w:val="none"/>
              </w:rPr>
              <w:t>近</w:t>
            </w:r>
            <w:r>
              <w:rPr>
                <w:rFonts w:hint="eastAsia" w:ascii="宋体" w:hAnsi="宋体" w:cs="宋体"/>
                <w:color w:val="auto"/>
                <w:highlight w:val="none"/>
                <w:u w:val="single"/>
              </w:rPr>
              <w:t xml:space="preserve"> 3  </w:t>
            </w:r>
            <w:r>
              <w:rPr>
                <w:rFonts w:hint="eastAsia" w:ascii="宋体" w:hAnsi="宋体" w:cs="宋体"/>
                <w:color w:val="auto"/>
                <w:highlight w:val="none"/>
              </w:rPr>
              <w:t>年，指</w:t>
            </w:r>
            <w:r>
              <w:rPr>
                <w:rFonts w:hint="eastAsia" w:ascii="宋体" w:hAnsi="宋体" w:cs="宋体"/>
                <w:color w:val="auto"/>
                <w:highlight w:val="none"/>
                <w:u w:val="single"/>
              </w:rPr>
              <w:t xml:space="preserve"> 201</w:t>
            </w:r>
            <w:r>
              <w:rPr>
                <w:rFonts w:hint="eastAsia" w:ascii="宋体" w:hAnsi="宋体" w:cs="宋体"/>
                <w:color w:val="auto"/>
                <w:highlight w:val="none"/>
                <w:u w:val="single"/>
                <w:lang w:val="en-US" w:eastAsia="zh-CN"/>
              </w:rPr>
              <w:t>7</w:t>
            </w:r>
            <w:r>
              <w:rPr>
                <w:rFonts w:hint="eastAsia" w:ascii="宋体" w:hAnsi="宋体" w:cs="宋体"/>
                <w:color w:val="auto"/>
                <w:highlight w:val="none"/>
              </w:rPr>
              <w:t>年至</w:t>
            </w:r>
            <w:r>
              <w:rPr>
                <w:rFonts w:hint="eastAsia" w:ascii="宋体" w:hAnsi="宋体" w:cs="宋体"/>
                <w:color w:val="auto"/>
                <w:highlight w:val="none"/>
                <w:u w:val="single"/>
              </w:rPr>
              <w:t xml:space="preserve"> 201</w:t>
            </w:r>
            <w:r>
              <w:rPr>
                <w:rFonts w:hint="eastAsia" w:ascii="宋体" w:hAnsi="宋体" w:cs="宋体"/>
                <w:color w:val="auto"/>
                <w:highlight w:val="none"/>
                <w:u w:val="single"/>
                <w:lang w:val="en-US" w:eastAsia="zh-CN"/>
              </w:rPr>
              <w:t>9</w:t>
            </w:r>
            <w:r>
              <w:rPr>
                <w:rFonts w:hint="eastAsia" w:ascii="宋体" w:hAnsi="宋体" w:cs="宋体"/>
                <w:color w:val="auto"/>
                <w:highlight w:val="none"/>
                <w:u w:val="single"/>
              </w:rPr>
              <w:t xml:space="preserve"> </w:t>
            </w:r>
            <w:r>
              <w:rPr>
                <w:rFonts w:hint="eastAsia" w:ascii="宋体" w:hAnsi="宋体" w:cs="宋体"/>
                <w:color w:val="auto"/>
                <w:highlight w:val="none"/>
              </w:rPr>
              <w:t>年。</w:t>
            </w:r>
          </w:p>
          <w:p>
            <w:pPr>
              <w:spacing w:line="360" w:lineRule="exact"/>
              <w:rPr>
                <w:rFonts w:ascii="宋体" w:hAnsi="宋体" w:cs="宋体"/>
                <w:color w:val="auto"/>
                <w:szCs w:val="21"/>
                <w:highlight w:val="none"/>
              </w:rPr>
            </w:pPr>
            <w:r>
              <w:rPr>
                <w:rFonts w:hint="eastAsia" w:ascii="宋体" w:hAnsi="宋体" w:cs="宋体"/>
                <w:color w:val="auto"/>
                <w:highlight w:val="none"/>
                <w:u w:val="single"/>
              </w:rPr>
              <w:t>（新成立企业不足3年的按已有年份计算）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2" w:hRule="atLeast"/>
        </w:trPr>
        <w:tc>
          <w:tcPr>
            <w:tcW w:w="88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3.5.3</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近年完成的类似项目的年份要求</w:t>
            </w:r>
          </w:p>
        </w:tc>
        <w:tc>
          <w:tcPr>
            <w:tcW w:w="518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auto"/>
                <w:highlight w:val="none"/>
              </w:rPr>
            </w:pPr>
            <w:r>
              <w:rPr>
                <w:rFonts w:hint="eastAsia" w:ascii="宋体" w:hAnsi="宋体" w:cs="宋体"/>
                <w:color w:val="auto"/>
                <w:highlight w:val="none"/>
              </w:rPr>
              <w:t>近</w:t>
            </w:r>
            <w:r>
              <w:rPr>
                <w:rFonts w:hint="eastAsia" w:ascii="宋体" w:hAnsi="宋体" w:cs="宋体"/>
                <w:color w:val="auto"/>
                <w:highlight w:val="none"/>
                <w:u w:val="single"/>
              </w:rPr>
              <w:t xml:space="preserve"> 3 </w:t>
            </w:r>
            <w:r>
              <w:rPr>
                <w:rFonts w:hint="eastAsia" w:ascii="宋体" w:hAnsi="宋体" w:cs="宋体"/>
                <w:color w:val="auto"/>
                <w:highlight w:val="none"/>
              </w:rPr>
              <w:t>年，指</w:t>
            </w:r>
            <w:r>
              <w:rPr>
                <w:rFonts w:hint="eastAsia" w:ascii="宋体" w:hAnsi="宋体" w:cs="宋体"/>
                <w:color w:val="auto"/>
                <w:highlight w:val="none"/>
                <w:u w:val="single"/>
              </w:rPr>
              <w:t>201</w:t>
            </w:r>
            <w:r>
              <w:rPr>
                <w:rFonts w:hint="eastAsia" w:ascii="宋体" w:hAnsi="宋体" w:cs="宋体"/>
                <w:color w:val="auto"/>
                <w:highlight w:val="none"/>
                <w:u w:val="single"/>
                <w:lang w:val="en-US" w:eastAsia="zh-CN"/>
              </w:rPr>
              <w:t>6</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12</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31</w:t>
            </w:r>
            <w:r>
              <w:rPr>
                <w:rFonts w:hint="eastAsia" w:ascii="宋体" w:hAnsi="宋体" w:cs="宋体"/>
                <w:color w:val="auto"/>
                <w:highlight w:val="none"/>
              </w:rPr>
              <w:t>日起至</w:t>
            </w:r>
            <w:r>
              <w:rPr>
                <w:rFonts w:hint="eastAsia" w:ascii="宋体" w:hAnsi="宋体" w:cs="宋体"/>
                <w:color w:val="auto"/>
                <w:highlight w:val="none"/>
                <w:u w:val="single"/>
                <w:lang w:eastAsia="zh-CN"/>
              </w:rPr>
              <w:t>20</w:t>
            </w:r>
            <w:r>
              <w:rPr>
                <w:rFonts w:hint="eastAsia" w:ascii="宋体" w:hAnsi="宋体" w:cs="宋体"/>
                <w:color w:val="auto"/>
                <w:highlight w:val="none"/>
                <w:u w:val="single"/>
                <w:lang w:val="en-US" w:eastAsia="zh-CN"/>
              </w:rPr>
              <w:t>19</w:t>
            </w:r>
            <w:r>
              <w:rPr>
                <w:rFonts w:hint="eastAsia" w:ascii="宋体" w:hAnsi="宋体" w:cs="宋体"/>
                <w:color w:val="auto"/>
                <w:highlight w:val="none"/>
              </w:rPr>
              <w:t>年</w:t>
            </w:r>
            <w:r>
              <w:rPr>
                <w:rFonts w:hint="eastAsia" w:ascii="宋体" w:hAnsi="宋体" w:cs="宋体"/>
                <w:color w:val="auto"/>
                <w:highlight w:val="none"/>
                <w:u w:val="single"/>
                <w:lang w:val="en-US" w:eastAsia="zh-CN"/>
              </w:rPr>
              <w:t>12</w:t>
            </w:r>
            <w:r>
              <w:rPr>
                <w:rFonts w:hint="eastAsia" w:ascii="宋体" w:hAnsi="宋体" w:cs="宋体"/>
                <w:color w:val="auto"/>
                <w:highlight w:val="none"/>
              </w:rPr>
              <w:t>月</w:t>
            </w:r>
            <w:r>
              <w:rPr>
                <w:rFonts w:hint="eastAsia" w:ascii="宋体" w:hAnsi="宋体" w:cs="宋体"/>
                <w:color w:val="auto"/>
                <w:highlight w:val="none"/>
                <w:u w:val="single"/>
                <w:lang w:val="en-US" w:eastAsia="zh-CN"/>
              </w:rPr>
              <w:t>31</w:t>
            </w:r>
            <w:r>
              <w:rPr>
                <w:rFonts w:hint="eastAsia" w:ascii="宋体" w:hAnsi="宋体" w:cs="宋体"/>
                <w:color w:val="auto"/>
                <w:highlight w:val="none"/>
                <w:u w:val="single"/>
              </w:rPr>
              <w:t>日</w:t>
            </w:r>
            <w:r>
              <w:rPr>
                <w:rFonts w:hint="eastAsia" w:ascii="宋体" w:hAnsi="宋体" w:cs="宋体"/>
                <w:color w:val="auto"/>
                <w:highlight w:val="none"/>
              </w:rPr>
              <w:t>。</w:t>
            </w:r>
            <w:r>
              <w:rPr>
                <w:rFonts w:hint="eastAsia" w:ascii="宋体" w:hAnsi="宋体" w:cs="宋体"/>
                <w:color w:val="auto"/>
                <w:highlight w:val="none"/>
                <w:u w:val="single"/>
              </w:rPr>
              <w:t>（新成立企业不足3年的按已有年份计算）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3.6.3</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签字或盖章要求</w:t>
            </w:r>
          </w:p>
        </w:tc>
        <w:tc>
          <w:tcPr>
            <w:tcW w:w="518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签字为法定代表人或法定代表人委托人签字，盖章为法人公章。签字不能用签字章代替。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3.6.4</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投标文件副本份数</w:t>
            </w:r>
          </w:p>
        </w:tc>
        <w:tc>
          <w:tcPr>
            <w:tcW w:w="518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正本壹份，副本陆份，电子U盘一份（投标人应保证电子文档内容完全可读且与投标人打印产生的投标文件正本内容一致）。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8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3.6.5</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装订要求</w:t>
            </w:r>
          </w:p>
        </w:tc>
        <w:tc>
          <w:tcPr>
            <w:tcW w:w="518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投标文件的正本与副本应采用左侧胶粘方式装订，不得采用活页夹等可随时拆换的方式装订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4.1.2</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封套上应载明的信息</w:t>
            </w:r>
          </w:p>
        </w:tc>
        <w:tc>
          <w:tcPr>
            <w:tcW w:w="5180" w:type="dxa"/>
            <w:tcBorders>
              <w:top w:val="single" w:color="auto" w:sz="4" w:space="0"/>
              <w:left w:val="single" w:color="auto" w:sz="4" w:space="0"/>
              <w:bottom w:val="single" w:color="auto" w:sz="4" w:space="0"/>
              <w:right w:val="single" w:color="auto" w:sz="4" w:space="0"/>
            </w:tcBorders>
            <w:vAlign w:val="center"/>
          </w:tcPr>
          <w:p>
            <w:pPr>
              <w:spacing w:line="360" w:lineRule="exact"/>
              <w:jc w:val="right"/>
              <w:rPr>
                <w:rFonts w:ascii="宋体" w:hAnsi="宋体" w:cs="宋体"/>
                <w:color w:val="auto"/>
                <w:szCs w:val="21"/>
                <w:highlight w:val="none"/>
              </w:rPr>
            </w:pPr>
            <w:r>
              <w:rPr>
                <w:rFonts w:hint="eastAsia" w:ascii="宋体" w:hAnsi="宋体" w:cs="宋体"/>
                <w:color w:val="auto"/>
                <w:szCs w:val="21"/>
                <w:highlight w:val="none"/>
              </w:rPr>
              <w:t>正（副）本/电子u盘</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招标人地址：</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招标人名称：</w:t>
            </w:r>
          </w:p>
          <w:p>
            <w:pPr>
              <w:spacing w:line="360" w:lineRule="exact"/>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（项目名称）投标文件</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分前不得开启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8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4.2.2</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递交投标文件地点</w:t>
            </w:r>
          </w:p>
        </w:tc>
        <w:tc>
          <w:tcPr>
            <w:tcW w:w="518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Cs w:val="21"/>
                <w:highlight w:val="none"/>
              </w:rPr>
            </w:pPr>
            <w:r>
              <w:rPr>
                <w:rFonts w:hint="eastAsia" w:ascii="宋体" w:hAnsi="宋体" w:cs="宋体"/>
                <w:color w:val="auto"/>
                <w:highlight w:val="none"/>
              </w:rPr>
              <w:t>温县公共资源交易中心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8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4.2.3</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是否退还投标文件</w:t>
            </w:r>
          </w:p>
        </w:tc>
        <w:tc>
          <w:tcPr>
            <w:tcW w:w="518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889" w:type="dxa"/>
            <w:tcBorders>
              <w:top w:val="single" w:color="auto" w:sz="4" w:space="0"/>
              <w:left w:val="single" w:color="auto" w:sz="4" w:space="0"/>
              <w:right w:val="single" w:color="auto" w:sz="4" w:space="0"/>
            </w:tcBorders>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5.1</w:t>
            </w:r>
          </w:p>
        </w:tc>
        <w:tc>
          <w:tcPr>
            <w:tcW w:w="2835" w:type="dxa"/>
            <w:gridSpan w:val="3"/>
            <w:tcBorders>
              <w:top w:val="single" w:color="auto" w:sz="4" w:space="0"/>
              <w:left w:val="single" w:color="auto" w:sz="4" w:space="0"/>
              <w:right w:val="single" w:color="auto" w:sz="4" w:space="0"/>
            </w:tcBorders>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开标时间和地点</w:t>
            </w:r>
          </w:p>
        </w:tc>
        <w:tc>
          <w:tcPr>
            <w:tcW w:w="5180" w:type="dxa"/>
            <w:tcBorders>
              <w:top w:val="single" w:color="auto" w:sz="4" w:space="0"/>
              <w:left w:val="single" w:color="auto" w:sz="4" w:space="0"/>
              <w:right w:val="single" w:color="auto" w:sz="4" w:space="0"/>
            </w:tcBorders>
            <w:vAlign w:val="center"/>
          </w:tcPr>
          <w:p>
            <w:pPr>
              <w:spacing w:line="360" w:lineRule="exact"/>
              <w:rPr>
                <w:rFonts w:ascii="宋体" w:hAnsi="宋体" w:cs="宋体"/>
                <w:color w:val="auto"/>
                <w:highlight w:val="none"/>
              </w:rPr>
            </w:pPr>
            <w:r>
              <w:rPr>
                <w:rFonts w:hint="eastAsia" w:ascii="宋体" w:hAnsi="宋体" w:cs="宋体"/>
                <w:color w:val="auto"/>
                <w:highlight w:val="none"/>
              </w:rPr>
              <w:t>开标时间：同投标截止时间</w:t>
            </w:r>
          </w:p>
          <w:p>
            <w:pPr>
              <w:spacing w:line="360" w:lineRule="exact"/>
              <w:rPr>
                <w:rFonts w:ascii="宋体" w:hAnsi="宋体" w:cs="宋体"/>
                <w:color w:val="auto"/>
                <w:szCs w:val="21"/>
                <w:highlight w:val="none"/>
              </w:rPr>
            </w:pPr>
            <w:r>
              <w:rPr>
                <w:rFonts w:hint="eastAsia" w:ascii="宋体" w:hAnsi="宋体" w:cs="宋体"/>
                <w:color w:val="auto"/>
                <w:highlight w:val="none"/>
              </w:rPr>
              <w:t>开标地点：同投标文件递交地点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8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5.2</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开标程序</w:t>
            </w:r>
          </w:p>
        </w:tc>
        <w:tc>
          <w:tcPr>
            <w:tcW w:w="51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1）开标时投标单位法定代表人或委托人持本人身份证到开标现场，并携带1.4.1项中其他要求的相关证件，经招标代理机构查验后，方可签到登记，接收投标文件；未提供以上原件的视为自动放弃投标，代理机构不再接收投标文件。</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（2）密封情况检查：由招标人委托的公证机关检查并公证：确认无误后，由工作人员当众拆封，宣读投标人名称、投标价格和投标文件的其他内容。</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（3）开标顺序：按其递交投标文件签到的逆顺序。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3" w:hRule="atLeast"/>
        </w:trPr>
        <w:tc>
          <w:tcPr>
            <w:tcW w:w="889" w:type="dxa"/>
            <w:tcBorders>
              <w:top w:val="single" w:color="auto" w:sz="4" w:space="0"/>
              <w:left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6.1.1</w:t>
            </w:r>
          </w:p>
        </w:tc>
        <w:tc>
          <w:tcPr>
            <w:tcW w:w="2835" w:type="dxa"/>
            <w:gridSpan w:val="3"/>
            <w:tcBorders>
              <w:top w:val="single" w:color="auto" w:sz="4" w:space="0"/>
              <w:left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评标委员会的组建</w:t>
            </w:r>
          </w:p>
        </w:tc>
        <w:tc>
          <w:tcPr>
            <w:tcW w:w="5180" w:type="dxa"/>
            <w:tcBorders>
              <w:top w:val="single" w:color="auto" w:sz="4" w:space="0"/>
              <w:left w:val="single" w:color="auto" w:sz="4" w:space="0"/>
              <w:right w:val="single" w:color="auto" w:sz="4" w:space="0"/>
            </w:tcBorders>
            <w:vAlign w:val="center"/>
          </w:tcPr>
          <w:p>
            <w:pPr>
              <w:spacing w:line="400" w:lineRule="exact"/>
              <w:ind w:left="315" w:hanging="315" w:hangingChars="150"/>
              <w:rPr>
                <w:rFonts w:ascii="宋体" w:hAnsi="宋体" w:cs="宋体"/>
                <w:color w:val="auto"/>
                <w:highlight w:val="none"/>
              </w:rPr>
            </w:pPr>
            <w:r>
              <w:rPr>
                <w:rFonts w:hint="eastAsia" w:ascii="宋体" w:hAnsi="宋体" w:cs="宋体"/>
                <w:color w:val="auto"/>
                <w:highlight w:val="none"/>
              </w:rPr>
              <w:t>评标委员会构成：有关技术、经济等专家共</w:t>
            </w:r>
            <w:r>
              <w:rPr>
                <w:rFonts w:hint="eastAsia" w:ascii="宋体" w:hAnsi="宋体" w:cs="宋体"/>
                <w:color w:val="auto"/>
                <w:highlight w:val="none"/>
                <w:u w:val="single"/>
              </w:rPr>
              <w:t xml:space="preserve"> 5  </w:t>
            </w:r>
            <w:r>
              <w:rPr>
                <w:rFonts w:hint="eastAsia" w:ascii="宋体" w:hAnsi="宋体" w:cs="宋体"/>
                <w:color w:val="auto"/>
                <w:highlight w:val="none"/>
              </w:rPr>
              <w:t>人组成；</w:t>
            </w:r>
          </w:p>
          <w:p>
            <w:pPr>
              <w:spacing w:line="400" w:lineRule="exact"/>
              <w:rPr>
                <w:rFonts w:ascii="宋体" w:hAnsi="宋体" w:cs="宋体"/>
                <w:color w:val="auto"/>
                <w:szCs w:val="21"/>
                <w:highlight w:val="none"/>
              </w:rPr>
            </w:pPr>
            <w:r>
              <w:rPr>
                <w:rFonts w:hint="eastAsia" w:ascii="宋体" w:hAnsi="宋体" w:cs="宋体"/>
                <w:color w:val="auto"/>
                <w:highlight w:val="none"/>
              </w:rPr>
              <w:t>评标专家确定方式：</w:t>
            </w:r>
            <w:r>
              <w:rPr>
                <w:rFonts w:hint="eastAsia" w:ascii="宋体" w:hAnsi="宋体" w:cs="宋体"/>
                <w:color w:val="auto"/>
                <w:highlight w:val="none"/>
                <w:u w:val="single"/>
              </w:rPr>
              <w:t>技术、经济等专家应由招标人在开标前从有关评标专家库中随机抽取确定</w:t>
            </w:r>
            <w:r>
              <w:rPr>
                <w:rFonts w:hint="eastAsia" w:ascii="宋体" w:hAnsi="宋体" w:cs="宋体"/>
                <w:color w:val="auto"/>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889" w:type="dxa"/>
            <w:tcBorders>
              <w:top w:val="single" w:color="auto" w:sz="4" w:space="0"/>
              <w:left w:val="single" w:color="auto" w:sz="4" w:space="0"/>
              <w:right w:val="single" w:color="auto" w:sz="4" w:space="0"/>
            </w:tcBorders>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7.1</w:t>
            </w:r>
          </w:p>
        </w:tc>
        <w:tc>
          <w:tcPr>
            <w:tcW w:w="2835" w:type="dxa"/>
            <w:gridSpan w:val="3"/>
            <w:tcBorders>
              <w:top w:val="single" w:color="auto" w:sz="4" w:space="0"/>
              <w:left w:val="single" w:color="auto" w:sz="4" w:space="0"/>
              <w:right w:val="single" w:color="auto" w:sz="4" w:space="0"/>
            </w:tcBorders>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是否授权评标委员会确定中标人</w:t>
            </w:r>
          </w:p>
        </w:tc>
        <w:tc>
          <w:tcPr>
            <w:tcW w:w="5180" w:type="dxa"/>
            <w:tcBorders>
              <w:top w:val="single" w:color="auto" w:sz="4" w:space="0"/>
              <w:left w:val="single" w:color="auto" w:sz="4" w:space="0"/>
              <w:right w:val="single" w:color="auto" w:sz="4" w:space="0"/>
            </w:tcBorders>
            <w:vAlign w:val="center"/>
          </w:tcPr>
          <w:p>
            <w:pPr>
              <w:spacing w:line="288" w:lineRule="auto"/>
              <w:rPr>
                <w:rFonts w:ascii="宋体" w:hAnsi="宋体" w:cs="宋体"/>
                <w:color w:val="auto"/>
                <w:highlight w:val="none"/>
                <w:u w:val="single"/>
              </w:rPr>
            </w:pPr>
            <w:r>
              <w:rPr>
                <w:rFonts w:hint="eastAsia" w:ascii="宋体" w:hAnsi="宋体" w:cs="宋体"/>
                <w:color w:val="auto"/>
                <w:highlight w:val="none"/>
              </w:rPr>
              <w:t>否，推荐的中标候选人数：</w:t>
            </w:r>
            <w:r>
              <w:rPr>
                <w:rFonts w:hint="eastAsia" w:ascii="宋体" w:hAnsi="宋体" w:cs="宋体"/>
                <w:color w:val="auto"/>
                <w:highlight w:val="none"/>
                <w:u w:val="single"/>
              </w:rPr>
              <w:t xml:space="preserve"> 1-3人 </w:t>
            </w:r>
          </w:p>
          <w:p>
            <w:pPr>
              <w:spacing w:line="288" w:lineRule="auto"/>
              <w:rPr>
                <w:rFonts w:ascii="宋体" w:hAnsi="宋体" w:cs="宋体"/>
                <w:color w:val="auto"/>
                <w:szCs w:val="21"/>
                <w:highlight w:val="none"/>
              </w:rPr>
            </w:pPr>
            <w:r>
              <w:rPr>
                <w:rFonts w:hint="eastAsia"/>
                <w:color w:val="auto"/>
                <w:highlight w:val="none"/>
              </w:rPr>
              <w:t>招标人应当确定排名第一的中标候选人为中标人。排名第一的中标候选人放弃中标、因不可抗拒力不能履行合同，不按照招标文件要求提交履约保证金，或者查实存在影响中标结果的违法行为、经行政主管部门依法认定并取消中标资格等情形的，招标人可以确定排名第二的中标候选人为中标人。排名第二的中标候选人因前款规定的同样原因不能签订合同的，招标人可以确定排名第三的中标候选人为中标人。当所有中标候选人因上述同样原因不能签订合同的，招标人将依法重新招标。</w:t>
            </w:r>
            <w:r>
              <w:rPr>
                <w:rFonts w:hint="eastAsia" w:ascii="宋体" w:hAnsi="宋体" w:cs="宋体"/>
                <w:color w:val="auto"/>
                <w:szCs w:val="21"/>
                <w:highlight w:val="none"/>
              </w:rPr>
              <w:t>上述情形中除因不可抗力不能履行合同外，有其他情形的，该中标候选人的投标保证金不予退还，取消其1年内在温县的投标资格，并在温县公共资源交易中心网站进行通报.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889" w:type="dxa"/>
            <w:tcBorders>
              <w:top w:val="single" w:color="auto" w:sz="4" w:space="0"/>
              <w:left w:val="single" w:color="auto" w:sz="4" w:space="0"/>
              <w:right w:val="single" w:color="auto" w:sz="4" w:space="0"/>
            </w:tcBorders>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7.2</w:t>
            </w:r>
          </w:p>
        </w:tc>
        <w:tc>
          <w:tcPr>
            <w:tcW w:w="2835" w:type="dxa"/>
            <w:gridSpan w:val="3"/>
            <w:tcBorders>
              <w:top w:val="single" w:color="auto" w:sz="4" w:space="0"/>
              <w:left w:val="single" w:color="auto" w:sz="4" w:space="0"/>
              <w:right w:val="single" w:color="auto" w:sz="4" w:space="0"/>
            </w:tcBorders>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中标候选人公示媒介</w:t>
            </w:r>
          </w:p>
        </w:tc>
        <w:tc>
          <w:tcPr>
            <w:tcW w:w="5180" w:type="dxa"/>
            <w:tcBorders>
              <w:top w:val="single" w:color="auto" w:sz="4" w:space="0"/>
              <w:left w:val="single" w:color="auto" w:sz="4" w:space="0"/>
              <w:right w:val="single" w:color="auto" w:sz="4" w:space="0"/>
            </w:tcBorders>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同招标公告发布媒介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7.4.1</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履约担保</w:t>
            </w:r>
          </w:p>
        </w:tc>
        <w:tc>
          <w:tcPr>
            <w:tcW w:w="518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履约担保的形式：现金或转账。</w:t>
            </w:r>
          </w:p>
          <w:p>
            <w:pPr>
              <w:spacing w:line="360" w:lineRule="exact"/>
              <w:rPr>
                <w:color w:val="auto"/>
                <w:szCs w:val="21"/>
                <w:highlight w:val="none"/>
              </w:rPr>
            </w:pPr>
            <w:r>
              <w:rPr>
                <w:rFonts w:hint="eastAsia" w:ascii="宋体" w:hAnsi="宋体" w:cs="宋体"/>
                <w:color w:val="auto"/>
                <w:szCs w:val="21"/>
                <w:highlight w:val="none"/>
              </w:rPr>
              <w:t>履约担保的金额：中标金额的5%</w:t>
            </w:r>
            <w:r>
              <w:rPr>
                <w:rFonts w:hint="eastAsia"/>
                <w:color w:val="auto"/>
                <w:szCs w:val="21"/>
                <w:highlight w:val="none"/>
              </w:rPr>
              <w:t>(</w:t>
            </w:r>
            <w:r>
              <w:rPr>
                <w:rFonts w:hint="eastAsia" w:ascii="宋体" w:hAnsi="宋体" w:cs="宋体"/>
                <w:color w:val="auto"/>
                <w:szCs w:val="21"/>
                <w:highlight w:val="none"/>
              </w:rPr>
              <w:t>中标人接到中标通</w:t>
            </w:r>
            <w:r>
              <w:rPr>
                <w:rFonts w:hint="eastAsia"/>
                <w:color w:val="auto"/>
                <w:szCs w:val="21"/>
                <w:highlight w:val="none"/>
              </w:rPr>
              <w:t>知书后5个工作日内</w:t>
            </w:r>
            <w:r>
              <w:rPr>
                <w:rFonts w:hint="eastAsia"/>
                <w:color w:val="auto"/>
                <w:szCs w:val="21"/>
                <w:highlight w:val="none"/>
                <w:lang w:eastAsia="zh-CN"/>
              </w:rPr>
              <w:t>，</w:t>
            </w:r>
            <w:r>
              <w:rPr>
                <w:rFonts w:hint="eastAsia"/>
                <w:color w:val="auto"/>
                <w:szCs w:val="21"/>
                <w:highlight w:val="none"/>
              </w:rPr>
              <w:t>交至招标人指定账户)。</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工程完工验收后足额退还。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b/>
                <w:color w:val="auto"/>
                <w:szCs w:val="21"/>
                <w:highlight w:val="none"/>
              </w:rPr>
            </w:pPr>
            <w:r>
              <w:rPr>
                <w:rFonts w:hint="eastAsia" w:ascii="宋体" w:hAnsi="宋体" w:cs="宋体"/>
                <w:b/>
                <w:color w:val="auto"/>
                <w:szCs w:val="21"/>
                <w:highlight w:val="none"/>
              </w:rPr>
              <w:t>9</w:t>
            </w:r>
          </w:p>
        </w:tc>
        <w:tc>
          <w:tcPr>
            <w:tcW w:w="8015" w:type="dxa"/>
            <w:gridSpan w:val="4"/>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b/>
                <w:color w:val="auto"/>
                <w:szCs w:val="21"/>
                <w:highlight w:val="none"/>
              </w:rPr>
            </w:pPr>
            <w:r>
              <w:rPr>
                <w:rFonts w:hint="eastAsia" w:ascii="宋体" w:hAnsi="宋体" w:cs="宋体"/>
                <w:b/>
                <w:color w:val="auto"/>
                <w:szCs w:val="21"/>
                <w:highlight w:val="none"/>
              </w:rPr>
              <w:t>需要补充的其他内容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904" w:type="dxa"/>
            <w:gridSpan w:val="5"/>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color w:val="auto"/>
                <w:highlight w:val="none"/>
              </w:rPr>
            </w:pPr>
            <w:r>
              <w:rPr>
                <w:rFonts w:hint="eastAsia" w:ascii="宋体" w:hAnsi="宋体" w:cs="宋体"/>
                <w:color w:val="auto"/>
                <w:highlight w:val="none"/>
              </w:rPr>
              <w:t>9.1  招标控制价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1018" w:type="dxa"/>
            <w:gridSpan w:val="2"/>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s="宋体"/>
                <w:color w:val="auto"/>
                <w:highlight w:val="none"/>
              </w:rPr>
            </w:pPr>
          </w:p>
        </w:tc>
        <w:tc>
          <w:tcPr>
            <w:tcW w:w="2564"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color w:val="auto"/>
                <w:highlight w:val="none"/>
              </w:rPr>
            </w:pPr>
            <w:r>
              <w:rPr>
                <w:rFonts w:hint="eastAsia" w:ascii="宋体" w:hAnsi="宋体" w:cs="宋体"/>
                <w:color w:val="auto"/>
                <w:highlight w:val="none"/>
              </w:rPr>
              <w:t>招标控制价</w:t>
            </w:r>
          </w:p>
        </w:tc>
        <w:tc>
          <w:tcPr>
            <w:tcW w:w="5322"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ascii="宋体" w:hAnsi="宋体" w:cs="宋体"/>
                <w:b/>
                <w:color w:val="auto"/>
                <w:highlight w:val="none"/>
              </w:rPr>
            </w:pPr>
            <w:r>
              <w:rPr>
                <w:rFonts w:hint="eastAsia" w:ascii="宋体" w:hAnsi="宋体" w:cs="宋体"/>
                <w:b/>
                <w:color w:val="auto"/>
                <w:highlight w:val="none"/>
              </w:rPr>
              <w:t xml:space="preserve">招标控制价人民币： </w:t>
            </w:r>
            <w:r>
              <w:rPr>
                <w:rFonts w:hint="eastAsia" w:ascii="宋体" w:hAnsi="宋体" w:cs="宋体"/>
                <w:b/>
                <w:color w:val="auto"/>
                <w:highlight w:val="none"/>
                <w:u w:val="single"/>
              </w:rPr>
              <w:t xml:space="preserve"> </w:t>
            </w:r>
            <w:r>
              <w:rPr>
                <w:rFonts w:hint="eastAsia" w:ascii="宋体" w:hAnsi="宋体" w:cs="宋体"/>
                <w:b/>
                <w:color w:val="auto"/>
                <w:highlight w:val="none"/>
                <w:u w:val="single"/>
                <w:lang w:val="en-US" w:eastAsia="zh-CN"/>
              </w:rPr>
              <w:t>1477.22</w:t>
            </w:r>
            <w:r>
              <w:rPr>
                <w:rFonts w:hint="eastAsia" w:ascii="宋体" w:hAnsi="宋体" w:cs="宋体"/>
                <w:b/>
                <w:color w:val="auto"/>
                <w:highlight w:val="none"/>
                <w:u w:val="single"/>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8904" w:type="dxa"/>
            <w:gridSpan w:val="5"/>
            <w:tcBorders>
              <w:top w:val="single" w:color="auto" w:sz="4" w:space="0"/>
              <w:left w:val="single" w:color="auto" w:sz="4" w:space="0"/>
              <w:bottom w:val="single" w:color="auto" w:sz="4" w:space="0"/>
              <w:right w:val="single" w:color="auto" w:sz="4" w:space="0"/>
            </w:tcBorders>
            <w:vAlign w:val="center"/>
          </w:tcPr>
          <w:p>
            <w:pPr>
              <w:spacing w:line="312" w:lineRule="auto"/>
              <w:ind w:left="210" w:hanging="210" w:hangingChars="100"/>
              <w:rPr>
                <w:rFonts w:ascii="宋体" w:hAnsi="宋体" w:cs="宋体"/>
                <w:color w:val="auto"/>
                <w:highlight w:val="none"/>
              </w:rPr>
            </w:pPr>
            <w:r>
              <w:rPr>
                <w:rFonts w:hint="eastAsia" w:ascii="宋体" w:hAnsi="宋体" w:cs="宋体"/>
                <w:color w:val="auto"/>
                <w:highlight w:val="none"/>
              </w:rPr>
              <w:t>9.2投标人代表出席开标会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7" w:hRule="atLeast"/>
        </w:trPr>
        <w:tc>
          <w:tcPr>
            <w:tcW w:w="1018" w:type="dxa"/>
            <w:gridSpan w:val="2"/>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color w:val="auto"/>
                <w:highlight w:val="none"/>
              </w:rPr>
            </w:pPr>
          </w:p>
        </w:tc>
        <w:tc>
          <w:tcPr>
            <w:tcW w:w="7886" w:type="dxa"/>
            <w:gridSpan w:val="3"/>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color w:val="auto"/>
                <w:highlight w:val="none"/>
              </w:rPr>
            </w:pPr>
            <w:r>
              <w:rPr>
                <w:rFonts w:hint="eastAsia" w:ascii="宋体" w:hAnsi="宋体" w:cs="宋体"/>
                <w:color w:val="auto"/>
                <w:highlight w:val="none"/>
              </w:rPr>
              <w:t>按照本须知第5.1款的规定，投标人的法定代表人或其委托代理人应当按时参加开标会，投标人的法定代表人或其委托代理人不按时参加开标的，视同该投标人承认开标记录，不得事后对开标记录提出任何异议。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8904"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r>
              <w:rPr>
                <w:rFonts w:hint="eastAsia" w:ascii="宋体" w:hAnsi="宋体" w:cs="宋体"/>
                <w:color w:val="auto"/>
                <w:highlight w:val="none"/>
              </w:rPr>
              <w:t>9.3中标公示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1018" w:type="dxa"/>
            <w:gridSpan w:val="2"/>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color w:val="auto"/>
                <w:highlight w:val="none"/>
              </w:rPr>
            </w:pPr>
          </w:p>
        </w:tc>
        <w:tc>
          <w:tcPr>
            <w:tcW w:w="7886" w:type="dxa"/>
            <w:gridSpan w:val="3"/>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color w:val="auto"/>
                <w:highlight w:val="none"/>
              </w:rPr>
            </w:pPr>
            <w:r>
              <w:rPr>
                <w:rFonts w:hint="eastAsia" w:ascii="宋体" w:hAnsi="宋体" w:cs="宋体"/>
                <w:color w:val="auto"/>
                <w:szCs w:val="21"/>
                <w:highlight w:val="none"/>
              </w:rPr>
              <w:t>在《中国采购与招标网》、《河南省政府采购网》、《温县公共资源交易中心网》、《中国招标投标公共服务平台》上进行公示，</w:t>
            </w:r>
            <w:r>
              <w:rPr>
                <w:rFonts w:hint="eastAsia" w:ascii="宋体" w:hAnsi="宋体" w:cs="宋体"/>
                <w:color w:val="auto"/>
                <w:highlight w:val="none"/>
              </w:rPr>
              <w:t>公示期不少于3日。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8904" w:type="dxa"/>
            <w:gridSpan w:val="5"/>
            <w:tcBorders>
              <w:top w:val="single" w:color="auto" w:sz="4" w:space="0"/>
              <w:left w:val="single" w:color="auto" w:sz="4" w:space="0"/>
              <w:bottom w:val="single" w:color="auto" w:sz="4" w:space="0"/>
              <w:right w:val="single" w:color="auto" w:sz="4" w:space="0"/>
            </w:tcBorders>
            <w:vAlign w:val="center"/>
          </w:tcPr>
          <w:p>
            <w:pPr>
              <w:spacing w:line="312" w:lineRule="auto"/>
              <w:ind w:left="210" w:hanging="210" w:hangingChars="100"/>
              <w:rPr>
                <w:rFonts w:ascii="宋体" w:hAnsi="宋体" w:cs="宋体"/>
                <w:color w:val="auto"/>
                <w:highlight w:val="none"/>
              </w:rPr>
            </w:pPr>
            <w:r>
              <w:rPr>
                <w:rFonts w:hint="eastAsia" w:ascii="宋体" w:hAnsi="宋体" w:cs="宋体"/>
                <w:color w:val="auto"/>
                <w:highlight w:val="none"/>
              </w:rPr>
              <w:t>9.4知识产权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6" w:hRule="atLeast"/>
        </w:trPr>
        <w:tc>
          <w:tcPr>
            <w:tcW w:w="1018" w:type="dxa"/>
            <w:gridSpan w:val="2"/>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color w:val="auto"/>
                <w:highlight w:val="none"/>
              </w:rPr>
            </w:pPr>
          </w:p>
        </w:tc>
        <w:tc>
          <w:tcPr>
            <w:tcW w:w="7886" w:type="dxa"/>
            <w:gridSpan w:val="3"/>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color w:val="auto"/>
                <w:highlight w:val="none"/>
              </w:rPr>
            </w:pPr>
            <w:r>
              <w:rPr>
                <w:rFonts w:hint="eastAsia" w:ascii="宋体" w:hAnsi="宋体" w:cs="宋体"/>
                <w:color w:val="auto"/>
                <w:highlight w:val="none"/>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8904"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r>
              <w:rPr>
                <w:rFonts w:hint="eastAsia" w:ascii="宋体" w:hAnsi="宋体" w:cs="宋体"/>
                <w:color w:val="auto"/>
                <w:highlight w:val="none"/>
              </w:rPr>
              <w:t>9.5重新招标和不再招标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1018" w:type="dxa"/>
            <w:gridSpan w:val="2"/>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color w:val="auto"/>
                <w:highlight w:val="none"/>
              </w:rPr>
            </w:pPr>
          </w:p>
        </w:tc>
        <w:tc>
          <w:tcPr>
            <w:tcW w:w="788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有下列情形之一的，招标人将重新招标：</w:t>
            </w:r>
          </w:p>
          <w:p>
            <w:pPr>
              <w:spacing w:line="360" w:lineRule="auto"/>
              <w:rPr>
                <w:rFonts w:ascii="宋体" w:hAnsi="宋体" w:cs="宋体"/>
                <w:color w:val="auto"/>
                <w:szCs w:val="21"/>
                <w:highlight w:val="none"/>
              </w:rPr>
            </w:pPr>
            <w:r>
              <w:rPr>
                <w:rFonts w:hint="eastAsia" w:ascii="宋体" w:hAnsi="宋体" w:cs="宋体"/>
                <w:color w:val="auto"/>
                <w:szCs w:val="21"/>
                <w:highlight w:val="none"/>
              </w:rPr>
              <w:t>(l）投标截止时间止，投标人少于3 个的；</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(2）经评标委员会评审后否决所有投标的。</w:t>
            </w:r>
          </w:p>
          <w:p>
            <w:pPr>
              <w:spacing w:line="360" w:lineRule="auto"/>
              <w:rPr>
                <w:rFonts w:ascii="宋体" w:hAnsi="宋体" w:cs="宋体"/>
                <w:color w:val="auto"/>
                <w:szCs w:val="21"/>
                <w:highlight w:val="none"/>
              </w:rPr>
            </w:pPr>
            <w:r>
              <w:rPr>
                <w:rFonts w:hint="eastAsia" w:ascii="宋体" w:hAnsi="宋体" w:cs="宋体"/>
                <w:color w:val="auto"/>
                <w:szCs w:val="21"/>
                <w:highlight w:val="none"/>
              </w:rPr>
              <w:t>有下列情形的，招标人将不再招标：</w:t>
            </w:r>
          </w:p>
          <w:p>
            <w:pPr>
              <w:spacing w:line="360" w:lineRule="auto"/>
              <w:rPr>
                <w:rFonts w:ascii="宋体" w:hAnsi="宋体" w:cs="宋体"/>
                <w:color w:val="auto"/>
                <w:szCs w:val="21"/>
                <w:highlight w:val="none"/>
              </w:rPr>
            </w:pPr>
            <w:r>
              <w:rPr>
                <w:rFonts w:hint="eastAsia" w:ascii="宋体" w:hAnsi="宋体" w:cs="宋体"/>
                <w:color w:val="auto"/>
                <w:szCs w:val="21"/>
                <w:highlight w:val="none"/>
              </w:rPr>
              <w:t>重新招标后投标人仍少于3 个或者所有投标被否决的，属于必须审批或核准的工程建设项目，经原审批或核准部门批准后不再进行招标。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8904" w:type="dxa"/>
            <w:gridSpan w:val="5"/>
            <w:tcBorders>
              <w:top w:val="single" w:color="auto" w:sz="4" w:space="0"/>
              <w:left w:val="single" w:color="auto" w:sz="4" w:space="0"/>
              <w:bottom w:val="single" w:color="auto" w:sz="4" w:space="0"/>
              <w:right w:val="single" w:color="auto" w:sz="4" w:space="0"/>
            </w:tcBorders>
            <w:vAlign w:val="center"/>
          </w:tcPr>
          <w:p>
            <w:pPr>
              <w:spacing w:line="312" w:lineRule="auto"/>
              <w:ind w:left="210" w:hanging="210" w:hangingChars="100"/>
              <w:rPr>
                <w:rFonts w:ascii="宋体" w:hAnsi="宋体" w:cs="宋体"/>
                <w:color w:val="auto"/>
                <w:highlight w:val="none"/>
              </w:rPr>
            </w:pPr>
            <w:r>
              <w:rPr>
                <w:rFonts w:hint="eastAsia" w:ascii="宋体" w:hAnsi="宋体" w:cs="宋体"/>
                <w:color w:val="auto"/>
                <w:highlight w:val="none"/>
              </w:rPr>
              <w:t>9.6同义词语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9" w:hRule="atLeast"/>
        </w:trPr>
        <w:tc>
          <w:tcPr>
            <w:tcW w:w="1018" w:type="dxa"/>
            <w:gridSpan w:val="2"/>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color w:val="auto"/>
                <w:highlight w:val="none"/>
              </w:rPr>
            </w:pPr>
          </w:p>
        </w:tc>
        <w:tc>
          <w:tcPr>
            <w:tcW w:w="7886"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r>
              <w:rPr>
                <w:rFonts w:hint="eastAsia" w:ascii="宋体" w:hAnsi="宋体" w:cs="宋体"/>
                <w:color w:val="auto"/>
                <w:highlight w:val="none"/>
              </w:rPr>
              <w:t>构成招标文件组成部分的“通用合同条款”、“专用合同条款”、“技术标准和要求”</w:t>
            </w:r>
          </w:p>
          <w:p>
            <w:pPr>
              <w:rPr>
                <w:rFonts w:ascii="宋体" w:hAnsi="宋体" w:cs="宋体"/>
                <w:color w:val="auto"/>
                <w:highlight w:val="none"/>
              </w:rPr>
            </w:pPr>
            <w:r>
              <w:rPr>
                <w:rFonts w:hint="eastAsia" w:ascii="宋体" w:hAnsi="宋体" w:cs="宋体"/>
                <w:color w:val="auto"/>
                <w:highlight w:val="none"/>
              </w:rPr>
              <w:t>和“工程量清单”等章节中出现的措辞“发包人”和“承包人”，在招标投标阶段</w:t>
            </w:r>
          </w:p>
          <w:p>
            <w:pPr>
              <w:rPr>
                <w:rFonts w:ascii="宋体" w:hAnsi="宋体" w:cs="宋体"/>
                <w:color w:val="auto"/>
                <w:highlight w:val="none"/>
              </w:rPr>
            </w:pPr>
            <w:r>
              <w:rPr>
                <w:rFonts w:hint="eastAsia" w:ascii="宋体" w:hAnsi="宋体" w:cs="宋体"/>
                <w:color w:val="auto"/>
                <w:highlight w:val="none"/>
              </w:rPr>
              <w:t>应当分别按“招标人”和“投标人”进行理解。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8904" w:type="dxa"/>
            <w:gridSpan w:val="5"/>
            <w:tcBorders>
              <w:top w:val="single" w:color="auto" w:sz="4" w:space="0"/>
              <w:left w:val="single" w:color="auto" w:sz="4" w:space="0"/>
              <w:bottom w:val="single" w:color="auto" w:sz="4" w:space="0"/>
              <w:right w:val="single" w:color="auto" w:sz="4" w:space="0"/>
            </w:tcBorders>
            <w:vAlign w:val="center"/>
          </w:tcPr>
          <w:p>
            <w:pPr>
              <w:spacing w:line="312" w:lineRule="auto"/>
              <w:ind w:left="210" w:hanging="210" w:hangingChars="100"/>
              <w:rPr>
                <w:rFonts w:ascii="宋体" w:hAnsi="宋体" w:cs="宋体"/>
                <w:color w:val="auto"/>
                <w:highlight w:val="none"/>
              </w:rPr>
            </w:pPr>
            <w:r>
              <w:rPr>
                <w:rFonts w:hint="eastAsia" w:ascii="宋体" w:hAnsi="宋体" w:cs="宋体"/>
                <w:color w:val="auto"/>
                <w:highlight w:val="none"/>
              </w:rPr>
              <w:t>9.7监  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trPr>
        <w:tc>
          <w:tcPr>
            <w:tcW w:w="1018" w:type="dxa"/>
            <w:gridSpan w:val="2"/>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color w:val="auto"/>
                <w:highlight w:val="none"/>
              </w:rPr>
            </w:pPr>
          </w:p>
        </w:tc>
        <w:tc>
          <w:tcPr>
            <w:tcW w:w="7886" w:type="dxa"/>
            <w:gridSpan w:val="3"/>
            <w:tcBorders>
              <w:top w:val="single" w:color="auto" w:sz="4" w:space="0"/>
              <w:left w:val="single" w:color="auto" w:sz="4" w:space="0"/>
              <w:bottom w:val="single" w:color="auto" w:sz="4" w:space="0"/>
              <w:right w:val="single" w:color="auto" w:sz="4" w:space="0"/>
            </w:tcBorders>
            <w:vAlign w:val="center"/>
          </w:tcPr>
          <w:p>
            <w:pPr>
              <w:spacing w:line="312" w:lineRule="auto"/>
              <w:ind w:left="-118" w:leftChars="-56"/>
              <w:rPr>
                <w:rFonts w:ascii="宋体" w:hAnsi="宋体" w:cs="宋体"/>
                <w:color w:val="auto"/>
                <w:highlight w:val="none"/>
              </w:rPr>
            </w:pPr>
            <w:r>
              <w:rPr>
                <w:rFonts w:hint="eastAsia" w:ascii="宋体" w:hAnsi="宋体" w:cs="宋体"/>
                <w:color w:val="auto"/>
                <w:highlight w:val="none"/>
              </w:rPr>
              <w:t>本项目的招标投标活动及其相关当事人应当接受有管辖权的建设工程招标投标行政监督部门依法实施的监督。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8904" w:type="dxa"/>
            <w:gridSpan w:val="5"/>
            <w:tcBorders>
              <w:top w:val="single" w:color="auto" w:sz="4" w:space="0"/>
              <w:left w:val="single" w:color="auto" w:sz="4" w:space="0"/>
              <w:bottom w:val="single" w:color="auto" w:sz="4" w:space="0"/>
              <w:right w:val="single" w:color="auto" w:sz="4" w:space="0"/>
            </w:tcBorders>
            <w:vAlign w:val="center"/>
          </w:tcPr>
          <w:p>
            <w:pPr>
              <w:spacing w:line="312" w:lineRule="auto"/>
              <w:ind w:left="210" w:hanging="210" w:hangingChars="100"/>
              <w:rPr>
                <w:rFonts w:ascii="宋体" w:hAnsi="宋体" w:cs="宋体"/>
                <w:color w:val="auto"/>
                <w:highlight w:val="none"/>
              </w:rPr>
            </w:pPr>
            <w:r>
              <w:rPr>
                <w:rFonts w:hint="eastAsia" w:ascii="宋体" w:hAnsi="宋体" w:cs="宋体"/>
                <w:color w:val="auto"/>
                <w:highlight w:val="none"/>
              </w:rPr>
              <w:t>9.8解释权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5" w:hRule="atLeast"/>
        </w:trPr>
        <w:tc>
          <w:tcPr>
            <w:tcW w:w="1018" w:type="dxa"/>
            <w:gridSpan w:val="2"/>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color w:val="auto"/>
                <w:highlight w:val="none"/>
              </w:rPr>
            </w:pPr>
          </w:p>
        </w:tc>
        <w:tc>
          <w:tcPr>
            <w:tcW w:w="7886" w:type="dxa"/>
            <w:gridSpan w:val="3"/>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color w:val="auto"/>
                <w:highlight w:val="none"/>
              </w:rPr>
            </w:pPr>
            <w:r>
              <w:rPr>
                <w:rFonts w:hint="eastAsia" w:ascii="宋体" w:hAnsi="宋体" w:cs="宋体"/>
                <w:color w:val="auto"/>
                <w:highlight w:val="none"/>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18" w:type="dxa"/>
            <w:gridSpan w:val="2"/>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color w:val="auto"/>
                <w:highlight w:val="none"/>
              </w:rPr>
            </w:pPr>
            <w:r>
              <w:rPr>
                <w:rFonts w:hint="eastAsia" w:ascii="宋体" w:hAnsi="宋体" w:cs="宋体"/>
                <w:color w:val="auto"/>
                <w:highlight w:val="none"/>
              </w:rPr>
              <w:t>9.9</w:t>
            </w:r>
          </w:p>
        </w:tc>
        <w:tc>
          <w:tcPr>
            <w:tcW w:w="7886"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r>
              <w:rPr>
                <w:rFonts w:hint="eastAsia" w:ascii="宋体" w:hAnsi="宋体" w:cs="宋体"/>
                <w:color w:val="auto"/>
                <w:szCs w:val="21"/>
                <w:highlight w:val="none"/>
              </w:rPr>
              <w:t>招标公告中所要求资格的原件和第三章评标办法中所需证件的原件，须在评标过程中全部向评标委员会提供、查验。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5" w:hRule="atLeast"/>
        </w:trPr>
        <w:tc>
          <w:tcPr>
            <w:tcW w:w="1018" w:type="dxa"/>
            <w:gridSpan w:val="2"/>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color w:val="auto"/>
                <w:highlight w:val="none"/>
              </w:rPr>
            </w:pPr>
            <w:r>
              <w:rPr>
                <w:rFonts w:hint="eastAsia" w:ascii="宋体" w:hAnsi="宋体" w:cs="宋体"/>
                <w:color w:val="auto"/>
                <w:highlight w:val="none"/>
              </w:rPr>
              <w:t>9.10</w:t>
            </w:r>
          </w:p>
        </w:tc>
        <w:tc>
          <w:tcPr>
            <w:tcW w:w="7886"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Cs w:val="21"/>
                <w:lang w:val="en-US"/>
              </w:rPr>
            </w:pPr>
            <w:r>
              <w:rPr>
                <w:rFonts w:hint="eastAsia" w:ascii="宋体" w:hAnsi="宋体" w:cs="宋体"/>
                <w:color w:val="000000"/>
                <w:szCs w:val="21"/>
              </w:rPr>
              <w:t>1中标后，建设单位和中标施工企业应在中标公示期结束后</w:t>
            </w:r>
            <w:r>
              <w:rPr>
                <w:rFonts w:hint="eastAsia" w:ascii="宋体" w:hAnsi="宋体" w:cs="宋体"/>
                <w:color w:val="000000"/>
                <w:szCs w:val="21"/>
                <w:lang w:val="en-US" w:eastAsia="zh-CN"/>
              </w:rPr>
              <w:t>7</w:t>
            </w:r>
            <w:r>
              <w:rPr>
                <w:rFonts w:hint="eastAsia" w:ascii="宋体" w:hAnsi="宋体" w:cs="宋体"/>
                <w:color w:val="000000"/>
                <w:szCs w:val="21"/>
              </w:rPr>
              <w:t xml:space="preserve">个工作日内到温县住房和城乡建设局建筑市场管理科办理农民工工资保证金缴纳手续，足额将农民工工资保证金交至温县农民工工资保证金专用账户。缴纳标准：建设单位按工程总造价的2%；中标的施工企业按工程总造价的2% </w:t>
            </w:r>
            <w:r>
              <w:rPr>
                <w:rFonts w:hint="eastAsia" w:ascii="宋体" w:hAnsi="宋体" w:cs="宋体"/>
                <w:color w:val="000000"/>
                <w:szCs w:val="21"/>
                <w:lang w:eastAsia="zh-CN"/>
              </w:rPr>
              <w:t>，</w:t>
            </w:r>
            <w:r>
              <w:rPr>
                <w:rFonts w:hint="eastAsia" w:ascii="宋体" w:hAnsi="宋体" w:cs="宋体"/>
                <w:color w:val="000000"/>
                <w:szCs w:val="21"/>
                <w:lang w:val="en-US" w:eastAsia="zh-CN"/>
              </w:rPr>
              <w:t>前往温县住建局</w:t>
            </w:r>
            <w:r>
              <w:rPr>
                <w:rFonts w:hint="eastAsia" w:ascii="宋体" w:hAnsi="宋体" w:cs="宋体"/>
                <w:color w:val="000000"/>
                <w:szCs w:val="21"/>
                <w:lang w:eastAsia="zh-CN"/>
              </w:rPr>
              <w:t>联</w:t>
            </w:r>
            <w:r>
              <w:rPr>
                <w:rFonts w:hint="eastAsia" w:ascii="宋体" w:hAnsi="宋体" w:cs="宋体"/>
                <w:color w:val="000000"/>
                <w:szCs w:val="21"/>
              </w:rPr>
              <w:t>建筑市场</w:t>
            </w:r>
            <w:r>
              <w:rPr>
                <w:rFonts w:hint="eastAsia" w:ascii="宋体" w:hAnsi="宋体" w:cs="宋体"/>
                <w:color w:val="000000"/>
                <w:szCs w:val="21"/>
                <w:lang w:eastAsia="zh-CN"/>
              </w:rPr>
              <w:t>监管</w:t>
            </w:r>
            <w:r>
              <w:rPr>
                <w:rFonts w:hint="eastAsia" w:ascii="宋体" w:hAnsi="宋体" w:cs="宋体"/>
                <w:color w:val="000000"/>
                <w:szCs w:val="21"/>
              </w:rPr>
              <w:t>科</w:t>
            </w:r>
            <w:r>
              <w:rPr>
                <w:rFonts w:hint="eastAsia" w:ascii="宋体" w:hAnsi="宋体" w:cs="宋体"/>
                <w:color w:val="000000"/>
                <w:szCs w:val="21"/>
                <w:lang w:eastAsia="zh-CN"/>
              </w:rPr>
              <w:t>办理</w:t>
            </w:r>
            <w:r>
              <w:rPr>
                <w:rFonts w:hint="eastAsia" w:ascii="宋体" w:hAnsi="宋体" w:cs="宋体"/>
                <w:color w:val="000000"/>
                <w:szCs w:val="21"/>
              </w:rPr>
              <w:t>农民工工资保证金</w:t>
            </w:r>
            <w:r>
              <w:rPr>
                <w:rFonts w:hint="eastAsia" w:ascii="宋体" w:hAnsi="宋体" w:cs="宋体"/>
                <w:color w:val="000000"/>
                <w:szCs w:val="21"/>
                <w:lang w:eastAsia="zh-CN"/>
              </w:rPr>
              <w:t>有关事宜，联系电话：</w:t>
            </w:r>
            <w:r>
              <w:rPr>
                <w:rFonts w:hint="eastAsia" w:ascii="宋体" w:hAnsi="宋体" w:cs="宋体"/>
                <w:color w:val="000000"/>
                <w:szCs w:val="21"/>
                <w:lang w:val="en-US" w:eastAsia="zh-CN"/>
              </w:rPr>
              <w:t>0391-6129050.</w:t>
            </w:r>
          </w:p>
          <w:p>
            <w:pPr>
              <w:spacing w:line="360" w:lineRule="exact"/>
              <w:rPr>
                <w:rFonts w:ascii="宋体" w:hAnsi="宋体" w:cs="宋体"/>
                <w:color w:val="auto"/>
                <w:szCs w:val="21"/>
                <w:highlight w:val="none"/>
              </w:rPr>
            </w:pPr>
            <w:r>
              <w:rPr>
                <w:rFonts w:hint="eastAsia" w:ascii="宋体" w:hAnsi="宋体" w:cs="宋体"/>
                <w:color w:val="000000"/>
                <w:szCs w:val="21"/>
              </w:rPr>
              <w:t>2、工程竣工验收合格后，经公示无拖欠农民工工资现象，到温县住房和城乡建设局建筑市场管理科返还农民工工资保证金（无息）。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5" w:hRule="atLeast"/>
        </w:trPr>
        <w:tc>
          <w:tcPr>
            <w:tcW w:w="1018" w:type="dxa"/>
            <w:gridSpan w:val="2"/>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color w:val="auto"/>
                <w:highlight w:val="none"/>
              </w:rPr>
            </w:pPr>
            <w:r>
              <w:rPr>
                <w:rFonts w:hint="eastAsia" w:ascii="宋体" w:hAnsi="宋体" w:cs="宋体"/>
                <w:color w:val="auto"/>
                <w:highlight w:val="none"/>
              </w:rPr>
              <w:t>9.11</w:t>
            </w:r>
          </w:p>
        </w:tc>
        <w:tc>
          <w:tcPr>
            <w:tcW w:w="7886"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在确定中标单位后，建设单位和中标单位应在签订《项目建设合同书》的同时，由双方单位法定代表人或委托项目管理人（即项目法人或项目经理）签订《廉政建设责任书》。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1018" w:type="dxa"/>
            <w:gridSpan w:val="2"/>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color w:val="auto"/>
                <w:highlight w:val="none"/>
              </w:rPr>
            </w:pPr>
            <w:r>
              <w:rPr>
                <w:rFonts w:hint="eastAsia" w:ascii="宋体" w:hAnsi="宋体" w:cs="宋体"/>
                <w:color w:val="auto"/>
                <w:highlight w:val="none"/>
              </w:rPr>
              <w:t>9.12</w:t>
            </w:r>
          </w:p>
        </w:tc>
        <w:tc>
          <w:tcPr>
            <w:tcW w:w="7886"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color w:val="auto"/>
                <w:highlight w:val="none"/>
              </w:rPr>
            </w:pPr>
            <w:r>
              <w:rPr>
                <w:rFonts w:hint="eastAsia" w:ascii="宋体" w:hAnsi="宋体" w:cs="宋体"/>
                <w:color w:val="auto"/>
                <w:highlight w:val="none"/>
              </w:rPr>
              <w:t>1、投标单位需在投标文件中对</w:t>
            </w:r>
            <w:r>
              <w:rPr>
                <w:rFonts w:hint="eastAsia" w:ascii="宋体" w:hAnsi="宋体" w:cs="宋体"/>
                <w:b/>
                <w:bCs/>
                <w:color w:val="auto"/>
                <w:highlight w:val="none"/>
              </w:rPr>
              <w:t>农民工工资</w:t>
            </w:r>
            <w:r>
              <w:rPr>
                <w:rFonts w:hint="eastAsia" w:ascii="宋体" w:hAnsi="宋体" w:cs="宋体"/>
                <w:color w:val="auto"/>
                <w:highlight w:val="none"/>
              </w:rPr>
              <w:t>问题做出以下承诺：</w:t>
            </w:r>
          </w:p>
          <w:p>
            <w:pPr>
              <w:spacing w:line="320" w:lineRule="exact"/>
              <w:rPr>
                <w:rFonts w:ascii="宋体" w:hAnsi="宋体" w:cs="宋体"/>
                <w:color w:val="auto"/>
                <w:highlight w:val="none"/>
              </w:rPr>
            </w:pPr>
            <w:r>
              <w:rPr>
                <w:rFonts w:hint="eastAsia" w:ascii="宋体" w:hAnsi="宋体" w:cs="宋体"/>
                <w:color w:val="auto"/>
                <w:highlight w:val="none"/>
              </w:rPr>
              <w:t>（1）必须在标书中如实反映其以前所承建工程的工资支付情况，近三年内</w:t>
            </w:r>
            <w:r>
              <w:rPr>
                <w:rFonts w:hint="eastAsia" w:ascii="宋体" w:hAnsi="宋体" w:cs="宋体"/>
                <w:color w:val="auto"/>
                <w:szCs w:val="21"/>
                <w:highlight w:val="none"/>
              </w:rPr>
              <w:t>（20</w:t>
            </w:r>
            <w:r>
              <w:rPr>
                <w:rFonts w:hint="eastAsia" w:ascii="宋体" w:hAnsi="宋体" w:cs="宋体"/>
                <w:color w:val="auto"/>
                <w:szCs w:val="21"/>
                <w:highlight w:val="none"/>
                <w:lang w:val="en-US" w:eastAsia="zh-CN"/>
              </w:rPr>
              <w:t>16</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31</w:t>
            </w:r>
            <w:r>
              <w:rPr>
                <w:rFonts w:hint="eastAsia" w:ascii="宋体" w:hAnsi="宋体" w:cs="宋体"/>
                <w:color w:val="auto"/>
                <w:szCs w:val="21"/>
                <w:highlight w:val="none"/>
              </w:rPr>
              <w:t>日—</w:t>
            </w:r>
            <w:r>
              <w:rPr>
                <w:rFonts w:hint="eastAsia" w:ascii="宋体" w:hAnsi="宋体" w:cs="宋体"/>
                <w:color w:val="auto"/>
                <w:szCs w:val="21"/>
                <w:highlight w:val="none"/>
                <w:lang w:eastAsia="zh-CN"/>
              </w:rPr>
              <w:t>20</w:t>
            </w:r>
            <w:r>
              <w:rPr>
                <w:rFonts w:hint="eastAsia" w:ascii="宋体" w:hAnsi="宋体" w:cs="宋体"/>
                <w:color w:val="auto"/>
                <w:szCs w:val="21"/>
                <w:highlight w:val="none"/>
                <w:lang w:val="en-US" w:eastAsia="zh-CN"/>
              </w:rPr>
              <w:t>19</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1日）</w:t>
            </w:r>
            <w:r>
              <w:rPr>
                <w:rFonts w:hint="eastAsia" w:ascii="宋体" w:hAnsi="宋体" w:cs="宋体"/>
                <w:color w:val="auto"/>
                <w:highlight w:val="none"/>
              </w:rPr>
              <w:t>是否因拖欠农民工工资被行政主管部门进行过行政处罚，需特别注明截止竞标之日止，是否存在拖欠或克扣农民工工资的行为。</w:t>
            </w:r>
          </w:p>
          <w:p>
            <w:pPr>
              <w:spacing w:line="320" w:lineRule="exact"/>
              <w:rPr>
                <w:rFonts w:ascii="宋体" w:hAnsi="宋体" w:cs="宋体"/>
                <w:color w:val="auto"/>
                <w:highlight w:val="none"/>
              </w:rPr>
            </w:pPr>
            <w:r>
              <w:rPr>
                <w:rFonts w:hint="eastAsia" w:ascii="宋体" w:hAnsi="宋体" w:cs="宋体"/>
                <w:color w:val="auto"/>
                <w:highlight w:val="none"/>
              </w:rPr>
              <w:t>（2）必须在标书中承诺中标后能够及时、足额缴纳农民工工资保障金。</w:t>
            </w:r>
          </w:p>
          <w:p>
            <w:pPr>
              <w:spacing w:line="320" w:lineRule="exact"/>
              <w:rPr>
                <w:rFonts w:ascii="宋体" w:hAnsi="宋体" w:cs="宋体"/>
                <w:color w:val="auto"/>
                <w:highlight w:val="none"/>
              </w:rPr>
            </w:pPr>
            <w:r>
              <w:rPr>
                <w:rFonts w:hint="eastAsia" w:ascii="宋体" w:hAnsi="宋体" w:cs="宋体"/>
                <w:color w:val="auto"/>
                <w:highlight w:val="none"/>
              </w:rPr>
              <w:t>（3）必须在标书中承诺：一旦其承包的建筑工程项目中出现拖欠农民工工资情况且限期未支付的，可由温县住房和城乡建设局从农民工工资保障金中先予划支，并在两个月内补缴到位。</w:t>
            </w:r>
          </w:p>
          <w:p>
            <w:pPr>
              <w:spacing w:line="320" w:lineRule="exact"/>
              <w:rPr>
                <w:rFonts w:ascii="宋体" w:hAnsi="宋体" w:cs="宋体"/>
                <w:color w:val="auto"/>
                <w:highlight w:val="none"/>
              </w:rPr>
            </w:pPr>
            <w:r>
              <w:rPr>
                <w:rFonts w:hint="eastAsia" w:ascii="宋体" w:hAnsi="宋体" w:cs="宋体"/>
                <w:color w:val="auto"/>
                <w:highlight w:val="none"/>
              </w:rPr>
              <w:t>2、投标人需在投标文件中对近三年内</w:t>
            </w:r>
            <w:r>
              <w:rPr>
                <w:rFonts w:hint="eastAsia" w:ascii="宋体" w:hAnsi="宋体" w:cs="宋体"/>
                <w:color w:val="auto"/>
                <w:szCs w:val="21"/>
                <w:highlight w:val="none"/>
              </w:rPr>
              <w:t>（201</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31</w:t>
            </w:r>
            <w:r>
              <w:rPr>
                <w:rFonts w:hint="eastAsia" w:ascii="宋体" w:hAnsi="宋体" w:cs="宋体"/>
                <w:color w:val="auto"/>
                <w:szCs w:val="21"/>
                <w:highlight w:val="none"/>
              </w:rPr>
              <w:t>日—</w:t>
            </w:r>
            <w:r>
              <w:rPr>
                <w:rFonts w:hint="eastAsia" w:ascii="宋体" w:hAnsi="宋体" w:cs="宋体"/>
                <w:color w:val="auto"/>
                <w:szCs w:val="21"/>
                <w:highlight w:val="none"/>
                <w:lang w:eastAsia="zh-CN"/>
              </w:rPr>
              <w:t>20</w:t>
            </w:r>
            <w:r>
              <w:rPr>
                <w:rFonts w:hint="eastAsia" w:ascii="宋体" w:hAnsi="宋体" w:cs="宋体"/>
                <w:color w:val="auto"/>
                <w:szCs w:val="21"/>
                <w:highlight w:val="none"/>
                <w:lang w:val="en-US" w:eastAsia="zh-CN"/>
              </w:rPr>
              <w:t>19</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31</w:t>
            </w:r>
            <w:r>
              <w:rPr>
                <w:rFonts w:hint="eastAsia" w:ascii="宋体" w:hAnsi="宋体" w:cs="宋体"/>
                <w:color w:val="auto"/>
                <w:szCs w:val="21"/>
                <w:highlight w:val="none"/>
              </w:rPr>
              <w:t>日）</w:t>
            </w:r>
            <w:r>
              <w:rPr>
                <w:rFonts w:hint="eastAsia" w:ascii="宋体" w:hAnsi="宋体" w:cs="宋体"/>
                <w:color w:val="auto"/>
                <w:highlight w:val="none"/>
              </w:rPr>
              <w:t>是否被法院列入过</w:t>
            </w:r>
            <w:r>
              <w:rPr>
                <w:rFonts w:hint="eastAsia" w:ascii="宋体" w:hAnsi="宋体" w:cs="宋体"/>
                <w:b/>
                <w:bCs/>
                <w:color w:val="auto"/>
                <w:highlight w:val="none"/>
              </w:rPr>
              <w:t>失信被执行人</w:t>
            </w:r>
            <w:r>
              <w:rPr>
                <w:rFonts w:hint="eastAsia" w:ascii="宋体" w:hAnsi="宋体" w:cs="宋体"/>
                <w:color w:val="auto"/>
                <w:highlight w:val="none"/>
              </w:rPr>
              <w:t>做出情况说明。</w:t>
            </w:r>
          </w:p>
          <w:p>
            <w:pPr>
              <w:spacing w:line="320" w:lineRule="exact"/>
              <w:rPr>
                <w:rFonts w:ascii="宋体" w:hAnsi="宋体" w:cs="宋体"/>
                <w:color w:val="auto"/>
                <w:highlight w:val="none"/>
              </w:rPr>
            </w:pPr>
            <w:r>
              <w:rPr>
                <w:rFonts w:hint="eastAsia" w:ascii="宋体" w:hAnsi="宋体" w:cs="宋体"/>
                <w:color w:val="auto"/>
                <w:highlight w:val="none"/>
              </w:rPr>
              <w:t>3、投标人需在投标文件中对近三年内</w:t>
            </w:r>
            <w:r>
              <w:rPr>
                <w:rFonts w:hint="eastAsia" w:ascii="宋体" w:hAnsi="宋体" w:cs="宋体"/>
                <w:color w:val="auto"/>
                <w:szCs w:val="21"/>
                <w:highlight w:val="none"/>
              </w:rPr>
              <w:t>（20</w:t>
            </w:r>
            <w:r>
              <w:rPr>
                <w:rFonts w:hint="eastAsia" w:ascii="宋体" w:hAnsi="宋体" w:cs="宋体"/>
                <w:color w:val="auto"/>
                <w:szCs w:val="21"/>
                <w:highlight w:val="none"/>
                <w:lang w:val="en-US" w:eastAsia="zh-CN"/>
              </w:rPr>
              <w:t>16</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31</w:t>
            </w:r>
            <w:r>
              <w:rPr>
                <w:rFonts w:hint="eastAsia" w:ascii="宋体" w:hAnsi="宋体" w:cs="宋体"/>
                <w:color w:val="auto"/>
                <w:szCs w:val="21"/>
                <w:highlight w:val="none"/>
              </w:rPr>
              <w:t>日—</w:t>
            </w:r>
            <w:r>
              <w:rPr>
                <w:rFonts w:hint="eastAsia" w:ascii="宋体" w:hAnsi="宋体" w:cs="宋体"/>
                <w:color w:val="auto"/>
                <w:szCs w:val="21"/>
                <w:highlight w:val="none"/>
                <w:lang w:eastAsia="zh-CN"/>
              </w:rPr>
              <w:t>20</w:t>
            </w:r>
            <w:r>
              <w:rPr>
                <w:rFonts w:hint="eastAsia" w:ascii="宋体" w:hAnsi="宋体" w:cs="宋体"/>
                <w:color w:val="auto"/>
                <w:szCs w:val="21"/>
                <w:highlight w:val="none"/>
                <w:lang w:val="en-US" w:eastAsia="zh-CN"/>
              </w:rPr>
              <w:t>19</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31</w:t>
            </w:r>
            <w:r>
              <w:rPr>
                <w:rFonts w:hint="eastAsia" w:ascii="宋体" w:hAnsi="宋体" w:cs="宋体"/>
                <w:color w:val="auto"/>
                <w:szCs w:val="21"/>
                <w:highlight w:val="none"/>
              </w:rPr>
              <w:t>日）</w:t>
            </w:r>
            <w:r>
              <w:rPr>
                <w:rFonts w:hint="eastAsia" w:ascii="宋体" w:hAnsi="宋体" w:cs="宋体"/>
                <w:color w:val="auto"/>
                <w:highlight w:val="none"/>
              </w:rPr>
              <w:t>是否因</w:t>
            </w:r>
            <w:r>
              <w:rPr>
                <w:rFonts w:hint="eastAsia" w:ascii="宋体" w:hAnsi="宋体" w:cs="宋体"/>
                <w:b/>
                <w:bCs/>
                <w:color w:val="auto"/>
                <w:highlight w:val="none"/>
              </w:rPr>
              <w:t>围标串标</w:t>
            </w:r>
            <w:r>
              <w:rPr>
                <w:rFonts w:hint="eastAsia" w:ascii="宋体" w:hAnsi="宋体" w:cs="宋体"/>
                <w:color w:val="auto"/>
                <w:highlight w:val="none"/>
              </w:rPr>
              <w:t>被行政主管部门进行过行政处罚做出情况说明。</w:t>
            </w:r>
          </w:p>
          <w:p>
            <w:pPr>
              <w:spacing w:line="360" w:lineRule="exact"/>
              <w:rPr>
                <w:rFonts w:ascii="宋体" w:hAnsi="宋体" w:cs="宋体"/>
                <w:color w:val="auto"/>
                <w:szCs w:val="21"/>
                <w:highlight w:val="none"/>
              </w:rPr>
            </w:pPr>
            <w:r>
              <w:rPr>
                <w:rFonts w:hint="eastAsia" w:ascii="宋体" w:hAnsi="宋体" w:cs="宋体"/>
                <w:color w:val="auto"/>
                <w:highlight w:val="none"/>
              </w:rPr>
              <w:t>投标人提交的投标文件不具备以上三项内容的，在资格审查时对其做废标处理。</w:t>
            </w:r>
            <w:r>
              <w:rPr>
                <w:rFonts w:hint="eastAsia" w:ascii="宋体" w:hAnsi="宋体" w:cs="宋体"/>
                <w:color w:val="auto"/>
                <w:szCs w:val="21"/>
                <w:highlight w:val="none"/>
              </w:rPr>
              <w:t>若中标后被查实存在弄虚作假，取消中标资格，不予退还投标保证金，并报送住建部门列入诚信不良记录。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1018" w:type="dxa"/>
            <w:gridSpan w:val="2"/>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color w:val="auto"/>
                <w:highlight w:val="none"/>
              </w:rPr>
            </w:pPr>
            <w:r>
              <w:rPr>
                <w:rFonts w:hint="eastAsia" w:ascii="宋体" w:hAnsi="宋体" w:cs="宋体"/>
                <w:color w:val="auto"/>
                <w:highlight w:val="none"/>
              </w:rPr>
              <w:t>9.13</w:t>
            </w:r>
          </w:p>
        </w:tc>
        <w:tc>
          <w:tcPr>
            <w:tcW w:w="7886"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highlight w:val="none"/>
              </w:rPr>
            </w:pPr>
            <w:r>
              <w:rPr>
                <w:rFonts w:hint="eastAsia" w:ascii="宋体" w:hAnsi="宋体" w:cs="宋体"/>
                <w:color w:val="auto"/>
                <w:highlight w:val="none"/>
              </w:rPr>
              <w:t>对于中标结果提出异议、投诉的事项，经招标人或行政监督部门查证属实的，按相关法律法规和招标文件规定，除取消其中标资格外，并由行政监督部门对原第一中标候选人记录不良行为，限制一定期限内在温县从事招投标活动，并在温县公共资源交易中心网站予以公示。对于故意捏造事实、伪造证明材料的，或者以非法手段取得证明材料等进行恶意异议、投诉的，由招标人、行政监督部门驳回异议或投诉，投标保证金不予退还，并由行政监督部门对其记录不良行为，限制一定期限内在温县从事招投标活动，并在温县公共资源交易中心网站予以公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1018" w:type="dxa"/>
            <w:gridSpan w:val="2"/>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color w:val="auto"/>
                <w:highlight w:val="none"/>
              </w:rPr>
            </w:pPr>
            <w:r>
              <w:rPr>
                <w:rFonts w:hint="eastAsia" w:ascii="宋体" w:hAnsi="宋体" w:cs="宋体"/>
                <w:color w:val="auto"/>
                <w:highlight w:val="none"/>
              </w:rPr>
              <w:t>9.14</w:t>
            </w:r>
          </w:p>
        </w:tc>
        <w:tc>
          <w:tcPr>
            <w:tcW w:w="7886"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highlight w:val="none"/>
              </w:rPr>
            </w:pPr>
            <w:r>
              <w:rPr>
                <w:rFonts w:hint="eastAsia" w:ascii="宋体" w:hAnsi="宋体" w:cs="宋体"/>
                <w:color w:val="auto"/>
                <w:highlight w:val="none"/>
              </w:rPr>
              <w:t>“在评标阶段，招标人或者招标代理机构、评标专家委员会应当通过“信用中国”网站、“中国裁判文书网”或各级信用信息共享平台查询相关投标单位是否为失信被执行人，是否有行贿犯罪记录”。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1018" w:type="dxa"/>
            <w:gridSpan w:val="2"/>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宋体" w:hAnsi="宋体" w:cs="宋体"/>
                <w:color w:val="auto"/>
                <w:highlight w:val="none"/>
              </w:rPr>
            </w:pPr>
            <w:r>
              <w:rPr>
                <w:rFonts w:hint="eastAsia" w:ascii="宋体" w:hAnsi="宋体" w:cs="宋体"/>
                <w:color w:val="auto"/>
                <w:highlight w:val="none"/>
              </w:rPr>
              <w:t>9.15</w:t>
            </w:r>
          </w:p>
        </w:tc>
        <w:tc>
          <w:tcPr>
            <w:tcW w:w="7886"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color w:val="auto"/>
                <w:highlight w:val="none"/>
              </w:rPr>
            </w:pPr>
            <w:r>
              <w:rPr>
                <w:rFonts w:hint="eastAsia" w:ascii="宋体" w:hAnsi="宋体" w:cs="宋体"/>
                <w:color w:val="auto"/>
                <w:highlight w:val="none"/>
              </w:rPr>
              <w:t>投标人应对施工过程作出以下承诺：</w:t>
            </w:r>
          </w:p>
          <w:p>
            <w:pPr>
              <w:spacing w:line="320" w:lineRule="exact"/>
              <w:rPr>
                <w:rFonts w:ascii="宋体" w:hAnsi="宋体" w:cs="宋体"/>
                <w:color w:val="auto"/>
                <w:highlight w:val="none"/>
              </w:rPr>
            </w:pPr>
            <w:r>
              <w:rPr>
                <w:rFonts w:hint="eastAsia" w:ascii="宋体" w:hAnsi="宋体" w:cs="宋体"/>
                <w:color w:val="auto"/>
                <w:highlight w:val="none"/>
              </w:rPr>
              <w:t>1、在施工过程中，保证投标文件中拟派本项目的项目经理、技术负责人和五大员常驻施工现场，如未按有关规定在施工现场，按2000—5000元/每人次的标准接受建设单位的罚款，并按《温县建设工程标后管理暂行办法》的规定接受建设行政主管部门的管理。</w:t>
            </w:r>
          </w:p>
          <w:p>
            <w:pPr>
              <w:spacing w:line="320" w:lineRule="exact"/>
              <w:rPr>
                <w:rFonts w:ascii="宋体" w:hAnsi="宋体" w:cs="宋体"/>
                <w:color w:val="auto"/>
                <w:highlight w:val="none"/>
              </w:rPr>
            </w:pPr>
            <w:r>
              <w:rPr>
                <w:rFonts w:hint="eastAsia" w:ascii="宋体" w:hAnsi="宋体" w:cs="宋体"/>
                <w:color w:val="auto"/>
                <w:highlight w:val="none"/>
              </w:rPr>
              <w:t>2、施工工地扬尘防治达到“六个百分之百”和“两个禁止”要求，即施工工地100%围挡、物料堆放100%覆盖、出入车辆100%冲洗、施工现场地面100%硬化、拆迁工地100%湿法作业、渣土车辆100%密闭运输，禁止现场搅拌混凝土，禁止现场配置砂浆。如达不到要求，按《温县建设工程标后管理暂行办法》接受建设行政主管部门一万元以上十万元以下的罚款，并整改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1018" w:type="dxa"/>
            <w:gridSpan w:val="2"/>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color w:val="auto"/>
                <w:highlight w:val="none"/>
              </w:rPr>
            </w:pPr>
            <w:r>
              <w:rPr>
                <w:rFonts w:hint="eastAsia" w:ascii="宋体" w:hAnsi="宋体" w:cs="宋体"/>
                <w:color w:val="auto"/>
                <w:highlight w:val="none"/>
              </w:rPr>
              <w:t>9.16</w:t>
            </w:r>
          </w:p>
        </w:tc>
        <w:tc>
          <w:tcPr>
            <w:tcW w:w="7886"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中标人须在</w:t>
            </w:r>
            <w:r>
              <w:rPr>
                <w:rFonts w:hint="eastAsia" w:ascii="宋体" w:hAnsi="宋体" w:cs="宋体"/>
                <w:color w:val="auto"/>
                <w:szCs w:val="21"/>
                <w:highlight w:val="none"/>
                <w:lang w:eastAsia="zh-CN"/>
              </w:rPr>
              <w:t>公示期结束后</w:t>
            </w:r>
            <w:r>
              <w:rPr>
                <w:rFonts w:hint="eastAsia" w:ascii="宋体" w:hAnsi="宋体" w:cs="宋体"/>
                <w:color w:val="auto"/>
                <w:szCs w:val="21"/>
                <w:highlight w:val="none"/>
                <w:lang w:val="en-US" w:eastAsia="zh-CN"/>
              </w:rPr>
              <w:t>5个工作日内委派副总、项目经理和技术负责人，携带委托书到温县就招标文件有关要求进行合同前商谈确认，</w:t>
            </w:r>
            <w:r>
              <w:rPr>
                <w:rFonts w:hint="eastAsia" w:ascii="宋体" w:hAnsi="宋体" w:cs="宋体"/>
                <w:color w:val="auto"/>
                <w:szCs w:val="21"/>
                <w:highlight w:val="none"/>
              </w:rPr>
              <w:t>若不能</w:t>
            </w:r>
            <w:r>
              <w:rPr>
                <w:rFonts w:hint="eastAsia" w:ascii="宋体" w:hAnsi="宋体" w:cs="宋体"/>
                <w:color w:val="auto"/>
                <w:szCs w:val="21"/>
                <w:highlight w:val="none"/>
                <w:lang w:eastAsia="zh-CN"/>
              </w:rPr>
              <w:t>按要求进行商谈，</w:t>
            </w:r>
            <w:r>
              <w:rPr>
                <w:rFonts w:hint="eastAsia" w:ascii="宋体" w:hAnsi="宋体" w:cs="宋体"/>
                <w:color w:val="auto"/>
                <w:szCs w:val="21"/>
                <w:highlight w:val="none"/>
              </w:rPr>
              <w:t>视为中标人自愿放弃中标资格</w:t>
            </w:r>
            <w:r>
              <w:rPr>
                <w:rFonts w:hint="eastAsia" w:ascii="宋体" w:hAnsi="宋体" w:cs="宋体"/>
                <w:color w:val="auto"/>
                <w:szCs w:val="21"/>
                <w:highlight w:val="none"/>
                <w:lang w:val="en-US" w:eastAsia="zh-CN"/>
              </w:rPr>
              <w:t>。中标人须在</w:t>
            </w:r>
            <w:r>
              <w:rPr>
                <w:rFonts w:hint="eastAsia" w:ascii="宋体" w:hAnsi="宋体" w:cs="宋体"/>
                <w:color w:val="auto"/>
                <w:szCs w:val="21"/>
                <w:highlight w:val="none"/>
              </w:rPr>
              <w:t>接到招标代理公司电话通知后3个工作日内领取中标通知书</w:t>
            </w:r>
            <w:r>
              <w:rPr>
                <w:rFonts w:hint="eastAsia" w:ascii="宋体" w:hAnsi="宋体" w:cs="宋体"/>
                <w:color w:val="auto"/>
                <w:szCs w:val="21"/>
                <w:highlight w:val="none"/>
                <w:lang w:eastAsia="zh-CN"/>
              </w:rPr>
              <w:t>，若不能</w:t>
            </w:r>
            <w:r>
              <w:rPr>
                <w:rFonts w:hint="eastAsia" w:ascii="宋体" w:hAnsi="宋体" w:cs="宋体"/>
                <w:color w:val="auto"/>
                <w:szCs w:val="21"/>
                <w:highlight w:val="none"/>
              </w:rPr>
              <w:t>按时领取，视为中标人自愿放弃中标资格。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1018" w:type="dxa"/>
            <w:gridSpan w:val="2"/>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color w:val="auto"/>
                <w:highlight w:val="none"/>
              </w:rPr>
            </w:pPr>
            <w:r>
              <w:rPr>
                <w:rFonts w:hint="eastAsia" w:ascii="宋体" w:hAnsi="宋体" w:cs="宋体"/>
                <w:color w:val="auto"/>
                <w:highlight w:val="none"/>
              </w:rPr>
              <w:t>9.17</w:t>
            </w:r>
          </w:p>
        </w:tc>
        <w:tc>
          <w:tcPr>
            <w:tcW w:w="7886"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其它未尽事宜，按国家有关法律、法规执行。</w:t>
            </w:r>
          </w:p>
        </w:tc>
      </w:tr>
    </w:tbl>
    <w:p>
      <w:pPr>
        <w:rPr>
          <w:rFonts w:hint="eastAsia" w:ascii="宋体" w:hAnsi="宋体" w:cs="宋体"/>
          <w:color w:val="auto"/>
          <w:highlight w:val="none"/>
        </w:rPr>
      </w:pPr>
      <w:bookmarkStart w:id="30" w:name="_Toc152042305"/>
      <w:bookmarkStart w:id="31" w:name="_Toc466470907"/>
      <w:bookmarkStart w:id="32" w:name="_Toc152045529"/>
      <w:bookmarkStart w:id="33" w:name="_Toc246996175"/>
      <w:bookmarkStart w:id="34" w:name="_Toc179632546"/>
      <w:bookmarkStart w:id="35" w:name="_Toc246996918"/>
      <w:bookmarkStart w:id="36" w:name="_Toc247085689"/>
      <w:bookmarkStart w:id="37" w:name="_Toc466470777"/>
      <w:bookmarkStart w:id="38" w:name="_Toc144974497"/>
    </w:p>
    <w:p>
      <w:pPr>
        <w:rPr>
          <w:rFonts w:hint="eastAsia"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pStyle w:val="4"/>
        <w:rPr>
          <w:rFonts w:ascii="宋体" w:hAnsi="宋体" w:eastAsia="宋体" w:cs="宋体"/>
          <w:color w:val="auto"/>
          <w:highlight w:val="none"/>
        </w:rPr>
      </w:pPr>
    </w:p>
    <w:p>
      <w:pPr>
        <w:rPr>
          <w:rFonts w:ascii="宋体" w:hAnsi="宋体" w:eastAsia="宋体" w:cs="宋体"/>
          <w:color w:val="auto"/>
          <w:highlight w:val="none"/>
        </w:rPr>
      </w:pPr>
    </w:p>
    <w:p>
      <w:pPr>
        <w:rPr>
          <w:rFonts w:ascii="宋体" w:hAnsi="宋体" w:eastAsia="宋体" w:cs="宋体"/>
          <w:color w:val="auto"/>
          <w:highlight w:val="none"/>
        </w:rPr>
      </w:pPr>
    </w:p>
    <w:p>
      <w:pPr>
        <w:rPr>
          <w:rFonts w:ascii="宋体" w:hAnsi="宋体" w:eastAsia="宋体" w:cs="宋体"/>
          <w:color w:val="auto"/>
          <w:highlight w:val="none"/>
        </w:rPr>
      </w:pPr>
    </w:p>
    <w:p>
      <w:pPr>
        <w:rPr>
          <w:rFonts w:ascii="宋体" w:hAnsi="宋体" w:eastAsia="宋体" w:cs="宋体"/>
          <w:color w:val="auto"/>
          <w:highlight w:val="none"/>
        </w:rPr>
      </w:pPr>
    </w:p>
    <w:p>
      <w:pPr>
        <w:rPr>
          <w:rFonts w:ascii="宋体" w:hAnsi="宋体" w:eastAsia="宋体" w:cs="宋体"/>
          <w:color w:val="auto"/>
          <w:highlight w:val="none"/>
        </w:rPr>
      </w:pPr>
    </w:p>
    <w:p>
      <w:pPr>
        <w:rPr>
          <w:rFonts w:ascii="宋体" w:hAnsi="宋体" w:eastAsia="宋体" w:cs="宋体"/>
          <w:color w:val="auto"/>
          <w:highlight w:val="none"/>
        </w:rPr>
      </w:pPr>
    </w:p>
    <w:p>
      <w:pPr>
        <w:rPr>
          <w:rFonts w:ascii="宋体" w:hAnsi="宋体" w:eastAsia="宋体" w:cs="宋体"/>
          <w:color w:val="auto"/>
          <w:highlight w:val="none"/>
        </w:rPr>
      </w:pPr>
    </w:p>
    <w:p>
      <w:pPr>
        <w:rPr>
          <w:rFonts w:ascii="宋体" w:hAnsi="宋体" w:eastAsia="宋体" w:cs="宋体"/>
          <w:color w:val="auto"/>
          <w:highlight w:val="none"/>
        </w:rPr>
      </w:pPr>
    </w:p>
    <w:p>
      <w:pPr>
        <w:rPr>
          <w:rFonts w:ascii="宋体" w:hAnsi="宋体" w:eastAsia="宋体" w:cs="宋体"/>
          <w:color w:val="auto"/>
          <w:highlight w:val="none"/>
        </w:rPr>
      </w:pPr>
    </w:p>
    <w:p>
      <w:pPr>
        <w:rPr>
          <w:rFonts w:ascii="宋体" w:hAnsi="宋体" w:eastAsia="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pStyle w:val="4"/>
        <w:spacing w:line="400" w:lineRule="exact"/>
        <w:rPr>
          <w:rFonts w:ascii="宋体" w:hAnsi="宋体" w:eastAsia="宋体" w:cs="宋体"/>
          <w:color w:val="auto"/>
          <w:highlight w:val="none"/>
        </w:rPr>
      </w:pPr>
      <w:r>
        <w:rPr>
          <w:rFonts w:hint="eastAsia" w:ascii="宋体" w:hAnsi="宋体" w:eastAsia="宋体" w:cs="宋体"/>
          <w:color w:val="auto"/>
          <w:highlight w:val="none"/>
        </w:rPr>
        <w:t>1. 总则</w:t>
      </w:r>
      <w:bookmarkEnd w:id="30"/>
      <w:bookmarkEnd w:id="31"/>
      <w:bookmarkEnd w:id="32"/>
      <w:bookmarkEnd w:id="33"/>
      <w:bookmarkEnd w:id="34"/>
      <w:bookmarkEnd w:id="35"/>
      <w:bookmarkEnd w:id="36"/>
      <w:bookmarkEnd w:id="37"/>
      <w:bookmarkEnd w:id="38"/>
    </w:p>
    <w:p>
      <w:pPr>
        <w:spacing w:line="400" w:lineRule="exact"/>
        <w:ind w:firstLine="422" w:firstLineChars="200"/>
        <w:rPr>
          <w:rFonts w:ascii="宋体" w:hAnsi="宋体" w:cs="宋体"/>
          <w:b/>
          <w:bCs/>
          <w:color w:val="auto"/>
          <w:highlight w:val="none"/>
        </w:rPr>
      </w:pPr>
      <w:bookmarkStart w:id="39" w:name="_Toc246996919"/>
      <w:bookmarkStart w:id="40" w:name="_Toc152045530"/>
      <w:bookmarkStart w:id="41" w:name="_Toc144974498"/>
      <w:bookmarkStart w:id="42" w:name="_Toc152042306"/>
      <w:bookmarkStart w:id="43" w:name="_Toc247085690"/>
      <w:bookmarkStart w:id="44" w:name="_Toc179632547"/>
      <w:bookmarkStart w:id="45" w:name="_Toc246996176"/>
      <w:r>
        <w:rPr>
          <w:rFonts w:hint="eastAsia" w:ascii="宋体" w:hAnsi="宋体" w:cs="宋体"/>
          <w:b/>
          <w:bCs/>
          <w:color w:val="auto"/>
          <w:highlight w:val="none"/>
        </w:rPr>
        <w:t>1.1 项目概况</w:t>
      </w:r>
      <w:bookmarkEnd w:id="39"/>
      <w:bookmarkEnd w:id="40"/>
      <w:bookmarkEnd w:id="41"/>
      <w:bookmarkEnd w:id="42"/>
      <w:bookmarkEnd w:id="43"/>
      <w:bookmarkEnd w:id="44"/>
      <w:bookmarkEnd w:id="45"/>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1.1.1根据《中华人民共和国招标投标法》等有关法律、法规和规章的规定，本招标项目已具备招标条件，现对本项目施工进行招标。</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1.1.2 本招标项目招标人：见投标人须知前附表。</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1.1.3 本招标项目招标代理机构：见投标人须知前附表。</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1.1.4 本招标项目名称：见投标人须知前附表。</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1.1.5 本招标项目建设地点：见投标人须知前附表。</w:t>
      </w:r>
    </w:p>
    <w:p>
      <w:pPr>
        <w:spacing w:line="400" w:lineRule="exact"/>
        <w:ind w:firstLine="422" w:firstLineChars="200"/>
        <w:rPr>
          <w:rFonts w:ascii="宋体" w:hAnsi="宋体" w:cs="宋体"/>
          <w:b/>
          <w:bCs/>
          <w:color w:val="auto"/>
          <w:highlight w:val="none"/>
        </w:rPr>
      </w:pPr>
      <w:bookmarkStart w:id="46" w:name="_Toc152042307"/>
      <w:bookmarkStart w:id="47" w:name="_Toc144974499"/>
      <w:bookmarkStart w:id="48" w:name="_Toc247085691"/>
      <w:bookmarkStart w:id="49" w:name="_Toc246996920"/>
      <w:bookmarkStart w:id="50" w:name="_Toc179632548"/>
      <w:bookmarkStart w:id="51" w:name="_Toc246996177"/>
      <w:bookmarkStart w:id="52" w:name="_Toc152045531"/>
      <w:r>
        <w:rPr>
          <w:rFonts w:hint="eastAsia" w:ascii="宋体" w:hAnsi="宋体" w:cs="宋体"/>
          <w:b/>
          <w:bCs/>
          <w:color w:val="auto"/>
          <w:highlight w:val="none"/>
        </w:rPr>
        <w:t>1.2 资金来源和落实情况</w:t>
      </w:r>
      <w:bookmarkEnd w:id="46"/>
      <w:bookmarkEnd w:id="47"/>
      <w:bookmarkEnd w:id="48"/>
      <w:bookmarkEnd w:id="49"/>
      <w:bookmarkEnd w:id="50"/>
      <w:bookmarkEnd w:id="51"/>
      <w:bookmarkEnd w:id="52"/>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1.2.1 本招标项目的资金来源及出资比例：见投标人须知前附表。</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1.2.2 本招标项目的资金落实情况：见投标人须知前附表。</w:t>
      </w:r>
    </w:p>
    <w:p>
      <w:pPr>
        <w:spacing w:line="400" w:lineRule="exact"/>
        <w:ind w:firstLine="422" w:firstLineChars="200"/>
        <w:rPr>
          <w:rFonts w:ascii="宋体" w:hAnsi="宋体" w:cs="宋体"/>
          <w:b/>
          <w:bCs/>
          <w:color w:val="auto"/>
          <w:highlight w:val="none"/>
        </w:rPr>
      </w:pPr>
      <w:bookmarkStart w:id="53" w:name="_Toc246996178"/>
      <w:bookmarkStart w:id="54" w:name="_Toc179632549"/>
      <w:bookmarkStart w:id="55" w:name="_Toc247085692"/>
      <w:bookmarkStart w:id="56" w:name="_Toc152042308"/>
      <w:bookmarkStart w:id="57" w:name="_Toc144974500"/>
      <w:bookmarkStart w:id="58" w:name="_Toc152045532"/>
      <w:bookmarkStart w:id="59" w:name="_Toc246996921"/>
      <w:r>
        <w:rPr>
          <w:rFonts w:hint="eastAsia" w:ascii="宋体" w:hAnsi="宋体" w:cs="宋体"/>
          <w:b/>
          <w:bCs/>
          <w:color w:val="auto"/>
          <w:highlight w:val="none"/>
        </w:rPr>
        <w:t>1.3 招标范围、计划工期、质量要求</w:t>
      </w:r>
      <w:bookmarkEnd w:id="53"/>
      <w:bookmarkEnd w:id="54"/>
      <w:bookmarkEnd w:id="55"/>
      <w:bookmarkEnd w:id="56"/>
      <w:bookmarkEnd w:id="57"/>
      <w:bookmarkEnd w:id="58"/>
      <w:bookmarkEnd w:id="59"/>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1.3.1 本次招标范围：见投标人须知前附表。</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1.3.2 本招标项目的计划工期：见投标人须知前附表。</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1.3.3 本招标项目的质量要求：见投标人须知前附表。</w:t>
      </w:r>
    </w:p>
    <w:p>
      <w:pPr>
        <w:spacing w:line="400" w:lineRule="exact"/>
        <w:ind w:firstLine="422" w:firstLineChars="200"/>
        <w:rPr>
          <w:rFonts w:ascii="宋体" w:hAnsi="宋体" w:cs="宋体"/>
          <w:b/>
          <w:bCs/>
          <w:color w:val="auto"/>
          <w:highlight w:val="none"/>
        </w:rPr>
      </w:pPr>
      <w:bookmarkStart w:id="60" w:name="_Toc247085693"/>
      <w:bookmarkStart w:id="61" w:name="_Toc144974502"/>
      <w:bookmarkStart w:id="62" w:name="_Toc246996179"/>
      <w:bookmarkStart w:id="63" w:name="_Toc246996922"/>
      <w:bookmarkStart w:id="64" w:name="_Toc152045534"/>
      <w:bookmarkStart w:id="65" w:name="_Toc152042310"/>
      <w:bookmarkStart w:id="66" w:name="_Toc179632551"/>
      <w:r>
        <w:rPr>
          <w:rFonts w:hint="eastAsia" w:ascii="宋体" w:hAnsi="宋体" w:cs="宋体"/>
          <w:b/>
          <w:bCs/>
          <w:color w:val="auto"/>
          <w:highlight w:val="none"/>
        </w:rPr>
        <w:t>1.4 投标人资格要求</w:t>
      </w:r>
      <w:bookmarkEnd w:id="60"/>
      <w:bookmarkEnd w:id="61"/>
      <w:bookmarkEnd w:id="62"/>
      <w:bookmarkEnd w:id="63"/>
      <w:bookmarkEnd w:id="64"/>
      <w:bookmarkEnd w:id="65"/>
      <w:bookmarkEnd w:id="66"/>
    </w:p>
    <w:p>
      <w:pPr>
        <w:spacing w:line="400" w:lineRule="exact"/>
        <w:ind w:firstLine="359" w:firstLineChars="171"/>
        <w:rPr>
          <w:rFonts w:ascii="宋体" w:hAnsi="宋体" w:cs="宋体"/>
          <w:color w:val="auto"/>
          <w:highlight w:val="none"/>
        </w:rPr>
      </w:pPr>
      <w:r>
        <w:rPr>
          <w:rFonts w:hint="eastAsia" w:ascii="宋体" w:hAnsi="宋体" w:cs="宋体"/>
          <w:color w:val="auto"/>
          <w:highlight w:val="none"/>
        </w:rPr>
        <w:t>1.4.1 投标人应具备承担本项目施工的资质条件、能力和信誉。</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（1）资质条件：见投标人须知前附表；</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（2）项目经理资格：见投标人须知前附表；</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（3）诚信要求：见投标人须知前附表；</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（4）财务要求：见投标人须知前附表；</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（5）业绩要求：见投标人须知前附表；</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（6）信誉要求：见投标人须知前附表；</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（7）无行贿犯罪记录承诺书：见投标人须知前附表；</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（8）其他要求：见投标人须知前附表。</w:t>
      </w:r>
    </w:p>
    <w:p>
      <w:pPr>
        <w:spacing w:line="400" w:lineRule="exact"/>
        <w:ind w:firstLine="359" w:firstLineChars="171"/>
        <w:rPr>
          <w:rFonts w:ascii="宋体" w:hAnsi="宋体" w:cs="宋体"/>
          <w:color w:val="auto"/>
          <w:highlight w:val="none"/>
        </w:rPr>
      </w:pPr>
      <w:r>
        <w:rPr>
          <w:rFonts w:hint="eastAsia" w:ascii="宋体" w:hAnsi="宋体" w:cs="宋体"/>
          <w:color w:val="auto"/>
          <w:highlight w:val="none"/>
        </w:rPr>
        <w:t>1.4.2 投标人不得存在下列情形之一：</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（1）为招标人不具有独立法人资格的附属机构（单位）；</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（2）为本招标项目前期准备提供设计或咨询服务的； </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（3）为本招标项目的监理人；</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（4）为本招标项目的代建人； </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（5）为本招标项目提供招标代理服务的； </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（6）与本招标项目的监理人或代建人或招标代理机构同为一个法定代表人的；</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（7）与本招标项目的监理人或代建人或招标代理机构相互控股或参股的；</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（8）与本招标项目的监理人或代建人或招标代理机构相互任职或工作的；</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（9）被责令停业的； </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（10）被暂停或取消投标资格的； </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（11）财产被接管或冻结的；</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（12）在最近三年内有骗取中标或严重违约或重大工程质量问题的。</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1.4.3 单位负责人为同一人或者存在控股、管理关系的不同单位，不得同时参加本招标项目投标。</w:t>
      </w:r>
    </w:p>
    <w:p>
      <w:pPr>
        <w:spacing w:line="400" w:lineRule="exact"/>
        <w:ind w:firstLine="422" w:firstLineChars="200"/>
        <w:rPr>
          <w:rFonts w:ascii="宋体" w:hAnsi="宋体" w:cs="宋体"/>
          <w:b/>
          <w:bCs/>
          <w:color w:val="auto"/>
          <w:highlight w:val="none"/>
        </w:rPr>
      </w:pPr>
      <w:bookmarkStart w:id="67" w:name="_Toc179632552"/>
      <w:bookmarkStart w:id="68" w:name="_Toc152045535"/>
      <w:bookmarkStart w:id="69" w:name="_Toc246996923"/>
      <w:bookmarkStart w:id="70" w:name="_Toc246996180"/>
      <w:bookmarkStart w:id="71" w:name="_Toc152042311"/>
      <w:bookmarkStart w:id="72" w:name="_Toc247085694"/>
      <w:bookmarkStart w:id="73" w:name="_Toc144974503"/>
      <w:r>
        <w:rPr>
          <w:rFonts w:hint="eastAsia" w:ascii="宋体" w:hAnsi="宋体" w:cs="宋体"/>
          <w:b/>
          <w:bCs/>
          <w:color w:val="auto"/>
          <w:highlight w:val="none"/>
        </w:rPr>
        <w:t>1.5 费用承担</w:t>
      </w:r>
      <w:bookmarkEnd w:id="67"/>
      <w:bookmarkEnd w:id="68"/>
      <w:bookmarkEnd w:id="69"/>
      <w:bookmarkEnd w:id="70"/>
      <w:bookmarkEnd w:id="71"/>
      <w:bookmarkEnd w:id="72"/>
      <w:bookmarkEnd w:id="73"/>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投标人准备和参加投标活动发生的费用自理。</w:t>
      </w:r>
    </w:p>
    <w:p>
      <w:pPr>
        <w:spacing w:line="400" w:lineRule="exact"/>
        <w:ind w:firstLine="422" w:firstLineChars="200"/>
        <w:rPr>
          <w:rFonts w:ascii="宋体" w:hAnsi="宋体" w:cs="宋体"/>
          <w:b/>
          <w:bCs/>
          <w:color w:val="auto"/>
          <w:highlight w:val="none"/>
        </w:rPr>
      </w:pPr>
      <w:bookmarkStart w:id="74" w:name="_Toc152042312"/>
      <w:bookmarkStart w:id="75" w:name="_Toc152045536"/>
      <w:bookmarkStart w:id="76" w:name="_Toc179632553"/>
      <w:bookmarkStart w:id="77" w:name="_Toc247085695"/>
      <w:bookmarkStart w:id="78" w:name="_Toc246996924"/>
      <w:bookmarkStart w:id="79" w:name="_Toc144974504"/>
      <w:bookmarkStart w:id="80" w:name="_Toc246996181"/>
      <w:r>
        <w:rPr>
          <w:rFonts w:hint="eastAsia" w:ascii="宋体" w:hAnsi="宋体" w:cs="宋体"/>
          <w:b/>
          <w:bCs/>
          <w:color w:val="auto"/>
          <w:highlight w:val="none"/>
        </w:rPr>
        <w:t>1.6 保密</w:t>
      </w:r>
      <w:bookmarkEnd w:id="74"/>
      <w:bookmarkEnd w:id="75"/>
      <w:bookmarkEnd w:id="76"/>
      <w:bookmarkEnd w:id="77"/>
      <w:bookmarkEnd w:id="78"/>
      <w:bookmarkEnd w:id="79"/>
      <w:bookmarkEnd w:id="80"/>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参与招标投标活动的各方应对招标文件和投标文件中的商业和技术等秘密保密，违者应对由此造成的后果承担法律责任。 </w:t>
      </w:r>
    </w:p>
    <w:p>
      <w:pPr>
        <w:spacing w:line="400" w:lineRule="exact"/>
        <w:ind w:firstLine="422" w:firstLineChars="200"/>
        <w:rPr>
          <w:rFonts w:ascii="宋体" w:hAnsi="宋体" w:cs="宋体"/>
          <w:b/>
          <w:bCs/>
          <w:color w:val="auto"/>
          <w:highlight w:val="none"/>
        </w:rPr>
      </w:pPr>
      <w:bookmarkStart w:id="81" w:name="_Toc144974505"/>
      <w:bookmarkStart w:id="82" w:name="_Toc152045537"/>
      <w:bookmarkStart w:id="83" w:name="_Toc246996925"/>
      <w:bookmarkStart w:id="84" w:name="_Toc152042313"/>
      <w:bookmarkStart w:id="85" w:name="_Toc247085696"/>
      <w:bookmarkStart w:id="86" w:name="_Toc179632554"/>
      <w:bookmarkStart w:id="87" w:name="_Toc246996182"/>
      <w:r>
        <w:rPr>
          <w:rFonts w:hint="eastAsia" w:ascii="宋体" w:hAnsi="宋体" w:cs="宋体"/>
          <w:b/>
          <w:bCs/>
          <w:color w:val="auto"/>
          <w:highlight w:val="none"/>
        </w:rPr>
        <w:t>1.7 语言</w:t>
      </w:r>
      <w:bookmarkEnd w:id="81"/>
      <w:r>
        <w:rPr>
          <w:rFonts w:hint="eastAsia" w:ascii="宋体" w:hAnsi="宋体" w:cs="宋体"/>
          <w:b/>
          <w:bCs/>
          <w:color w:val="auto"/>
          <w:highlight w:val="none"/>
        </w:rPr>
        <w:t>文字</w:t>
      </w:r>
      <w:bookmarkEnd w:id="82"/>
      <w:bookmarkEnd w:id="83"/>
      <w:bookmarkEnd w:id="84"/>
      <w:bookmarkEnd w:id="85"/>
      <w:bookmarkEnd w:id="86"/>
      <w:bookmarkEnd w:id="87"/>
    </w:p>
    <w:p>
      <w:pPr>
        <w:spacing w:line="400" w:lineRule="exact"/>
        <w:ind w:firstLine="420" w:firstLineChars="200"/>
        <w:rPr>
          <w:rFonts w:ascii="宋体" w:hAnsi="宋体" w:cs="宋体"/>
          <w:color w:val="auto"/>
          <w:highlight w:val="none"/>
        </w:rPr>
      </w:pPr>
      <w:bookmarkStart w:id="88" w:name="_Toc246996183"/>
      <w:bookmarkStart w:id="89" w:name="_Toc144974506"/>
      <w:bookmarkStart w:id="90" w:name="_Toc246996926"/>
      <w:bookmarkStart w:id="91" w:name="_Toc179632555"/>
      <w:bookmarkStart w:id="92" w:name="_Toc152045538"/>
      <w:bookmarkStart w:id="93" w:name="_Toc247085697"/>
      <w:bookmarkStart w:id="94" w:name="_Toc152042314"/>
      <w:r>
        <w:rPr>
          <w:rFonts w:hint="eastAsia" w:ascii="宋体" w:hAnsi="宋体" w:cs="宋体"/>
          <w:color w:val="auto"/>
          <w:highlight w:val="none"/>
        </w:rPr>
        <w:t>招标投标文件使用的语言文字为中文。专用术语使用外文的，应附有中文注释。</w:t>
      </w:r>
    </w:p>
    <w:p>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1.8 计量单位</w:t>
      </w:r>
      <w:bookmarkEnd w:id="88"/>
      <w:bookmarkEnd w:id="89"/>
      <w:bookmarkEnd w:id="90"/>
      <w:bookmarkEnd w:id="91"/>
      <w:bookmarkEnd w:id="92"/>
      <w:bookmarkEnd w:id="93"/>
      <w:bookmarkEnd w:id="94"/>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所有计量均采用中华人民共和国法定计量单位。</w:t>
      </w:r>
    </w:p>
    <w:p>
      <w:pPr>
        <w:spacing w:line="400" w:lineRule="exact"/>
        <w:ind w:firstLine="422" w:firstLineChars="200"/>
        <w:rPr>
          <w:rFonts w:ascii="宋体" w:hAnsi="宋体" w:cs="宋体"/>
          <w:b/>
          <w:bCs/>
          <w:color w:val="auto"/>
          <w:highlight w:val="none"/>
        </w:rPr>
      </w:pPr>
      <w:bookmarkStart w:id="95" w:name="_Toc152042315"/>
      <w:bookmarkStart w:id="96" w:name="_Toc152045539"/>
      <w:bookmarkStart w:id="97" w:name="_Toc144974507"/>
      <w:bookmarkStart w:id="98" w:name="_Toc247513962"/>
      <w:bookmarkStart w:id="99" w:name="_Toc247592876"/>
      <w:bookmarkStart w:id="100" w:name="_Toc247527563"/>
      <w:r>
        <w:rPr>
          <w:rFonts w:hint="eastAsia" w:ascii="宋体" w:hAnsi="宋体" w:cs="宋体"/>
          <w:b/>
          <w:bCs/>
          <w:color w:val="auto"/>
          <w:highlight w:val="none"/>
        </w:rPr>
        <w:t>1.9 踏勘现场</w:t>
      </w:r>
      <w:bookmarkEnd w:id="95"/>
      <w:bookmarkEnd w:id="96"/>
      <w:bookmarkEnd w:id="97"/>
      <w:bookmarkEnd w:id="98"/>
      <w:bookmarkEnd w:id="99"/>
      <w:bookmarkEnd w:id="100"/>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1.9.1 投标人须知前附表规定组织踏勘现场的，招标人按投标人须知前附表规定的时间、地点组织投标人踏勘项目现场。 </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1.9.2 投标人踏勘现场发生的费用自理。</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1.9.3 除招标人的原因外，投标人自行负责在踏勘现场中所发生的人员伤亡和财产损失。</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1.9.4 招标人在踏勘现场中介绍的工程场地和相关的周边环境情况，供投标人在编制投标文件时参考，招标人不对投标人据此作出的判断和决策负责。</w:t>
      </w:r>
    </w:p>
    <w:p>
      <w:pPr>
        <w:spacing w:line="400" w:lineRule="exact"/>
        <w:ind w:firstLine="422" w:firstLineChars="200"/>
        <w:rPr>
          <w:rFonts w:ascii="宋体" w:hAnsi="宋体" w:cs="宋体"/>
          <w:b/>
          <w:bCs/>
          <w:color w:val="auto"/>
          <w:highlight w:val="none"/>
        </w:rPr>
      </w:pPr>
      <w:bookmarkStart w:id="101" w:name="_Toc152045540"/>
      <w:bookmarkStart w:id="102" w:name="_Toc247527564"/>
      <w:bookmarkStart w:id="103" w:name="_Toc144974508"/>
      <w:bookmarkStart w:id="104" w:name="_Toc152042316"/>
      <w:bookmarkStart w:id="105" w:name="_Toc247592877"/>
      <w:bookmarkStart w:id="106" w:name="_Toc247513963"/>
      <w:r>
        <w:rPr>
          <w:rFonts w:hint="eastAsia" w:ascii="宋体" w:hAnsi="宋体" w:cs="宋体"/>
          <w:b/>
          <w:bCs/>
          <w:color w:val="auto"/>
          <w:highlight w:val="none"/>
        </w:rPr>
        <w:t>1.10 投标预备会</w:t>
      </w:r>
      <w:bookmarkEnd w:id="101"/>
      <w:bookmarkEnd w:id="102"/>
      <w:bookmarkEnd w:id="103"/>
      <w:bookmarkEnd w:id="104"/>
      <w:bookmarkEnd w:id="105"/>
      <w:bookmarkEnd w:id="106"/>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1.10.1 投标人须知前附表规定召开投标预备会的，招标人按投标人须知前附表规定的时间和地点召开投标预备会，澄清投标人提出的问题。</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1.10.2 投标人应在投标人须知前附表规定的时间前，以书面形式将提出的问题送达招标人，以便招标人在会议期间澄清。</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1.10.3 投标预备会后，招标人在投标人须知前附表规定的时间内，将对投标人所提问题的澄清，以书面形式通知所有购买招标文件的投标人。该澄清内容为招标文件的组成部分。</w:t>
      </w:r>
    </w:p>
    <w:p>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1.11 偏离</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投标人须知前附表允许投标文件偏离招标文件某些要求的，偏离应当符合招标文件规定的偏离范围和幅度。</w:t>
      </w:r>
    </w:p>
    <w:p>
      <w:pPr>
        <w:pStyle w:val="4"/>
        <w:spacing w:line="400" w:lineRule="exact"/>
        <w:rPr>
          <w:rFonts w:ascii="宋体" w:hAnsi="宋体" w:eastAsia="宋体" w:cs="宋体"/>
          <w:color w:val="auto"/>
          <w:highlight w:val="none"/>
        </w:rPr>
      </w:pPr>
      <w:bookmarkStart w:id="107" w:name="_Toc466470778"/>
      <w:bookmarkStart w:id="108" w:name="_Toc247085701"/>
      <w:bookmarkStart w:id="109" w:name="_Toc246996187"/>
      <w:bookmarkStart w:id="110" w:name="_Toc144974510"/>
      <w:bookmarkStart w:id="111" w:name="_Toc152045542"/>
      <w:bookmarkStart w:id="112" w:name="_Toc246996930"/>
      <w:bookmarkStart w:id="113" w:name="_Toc466470908"/>
      <w:bookmarkStart w:id="114" w:name="_Toc179632560"/>
      <w:bookmarkStart w:id="115" w:name="_Toc152042318"/>
      <w:r>
        <w:rPr>
          <w:rFonts w:hint="eastAsia" w:ascii="宋体" w:hAnsi="宋体" w:eastAsia="宋体" w:cs="宋体"/>
          <w:color w:val="auto"/>
          <w:highlight w:val="none"/>
        </w:rPr>
        <w:t>2. 招标文件</w:t>
      </w:r>
      <w:bookmarkEnd w:id="107"/>
      <w:bookmarkEnd w:id="108"/>
      <w:bookmarkEnd w:id="109"/>
      <w:bookmarkEnd w:id="110"/>
      <w:bookmarkEnd w:id="111"/>
      <w:bookmarkEnd w:id="112"/>
      <w:bookmarkEnd w:id="113"/>
      <w:bookmarkEnd w:id="114"/>
      <w:bookmarkEnd w:id="115"/>
    </w:p>
    <w:p>
      <w:pPr>
        <w:spacing w:line="400" w:lineRule="exact"/>
        <w:ind w:firstLine="422" w:firstLineChars="200"/>
        <w:rPr>
          <w:rFonts w:ascii="宋体" w:hAnsi="宋体" w:cs="宋体"/>
          <w:b/>
          <w:bCs/>
          <w:color w:val="auto"/>
          <w:highlight w:val="none"/>
        </w:rPr>
      </w:pPr>
      <w:bookmarkStart w:id="116" w:name="_Toc246996188"/>
      <w:bookmarkStart w:id="117" w:name="_Toc247085702"/>
      <w:bookmarkStart w:id="118" w:name="_Toc152042319"/>
      <w:bookmarkStart w:id="119" w:name="_Toc179632561"/>
      <w:bookmarkStart w:id="120" w:name="_Toc144974511"/>
      <w:bookmarkStart w:id="121" w:name="_Toc152045543"/>
      <w:bookmarkStart w:id="122" w:name="_Toc246996931"/>
      <w:r>
        <w:rPr>
          <w:rFonts w:hint="eastAsia" w:ascii="宋体" w:hAnsi="宋体" w:cs="宋体"/>
          <w:b/>
          <w:bCs/>
          <w:color w:val="auto"/>
          <w:highlight w:val="none"/>
        </w:rPr>
        <w:t>2.1 招标文件的组成</w:t>
      </w:r>
      <w:bookmarkEnd w:id="116"/>
      <w:bookmarkEnd w:id="117"/>
      <w:bookmarkEnd w:id="118"/>
      <w:bookmarkEnd w:id="119"/>
      <w:bookmarkEnd w:id="120"/>
      <w:bookmarkEnd w:id="121"/>
      <w:bookmarkEnd w:id="122"/>
    </w:p>
    <w:p>
      <w:pPr>
        <w:spacing w:line="400" w:lineRule="exact"/>
        <w:rPr>
          <w:rFonts w:ascii="宋体" w:hAnsi="宋体" w:cs="宋体"/>
          <w:color w:val="auto"/>
          <w:highlight w:val="none"/>
        </w:rPr>
      </w:pPr>
      <w:r>
        <w:rPr>
          <w:rFonts w:hint="eastAsia" w:ascii="宋体" w:hAnsi="宋体" w:cs="宋体"/>
          <w:color w:val="auto"/>
          <w:highlight w:val="none"/>
        </w:rPr>
        <w:t>　　2.1.1 本招标文件包括：</w:t>
      </w:r>
    </w:p>
    <w:p>
      <w:pPr>
        <w:spacing w:line="400" w:lineRule="exact"/>
        <w:ind w:firstLine="359" w:firstLineChars="171"/>
        <w:rPr>
          <w:rFonts w:ascii="宋体" w:hAnsi="宋体" w:cs="宋体"/>
          <w:color w:val="auto"/>
          <w:highlight w:val="none"/>
        </w:rPr>
      </w:pPr>
      <w:r>
        <w:rPr>
          <w:rFonts w:hint="eastAsia" w:ascii="宋体" w:hAnsi="宋体" w:cs="宋体"/>
          <w:color w:val="auto"/>
          <w:highlight w:val="none"/>
        </w:rPr>
        <w:t>（1）招标公告；</w:t>
      </w:r>
    </w:p>
    <w:p>
      <w:pPr>
        <w:spacing w:line="400" w:lineRule="exact"/>
        <w:ind w:firstLine="359" w:firstLineChars="171"/>
        <w:rPr>
          <w:rFonts w:ascii="宋体" w:hAnsi="宋体" w:cs="宋体"/>
          <w:color w:val="auto"/>
          <w:highlight w:val="none"/>
        </w:rPr>
      </w:pPr>
      <w:r>
        <w:rPr>
          <w:rFonts w:hint="eastAsia" w:ascii="宋体" w:hAnsi="宋体" w:cs="宋体"/>
          <w:color w:val="auto"/>
          <w:highlight w:val="none"/>
        </w:rPr>
        <w:t>（2）投标人须知；</w:t>
      </w:r>
    </w:p>
    <w:p>
      <w:pPr>
        <w:spacing w:line="400" w:lineRule="exact"/>
        <w:ind w:firstLine="359" w:firstLineChars="171"/>
        <w:rPr>
          <w:rFonts w:ascii="宋体" w:hAnsi="宋体" w:cs="宋体"/>
          <w:color w:val="auto"/>
          <w:highlight w:val="none"/>
        </w:rPr>
      </w:pPr>
      <w:r>
        <w:rPr>
          <w:rFonts w:hint="eastAsia" w:ascii="宋体" w:hAnsi="宋体" w:cs="宋体"/>
          <w:color w:val="auto"/>
          <w:highlight w:val="none"/>
        </w:rPr>
        <w:t>（3）评标办法；</w:t>
      </w:r>
    </w:p>
    <w:p>
      <w:pPr>
        <w:spacing w:line="400" w:lineRule="exact"/>
        <w:ind w:firstLine="359" w:firstLineChars="171"/>
        <w:rPr>
          <w:rFonts w:ascii="宋体" w:hAnsi="宋体" w:cs="宋体"/>
          <w:color w:val="auto"/>
          <w:highlight w:val="none"/>
        </w:rPr>
      </w:pPr>
      <w:r>
        <w:rPr>
          <w:rFonts w:hint="eastAsia" w:ascii="宋体" w:hAnsi="宋体" w:cs="宋体"/>
          <w:color w:val="auto"/>
          <w:highlight w:val="none"/>
        </w:rPr>
        <w:t>（4）合同条款及格式；</w:t>
      </w:r>
    </w:p>
    <w:p>
      <w:pPr>
        <w:spacing w:line="400" w:lineRule="exact"/>
        <w:ind w:firstLine="359" w:firstLineChars="171"/>
        <w:rPr>
          <w:rFonts w:ascii="宋体" w:hAnsi="宋体" w:cs="宋体"/>
          <w:color w:val="auto"/>
          <w:highlight w:val="none"/>
        </w:rPr>
      </w:pPr>
      <w:r>
        <w:rPr>
          <w:rFonts w:hint="eastAsia" w:ascii="宋体" w:hAnsi="宋体" w:cs="宋体"/>
          <w:color w:val="auto"/>
          <w:highlight w:val="none"/>
        </w:rPr>
        <w:t>（5）工程量清单；</w:t>
      </w:r>
    </w:p>
    <w:p>
      <w:pPr>
        <w:spacing w:line="400" w:lineRule="exact"/>
        <w:ind w:firstLine="359" w:firstLineChars="171"/>
        <w:rPr>
          <w:rFonts w:ascii="宋体" w:hAnsi="宋体" w:cs="宋体"/>
          <w:color w:val="auto"/>
          <w:highlight w:val="none"/>
        </w:rPr>
      </w:pPr>
      <w:r>
        <w:rPr>
          <w:rFonts w:hint="eastAsia" w:ascii="宋体" w:hAnsi="宋体" w:cs="宋体"/>
          <w:color w:val="auto"/>
          <w:highlight w:val="none"/>
        </w:rPr>
        <w:t xml:space="preserve">（6）技术标准和要求； </w:t>
      </w:r>
    </w:p>
    <w:p>
      <w:pPr>
        <w:spacing w:line="400" w:lineRule="exact"/>
        <w:ind w:firstLine="359" w:firstLineChars="171"/>
        <w:rPr>
          <w:rFonts w:ascii="宋体" w:hAnsi="宋体" w:cs="宋体"/>
          <w:color w:val="auto"/>
          <w:highlight w:val="none"/>
        </w:rPr>
      </w:pPr>
      <w:r>
        <w:rPr>
          <w:rFonts w:hint="eastAsia" w:ascii="宋体" w:hAnsi="宋体" w:cs="宋体"/>
          <w:color w:val="auto"/>
          <w:highlight w:val="none"/>
        </w:rPr>
        <w:t>（7）投标文件格式；</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2.1.2 根据本章第1.10款、第2.2款和第2.3款对招标文件所作的澄清、修改，构成招标文件的组成部分。</w:t>
      </w:r>
    </w:p>
    <w:p>
      <w:pPr>
        <w:spacing w:line="400" w:lineRule="exact"/>
        <w:ind w:firstLine="422" w:firstLineChars="200"/>
        <w:rPr>
          <w:rFonts w:ascii="宋体" w:hAnsi="宋体" w:cs="宋体"/>
          <w:b/>
          <w:bCs/>
          <w:color w:val="auto"/>
          <w:highlight w:val="none"/>
        </w:rPr>
      </w:pPr>
      <w:bookmarkStart w:id="123" w:name="_Toc179632562"/>
      <w:bookmarkStart w:id="124" w:name="_Toc144974512"/>
      <w:bookmarkStart w:id="125" w:name="_Toc247085703"/>
      <w:bookmarkStart w:id="126" w:name="_Toc246996189"/>
      <w:bookmarkStart w:id="127" w:name="_Toc152042320"/>
      <w:bookmarkStart w:id="128" w:name="_Toc246996932"/>
      <w:bookmarkStart w:id="129" w:name="_Toc466470909"/>
      <w:bookmarkStart w:id="130" w:name="_Toc466470779"/>
      <w:bookmarkStart w:id="131" w:name="_Toc152045544"/>
      <w:r>
        <w:rPr>
          <w:rFonts w:hint="eastAsia" w:ascii="宋体" w:hAnsi="宋体" w:cs="宋体"/>
          <w:b/>
          <w:bCs/>
          <w:color w:val="auto"/>
          <w:highlight w:val="none"/>
        </w:rPr>
        <w:t>2.2 招标文件的澄清</w:t>
      </w:r>
      <w:bookmarkEnd w:id="123"/>
      <w:bookmarkEnd w:id="124"/>
      <w:bookmarkEnd w:id="125"/>
      <w:bookmarkEnd w:id="126"/>
      <w:bookmarkEnd w:id="127"/>
      <w:bookmarkEnd w:id="128"/>
      <w:bookmarkEnd w:id="129"/>
      <w:bookmarkEnd w:id="130"/>
      <w:bookmarkEnd w:id="131"/>
      <w:r>
        <w:rPr>
          <w:rFonts w:hint="eastAsia" w:ascii="宋体" w:hAnsi="宋体" w:cs="宋体"/>
          <w:b/>
          <w:bCs/>
          <w:color w:val="auto"/>
          <w:highlight w:val="none"/>
        </w:rPr>
        <w:t xml:space="preserve"> </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2.2.1 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2.2.2 招标文件的澄清将以书面形式发给所有购买招标文件的投标人，但不指明澄清问题的来源。如果澄清发出的时间距投标人须知前附表规定的投标截止时间不足15天，并且澄清内容影响投标文件编制的，将相应延长投标截止时间。 </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2.2.3 投标人在收到澄清后，应在投标人须知前附表规定的时间内以书面形式通知招标人，确认已收到该澄清。</w:t>
      </w:r>
    </w:p>
    <w:p>
      <w:pPr>
        <w:spacing w:line="400" w:lineRule="exact"/>
        <w:ind w:firstLine="422" w:firstLineChars="200"/>
        <w:rPr>
          <w:rFonts w:ascii="宋体" w:hAnsi="宋体" w:cs="宋体"/>
          <w:b/>
          <w:bCs/>
          <w:color w:val="auto"/>
          <w:highlight w:val="none"/>
        </w:rPr>
      </w:pPr>
      <w:bookmarkStart w:id="132" w:name="_Toc247085704"/>
      <w:bookmarkStart w:id="133" w:name="_Toc152042321"/>
      <w:bookmarkStart w:id="134" w:name="_Toc152045545"/>
      <w:bookmarkStart w:id="135" w:name="_Toc179632563"/>
      <w:bookmarkStart w:id="136" w:name="_Toc144974513"/>
      <w:bookmarkStart w:id="137" w:name="_Toc246996190"/>
      <w:bookmarkStart w:id="138" w:name="_Toc246996933"/>
      <w:r>
        <w:rPr>
          <w:rFonts w:hint="eastAsia" w:ascii="宋体" w:hAnsi="宋体" w:cs="宋体"/>
          <w:b/>
          <w:bCs/>
          <w:color w:val="auto"/>
          <w:highlight w:val="none"/>
        </w:rPr>
        <w:t>2.3 招标文件的修改</w:t>
      </w:r>
      <w:bookmarkEnd w:id="132"/>
      <w:bookmarkEnd w:id="133"/>
      <w:bookmarkEnd w:id="134"/>
      <w:bookmarkEnd w:id="135"/>
      <w:bookmarkEnd w:id="136"/>
      <w:bookmarkEnd w:id="137"/>
      <w:bookmarkEnd w:id="138"/>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2.3.1招标人可以书面形式修改招标文件，并通知所有已购买招标文件的投标人。但如果修改招标文件的时间距投标截止时间不足15天，并且修改内容影响投标文件编制的，将相应延长投标截止时间。</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2.3.2 投标人收到修改内容后，应在投标人须知前附表规定的时间内以书面形式通知招标人，确认已收到该修改。</w:t>
      </w:r>
    </w:p>
    <w:p>
      <w:pPr>
        <w:pStyle w:val="4"/>
        <w:spacing w:line="400" w:lineRule="exact"/>
        <w:rPr>
          <w:rFonts w:ascii="宋体" w:hAnsi="宋体" w:eastAsia="宋体" w:cs="宋体"/>
          <w:color w:val="auto"/>
          <w:highlight w:val="none"/>
        </w:rPr>
      </w:pPr>
      <w:bookmarkStart w:id="139" w:name="_Toc179632564"/>
      <w:bookmarkStart w:id="140" w:name="_Toc247085705"/>
      <w:bookmarkStart w:id="141" w:name="_Toc144974514"/>
      <w:bookmarkStart w:id="142" w:name="_Toc152045546"/>
      <w:bookmarkStart w:id="143" w:name="_Toc152042322"/>
      <w:bookmarkStart w:id="144" w:name="_Toc466470780"/>
      <w:bookmarkStart w:id="145" w:name="_Toc246996934"/>
      <w:bookmarkStart w:id="146" w:name="_Toc466470910"/>
      <w:bookmarkStart w:id="147" w:name="_Toc246996191"/>
      <w:r>
        <w:rPr>
          <w:rFonts w:hint="eastAsia" w:ascii="宋体" w:hAnsi="宋体" w:eastAsia="宋体" w:cs="宋体"/>
          <w:color w:val="auto"/>
          <w:highlight w:val="none"/>
        </w:rPr>
        <w:t>3. 投标文件</w:t>
      </w:r>
      <w:bookmarkEnd w:id="139"/>
      <w:bookmarkEnd w:id="140"/>
      <w:bookmarkEnd w:id="141"/>
      <w:bookmarkEnd w:id="142"/>
      <w:bookmarkEnd w:id="143"/>
      <w:bookmarkEnd w:id="144"/>
      <w:bookmarkEnd w:id="145"/>
      <w:bookmarkEnd w:id="146"/>
      <w:bookmarkEnd w:id="147"/>
    </w:p>
    <w:p>
      <w:pPr>
        <w:spacing w:line="400" w:lineRule="exact"/>
        <w:ind w:firstLine="422" w:firstLineChars="200"/>
        <w:rPr>
          <w:rFonts w:ascii="宋体" w:hAnsi="宋体" w:cs="宋体"/>
          <w:b/>
          <w:bCs/>
          <w:color w:val="auto"/>
          <w:highlight w:val="none"/>
        </w:rPr>
      </w:pPr>
      <w:bookmarkStart w:id="148" w:name="_Toc144974515"/>
      <w:bookmarkStart w:id="149" w:name="_Toc152042323"/>
      <w:bookmarkStart w:id="150" w:name="_Toc246996192"/>
      <w:bookmarkStart w:id="151" w:name="_Toc246996935"/>
      <w:bookmarkStart w:id="152" w:name="_Toc247085706"/>
      <w:bookmarkStart w:id="153" w:name="_Toc179632565"/>
      <w:bookmarkStart w:id="154" w:name="_Toc152045547"/>
      <w:r>
        <w:rPr>
          <w:rFonts w:hint="eastAsia" w:ascii="宋体" w:hAnsi="宋体" w:cs="宋体"/>
          <w:b/>
          <w:bCs/>
          <w:color w:val="auto"/>
          <w:highlight w:val="none"/>
        </w:rPr>
        <w:t>3.1 投标文件的组成</w:t>
      </w:r>
      <w:bookmarkEnd w:id="148"/>
      <w:bookmarkEnd w:id="149"/>
      <w:bookmarkEnd w:id="150"/>
      <w:bookmarkEnd w:id="151"/>
      <w:bookmarkEnd w:id="152"/>
      <w:bookmarkEnd w:id="153"/>
      <w:bookmarkEnd w:id="154"/>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投标文件应包括下列内容：</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（1）投标函及投标函附录；</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（2）法定代表人身份证明或附有法定代表人身份证明的授权委托书；</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（3）投标保证金；</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（4）已标价工程量清单；</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（5）施工组织设计；</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（6）项目管理机构；</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（7）资格审查资料；</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（8）投标人须知前附表规定的其他材料。</w:t>
      </w:r>
    </w:p>
    <w:p>
      <w:pPr>
        <w:spacing w:line="400" w:lineRule="exact"/>
        <w:ind w:firstLine="422" w:firstLineChars="200"/>
        <w:rPr>
          <w:rFonts w:ascii="宋体" w:hAnsi="宋体" w:cs="宋体"/>
          <w:b/>
          <w:bCs/>
          <w:color w:val="auto"/>
          <w:highlight w:val="none"/>
        </w:rPr>
      </w:pPr>
      <w:bookmarkStart w:id="155" w:name="_Toc246996936"/>
      <w:bookmarkStart w:id="156" w:name="_Toc152042324"/>
      <w:bookmarkStart w:id="157" w:name="_Toc246996193"/>
      <w:bookmarkStart w:id="158" w:name="_Toc144974516"/>
      <w:bookmarkStart w:id="159" w:name="_Toc152045548"/>
      <w:bookmarkStart w:id="160" w:name="_Toc179632566"/>
      <w:bookmarkStart w:id="161" w:name="_Toc247085707"/>
      <w:r>
        <w:rPr>
          <w:rFonts w:hint="eastAsia" w:ascii="宋体" w:hAnsi="宋体" w:cs="宋体"/>
          <w:b/>
          <w:bCs/>
          <w:color w:val="auto"/>
          <w:highlight w:val="none"/>
        </w:rPr>
        <w:t>3.2 投标报价</w:t>
      </w:r>
      <w:bookmarkEnd w:id="155"/>
      <w:bookmarkEnd w:id="156"/>
      <w:bookmarkEnd w:id="157"/>
      <w:bookmarkEnd w:id="158"/>
      <w:bookmarkEnd w:id="159"/>
      <w:bookmarkEnd w:id="160"/>
      <w:bookmarkEnd w:id="161"/>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3.2.1 投标人应按第五章“工程量清单”的要求填写相应表格。</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3.2.2 投标人在投标截止时间前修改投标函中的投标报价总额，应同时修改“已标价工程量清单”中的相应报价，投标报价总额为各分项金额之和。此修改须符合本章第4.3款的有关要求。</w:t>
      </w:r>
      <w:bookmarkStart w:id="162" w:name="_Toc179632567"/>
      <w:bookmarkStart w:id="163" w:name="_Toc152042325"/>
      <w:bookmarkStart w:id="164" w:name="_Toc152045549"/>
      <w:bookmarkStart w:id="165" w:name="_Toc144974517"/>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3.2.3 招标人设有最高投标限价的，投标人的投标报价不得超过最高投标限价。</w:t>
      </w:r>
    </w:p>
    <w:p>
      <w:pPr>
        <w:spacing w:line="400" w:lineRule="exact"/>
        <w:ind w:firstLine="422" w:firstLineChars="200"/>
        <w:rPr>
          <w:rFonts w:ascii="宋体" w:hAnsi="宋体" w:cs="宋体"/>
          <w:b/>
          <w:bCs/>
          <w:color w:val="auto"/>
          <w:highlight w:val="none"/>
        </w:rPr>
      </w:pPr>
      <w:bookmarkStart w:id="166" w:name="_Toc246996937"/>
      <w:bookmarkStart w:id="167" w:name="_Toc247085708"/>
      <w:bookmarkStart w:id="168" w:name="_Toc246996194"/>
      <w:r>
        <w:rPr>
          <w:rFonts w:hint="eastAsia" w:ascii="宋体" w:hAnsi="宋体" w:cs="宋体"/>
          <w:b/>
          <w:bCs/>
          <w:color w:val="auto"/>
          <w:highlight w:val="none"/>
        </w:rPr>
        <w:t>3.3 投标有效期</w:t>
      </w:r>
      <w:bookmarkEnd w:id="162"/>
      <w:bookmarkEnd w:id="163"/>
      <w:bookmarkEnd w:id="164"/>
      <w:bookmarkEnd w:id="165"/>
      <w:bookmarkEnd w:id="166"/>
      <w:bookmarkEnd w:id="167"/>
      <w:bookmarkEnd w:id="168"/>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3.3.1 除投标人须知前附表另有规定外，投标有效期为60日历天。</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3.3.2在投标有效期内，投标人撤销或修改其投标文件的，应承担招标文件和法律规定的责任。</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spacing w:line="400" w:lineRule="exact"/>
        <w:ind w:firstLine="422" w:firstLineChars="200"/>
        <w:rPr>
          <w:rFonts w:ascii="宋体" w:hAnsi="宋体" w:cs="宋体"/>
          <w:b/>
          <w:bCs/>
          <w:color w:val="auto"/>
          <w:highlight w:val="none"/>
        </w:rPr>
      </w:pPr>
      <w:bookmarkStart w:id="169" w:name="_Toc246996195"/>
      <w:bookmarkStart w:id="170" w:name="_Toc246996938"/>
      <w:bookmarkStart w:id="171" w:name="_Toc152042326"/>
      <w:bookmarkStart w:id="172" w:name="_Toc144974518"/>
      <w:bookmarkStart w:id="173" w:name="_Toc179632568"/>
      <w:bookmarkStart w:id="174" w:name="_Toc247085709"/>
      <w:bookmarkStart w:id="175" w:name="_Toc152045550"/>
      <w:r>
        <w:rPr>
          <w:rFonts w:hint="eastAsia" w:ascii="宋体" w:hAnsi="宋体" w:cs="宋体"/>
          <w:b/>
          <w:bCs/>
          <w:color w:val="auto"/>
          <w:highlight w:val="none"/>
        </w:rPr>
        <w:t>3.4 投标保证金</w:t>
      </w:r>
      <w:bookmarkEnd w:id="169"/>
      <w:bookmarkEnd w:id="170"/>
      <w:bookmarkEnd w:id="171"/>
      <w:bookmarkEnd w:id="172"/>
      <w:bookmarkEnd w:id="173"/>
      <w:bookmarkEnd w:id="174"/>
      <w:bookmarkEnd w:id="175"/>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3.4.1 投标人须知前附表规定递交投标保证金的，投标人在递交投标文件的同时，应按投标人须知前附表规定的金额和第七章“投标文件格式”规定的或者事先经过招标人认可的投标保证金格式递交投标保证金，并作为其投标文件的组成部分。</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3.4.2 投标人不按本章第3.4.1项要求提交投标保证金的，评标委员会将否决其投标。</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3.4.3 招标人与中标人签订合同后5日内，向未中标的投标人和中标人退还投标保证金。</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3.4.4 有下列情形之一的，投标保证金将不予退还： </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（1）投标人在规定的投标有效期内撤销或修改其投标文件；</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（2）中标人在收到中标通知书后，无正当理由拒签合同协议书或未按招标文件规定提交履约担保。</w:t>
      </w:r>
    </w:p>
    <w:p>
      <w:pPr>
        <w:spacing w:line="400" w:lineRule="exact"/>
        <w:ind w:firstLine="422" w:firstLineChars="200"/>
        <w:rPr>
          <w:rFonts w:ascii="宋体" w:hAnsi="宋体" w:cs="宋体"/>
          <w:b/>
          <w:bCs/>
          <w:color w:val="auto"/>
          <w:highlight w:val="none"/>
        </w:rPr>
      </w:pPr>
      <w:bookmarkStart w:id="176" w:name="_Toc247085710"/>
      <w:bookmarkStart w:id="177" w:name="_Toc152045552"/>
      <w:bookmarkStart w:id="178" w:name="_Toc152042328"/>
      <w:bookmarkStart w:id="179" w:name="_Toc179632570"/>
      <w:bookmarkStart w:id="180" w:name="_Toc246996939"/>
      <w:bookmarkStart w:id="181" w:name="_Toc246996196"/>
      <w:bookmarkStart w:id="182" w:name="_Toc144974520"/>
      <w:r>
        <w:rPr>
          <w:rFonts w:hint="eastAsia" w:ascii="宋体" w:hAnsi="宋体" w:cs="宋体"/>
          <w:b/>
          <w:bCs/>
          <w:color w:val="auto"/>
          <w:highlight w:val="none"/>
        </w:rPr>
        <w:t>3.5 资格审查资料</w:t>
      </w:r>
      <w:bookmarkEnd w:id="176"/>
      <w:bookmarkEnd w:id="177"/>
      <w:bookmarkEnd w:id="178"/>
      <w:bookmarkEnd w:id="179"/>
      <w:bookmarkEnd w:id="180"/>
      <w:bookmarkEnd w:id="181"/>
      <w:bookmarkEnd w:id="182"/>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3.5.1  “投标人基本情况表”应附投标人营业执照、资质证书副本和安全生产许可证等材料的复印件。</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3.5.2 “近年财务状况表”应附经会计师事务所或审计机构审计的财务会计报表，包括资产负债表、现金流量表、利润表和财务情况说明书等复印件，具体年份要求见投标人须知前附表。</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3.5.3 “近年完成的类似项目情况表”应附中标通知书和合同协议书、工程接收证书（工程竣工验收证书）复印件，具体年份要求见投标人须知前附表。每张表格只填写一个项目，并标明序号。</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3.5.4 “正在施工和新承接的项目情况表”应附中标通知书和合同协议书复印件。每张表格只填写一个项目，并标明序号。</w:t>
      </w:r>
    </w:p>
    <w:p>
      <w:pPr>
        <w:spacing w:line="400" w:lineRule="exact"/>
        <w:ind w:firstLine="422" w:firstLineChars="200"/>
        <w:rPr>
          <w:rFonts w:ascii="宋体" w:hAnsi="宋体" w:cs="宋体"/>
          <w:b/>
          <w:bCs/>
          <w:color w:val="auto"/>
          <w:highlight w:val="none"/>
        </w:rPr>
      </w:pPr>
      <w:bookmarkStart w:id="183" w:name="_Toc179632571"/>
      <w:bookmarkStart w:id="184" w:name="_Toc246996940"/>
      <w:bookmarkStart w:id="185" w:name="_Toc152042329"/>
      <w:bookmarkStart w:id="186" w:name="_Toc144974521"/>
      <w:bookmarkStart w:id="187" w:name="_Toc246996197"/>
      <w:bookmarkStart w:id="188" w:name="_Toc152045553"/>
      <w:bookmarkStart w:id="189" w:name="_Toc247085711"/>
      <w:r>
        <w:rPr>
          <w:rFonts w:hint="eastAsia" w:ascii="宋体" w:hAnsi="宋体" w:cs="宋体"/>
          <w:b/>
          <w:bCs/>
          <w:color w:val="auto"/>
          <w:highlight w:val="none"/>
        </w:rPr>
        <w:t>3.6投标文件的编制</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3.6.1投标文件应按第七章“投标文件格式”进行编写，如有必要，可以增加附页，作为投标文件的组成部分。其中，投标函附录在满足招标文件实质性要求的基础上，可以提出比招标文件要求更有利于招标人的承诺。</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3.6.2 投标文件应当对招标文件有关工期、投标有效期、质量要求、技术标准和要求、招标范围等实质性内容作出响应。</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3.6.3投标文件应用不褪色的材料书写或打印，并由投标人的法定代表人或其委托代理人签字或盖单位章。委托代理人签字的，投标文件应附法定代表人签署的授权委托书。投标文件应尽量避免涂改、行间插字或删除。如果出现上述情况，改动之处应加盖单位章或由投标人的法定代表人或其授权的代理人签字确认。签字或盖章的具体要求见投标人须知前附表。</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3.6.4 投标文件正本一份, 副本份数见投标人须知前附表。正本和副本的封面上应清楚地标记“正本”或“副本”的字样。当副本和正本不一致时，以正本为准。</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3.6.5 投标文件的正本与副本应分别装订成册，具体装订要求见投标人须知前附表规定。</w:t>
      </w:r>
      <w:bookmarkEnd w:id="183"/>
      <w:bookmarkEnd w:id="184"/>
      <w:bookmarkEnd w:id="185"/>
      <w:bookmarkEnd w:id="186"/>
      <w:bookmarkEnd w:id="187"/>
      <w:bookmarkEnd w:id="188"/>
      <w:bookmarkEnd w:id="189"/>
      <w:bookmarkStart w:id="190" w:name="_Toc179632573"/>
      <w:bookmarkStart w:id="191" w:name="_Toc246996199"/>
      <w:bookmarkStart w:id="192" w:name="_Toc246996942"/>
      <w:bookmarkStart w:id="193" w:name="_Toc144974523"/>
      <w:bookmarkStart w:id="194" w:name="_Toc152042331"/>
      <w:bookmarkStart w:id="195" w:name="_Toc247085713"/>
      <w:bookmarkStart w:id="196" w:name="_Toc152045555"/>
    </w:p>
    <w:p>
      <w:pPr>
        <w:pStyle w:val="4"/>
        <w:spacing w:line="400" w:lineRule="exact"/>
        <w:rPr>
          <w:rFonts w:ascii="宋体" w:hAnsi="宋体" w:eastAsia="宋体" w:cs="宋体"/>
          <w:color w:val="auto"/>
          <w:highlight w:val="none"/>
        </w:rPr>
      </w:pPr>
      <w:bookmarkStart w:id="197" w:name="_Toc466470911"/>
      <w:bookmarkStart w:id="198" w:name="_Toc466470781"/>
      <w:r>
        <w:rPr>
          <w:rFonts w:hint="eastAsia" w:ascii="宋体" w:hAnsi="宋体" w:eastAsia="宋体" w:cs="宋体"/>
          <w:color w:val="auto"/>
          <w:highlight w:val="none"/>
        </w:rPr>
        <w:t>4. 投标</w:t>
      </w:r>
      <w:bookmarkEnd w:id="190"/>
      <w:bookmarkEnd w:id="191"/>
      <w:bookmarkEnd w:id="192"/>
      <w:bookmarkEnd w:id="193"/>
      <w:bookmarkEnd w:id="194"/>
      <w:bookmarkEnd w:id="195"/>
      <w:bookmarkEnd w:id="196"/>
      <w:bookmarkEnd w:id="197"/>
      <w:bookmarkEnd w:id="198"/>
    </w:p>
    <w:p>
      <w:pPr>
        <w:spacing w:line="400" w:lineRule="exact"/>
        <w:ind w:firstLine="422" w:firstLineChars="200"/>
        <w:rPr>
          <w:rFonts w:ascii="宋体" w:hAnsi="宋体" w:cs="宋体"/>
          <w:b/>
          <w:bCs/>
          <w:color w:val="auto"/>
          <w:highlight w:val="none"/>
        </w:rPr>
      </w:pPr>
      <w:bookmarkStart w:id="199" w:name="_Toc152042332"/>
      <w:bookmarkStart w:id="200" w:name="_Toc179632574"/>
      <w:bookmarkStart w:id="201" w:name="_Toc246996943"/>
      <w:bookmarkStart w:id="202" w:name="_Toc247085714"/>
      <w:bookmarkStart w:id="203" w:name="_Toc152045556"/>
      <w:bookmarkStart w:id="204" w:name="_Toc144974524"/>
      <w:bookmarkStart w:id="205" w:name="_Toc246996200"/>
      <w:r>
        <w:rPr>
          <w:rFonts w:hint="eastAsia" w:ascii="宋体" w:hAnsi="宋体" w:cs="宋体"/>
          <w:b/>
          <w:bCs/>
          <w:color w:val="auto"/>
          <w:highlight w:val="none"/>
        </w:rPr>
        <w:t>4.1 投标文件的密封和标记</w:t>
      </w:r>
      <w:bookmarkEnd w:id="199"/>
      <w:bookmarkEnd w:id="200"/>
      <w:bookmarkEnd w:id="201"/>
      <w:bookmarkEnd w:id="202"/>
      <w:bookmarkEnd w:id="203"/>
      <w:bookmarkEnd w:id="204"/>
      <w:bookmarkEnd w:id="205"/>
    </w:p>
    <w:p>
      <w:pPr>
        <w:spacing w:line="400" w:lineRule="exact"/>
        <w:ind w:firstLine="420" w:firstLineChars="200"/>
        <w:rPr>
          <w:rFonts w:ascii="宋体" w:hAnsi="宋体" w:cs="宋体"/>
          <w:color w:val="auto"/>
          <w:highlight w:val="none"/>
        </w:rPr>
      </w:pPr>
      <w:bookmarkStart w:id="206" w:name="_Toc247085715"/>
      <w:bookmarkStart w:id="207" w:name="_Toc152042333"/>
      <w:bookmarkStart w:id="208" w:name="_Toc246996944"/>
      <w:bookmarkStart w:id="209" w:name="_Toc152045557"/>
      <w:bookmarkStart w:id="210" w:name="_Toc179632575"/>
      <w:bookmarkStart w:id="211" w:name="_Toc144974525"/>
      <w:bookmarkStart w:id="212" w:name="_Toc246996201"/>
      <w:r>
        <w:rPr>
          <w:rFonts w:hint="eastAsia" w:ascii="宋体" w:hAnsi="宋体" w:cs="宋体"/>
          <w:color w:val="auto"/>
          <w:highlight w:val="none"/>
        </w:rPr>
        <w:t>4.1.1 投标文件的正本与副本、电子文档应分开包装加贴封条，并在封套的封口处加盖投标人单位公章。电子版应单独密封，加贴封条，并在封套的封口处加盖投标人单位公章。</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4.1.2 投标文件封套上应写明的内容见投标人须知前附表。</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4.1.3 未按本章第4.1.1项或第4.1.2项要求密封和加写标记的投标文件，招标人应予拒收。</w:t>
      </w:r>
    </w:p>
    <w:p>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4.2 投标文件的递交</w:t>
      </w:r>
      <w:bookmarkEnd w:id="206"/>
      <w:bookmarkEnd w:id="207"/>
      <w:bookmarkEnd w:id="208"/>
      <w:bookmarkEnd w:id="209"/>
      <w:bookmarkEnd w:id="210"/>
      <w:bookmarkEnd w:id="211"/>
      <w:bookmarkEnd w:id="212"/>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4.2.1 投标人应在本章第2.2.2项规定的投标截止时间前递交投标文件。</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4.2.2 投标人递交投标文件的地点：见投标人须知前附表。</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4.2.3 除投标人须知前附表另有规定外，投标人所递交的投标文件不予退还。</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4.2.4 逾期送达的或者未送达指定地点的投标文件，招标人不予受理。</w:t>
      </w:r>
    </w:p>
    <w:p>
      <w:pPr>
        <w:spacing w:line="400" w:lineRule="exact"/>
        <w:ind w:firstLine="422" w:firstLineChars="200"/>
        <w:rPr>
          <w:rFonts w:ascii="宋体" w:hAnsi="宋体" w:cs="宋体"/>
          <w:b/>
          <w:bCs/>
          <w:color w:val="auto"/>
          <w:highlight w:val="none"/>
        </w:rPr>
      </w:pPr>
      <w:bookmarkStart w:id="213" w:name="_Toc247085716"/>
      <w:bookmarkStart w:id="214" w:name="_Toc246996202"/>
      <w:bookmarkStart w:id="215" w:name="_Toc144974526"/>
      <w:bookmarkStart w:id="216" w:name="_Toc152042334"/>
      <w:bookmarkStart w:id="217" w:name="_Toc179632576"/>
      <w:bookmarkStart w:id="218" w:name="_Toc152045558"/>
      <w:bookmarkStart w:id="219" w:name="_Toc246996945"/>
      <w:r>
        <w:rPr>
          <w:rFonts w:hint="eastAsia" w:ascii="宋体" w:hAnsi="宋体" w:cs="宋体"/>
          <w:b/>
          <w:bCs/>
          <w:color w:val="auto"/>
          <w:highlight w:val="none"/>
        </w:rPr>
        <w:t>4.3 投标文件的修改与撤回</w:t>
      </w:r>
      <w:bookmarkEnd w:id="213"/>
      <w:bookmarkEnd w:id="214"/>
      <w:bookmarkEnd w:id="215"/>
      <w:bookmarkEnd w:id="216"/>
      <w:bookmarkEnd w:id="217"/>
      <w:bookmarkEnd w:id="218"/>
      <w:bookmarkEnd w:id="219"/>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4.3.1 在本章第2.2.2项规定的投标截止时间前，投标人可以修改或撤回已递交的投标文件，但应以书面形式通知招标人。</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4.3.2 投标人修改或撤回已递交投标文件的书面通知应按照本章第3.6.3项的要求签字或盖章。招标人收到书面通知后，向投标人出具签收凭证。</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4.3.3 投标人撤回投标文件的，招标人自收到投标人书面撤回通知之日起5日内退还已收取的投标保证金。</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4.3.4 修改的内容为投标文件的组成部分。修改的投标文件应按照本章第3条、第4条规定进行编制、密封、标记和递交，并标明“修改”字样。</w:t>
      </w:r>
    </w:p>
    <w:p>
      <w:pPr>
        <w:pStyle w:val="4"/>
        <w:spacing w:line="400" w:lineRule="exact"/>
        <w:rPr>
          <w:rFonts w:ascii="宋体" w:hAnsi="宋体" w:eastAsia="宋体" w:cs="宋体"/>
          <w:color w:val="auto"/>
          <w:highlight w:val="none"/>
        </w:rPr>
      </w:pPr>
      <w:bookmarkStart w:id="220" w:name="_Toc246996946"/>
      <w:bookmarkStart w:id="221" w:name="_Toc152045559"/>
      <w:bookmarkStart w:id="222" w:name="_Toc247085717"/>
      <w:bookmarkStart w:id="223" w:name="_Toc144974527"/>
      <w:bookmarkStart w:id="224" w:name="_Toc246996203"/>
      <w:bookmarkStart w:id="225" w:name="_Toc179632577"/>
      <w:bookmarkStart w:id="226" w:name="_Toc152042335"/>
      <w:bookmarkStart w:id="227" w:name="_Toc466470782"/>
      <w:bookmarkStart w:id="228" w:name="_Toc466470912"/>
      <w:r>
        <w:rPr>
          <w:rFonts w:hint="eastAsia" w:ascii="宋体" w:hAnsi="宋体" w:eastAsia="宋体" w:cs="宋体"/>
          <w:color w:val="auto"/>
          <w:highlight w:val="none"/>
        </w:rPr>
        <w:t>5. 开标</w:t>
      </w:r>
      <w:bookmarkEnd w:id="220"/>
      <w:bookmarkEnd w:id="221"/>
      <w:bookmarkEnd w:id="222"/>
      <w:bookmarkEnd w:id="223"/>
      <w:bookmarkEnd w:id="224"/>
      <w:bookmarkEnd w:id="225"/>
      <w:bookmarkEnd w:id="226"/>
      <w:bookmarkEnd w:id="227"/>
      <w:bookmarkEnd w:id="228"/>
    </w:p>
    <w:p>
      <w:pPr>
        <w:spacing w:line="400" w:lineRule="exact"/>
        <w:ind w:firstLine="422" w:firstLineChars="200"/>
        <w:rPr>
          <w:rFonts w:ascii="宋体" w:hAnsi="宋体" w:cs="宋体"/>
          <w:b/>
          <w:bCs/>
          <w:color w:val="auto"/>
          <w:highlight w:val="none"/>
        </w:rPr>
      </w:pPr>
      <w:bookmarkStart w:id="229" w:name="_Toc152045560"/>
      <w:bookmarkStart w:id="230" w:name="_Toc144974528"/>
      <w:bookmarkStart w:id="231" w:name="_Toc246996947"/>
      <w:bookmarkStart w:id="232" w:name="_Toc179632578"/>
      <w:bookmarkStart w:id="233" w:name="_Toc246996204"/>
      <w:bookmarkStart w:id="234" w:name="_Toc152042336"/>
      <w:bookmarkStart w:id="235" w:name="_Toc247085718"/>
      <w:r>
        <w:rPr>
          <w:rFonts w:hint="eastAsia" w:ascii="宋体" w:hAnsi="宋体" w:cs="宋体"/>
          <w:b/>
          <w:bCs/>
          <w:color w:val="auto"/>
          <w:highlight w:val="none"/>
        </w:rPr>
        <w:t>5.1 开标时间和地点</w:t>
      </w:r>
      <w:bookmarkEnd w:id="229"/>
      <w:bookmarkEnd w:id="230"/>
      <w:bookmarkEnd w:id="231"/>
      <w:bookmarkEnd w:id="232"/>
      <w:bookmarkEnd w:id="233"/>
      <w:bookmarkEnd w:id="234"/>
      <w:bookmarkEnd w:id="235"/>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招标人在本章第2.2.2项规定的投标截止时间（开标时间）和投标人须知前附表规定的地点公开开标，并邀请所有投标人的法定代表人或其委托代理人准时参加。</w:t>
      </w:r>
    </w:p>
    <w:p>
      <w:pPr>
        <w:spacing w:line="400" w:lineRule="exact"/>
        <w:ind w:firstLine="422" w:firstLineChars="200"/>
        <w:rPr>
          <w:rFonts w:ascii="宋体" w:hAnsi="宋体" w:cs="宋体"/>
          <w:b/>
          <w:bCs/>
          <w:color w:val="auto"/>
          <w:highlight w:val="none"/>
        </w:rPr>
      </w:pPr>
      <w:bookmarkStart w:id="236" w:name="_Toc152042337"/>
      <w:bookmarkStart w:id="237" w:name="_Toc246996205"/>
      <w:bookmarkStart w:id="238" w:name="_Toc179632579"/>
      <w:bookmarkStart w:id="239" w:name="_Toc246996948"/>
      <w:bookmarkStart w:id="240" w:name="_Toc247085719"/>
      <w:bookmarkStart w:id="241" w:name="_Toc144974529"/>
      <w:bookmarkStart w:id="242" w:name="_Toc152045561"/>
      <w:r>
        <w:rPr>
          <w:rFonts w:hint="eastAsia" w:ascii="宋体" w:hAnsi="宋体" w:cs="宋体"/>
          <w:b/>
          <w:bCs/>
          <w:color w:val="auto"/>
          <w:highlight w:val="none"/>
        </w:rPr>
        <w:t>5.2 开标程序</w:t>
      </w:r>
      <w:bookmarkEnd w:id="236"/>
      <w:bookmarkEnd w:id="237"/>
      <w:bookmarkEnd w:id="238"/>
      <w:bookmarkEnd w:id="239"/>
      <w:bookmarkEnd w:id="240"/>
      <w:bookmarkEnd w:id="241"/>
      <w:bookmarkEnd w:id="242"/>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主持人按下列程序进行开标：</w:t>
      </w:r>
    </w:p>
    <w:p>
      <w:pPr>
        <w:spacing w:line="400" w:lineRule="exact"/>
        <w:rPr>
          <w:rFonts w:ascii="宋体" w:hAnsi="宋体" w:cs="宋体"/>
          <w:color w:val="auto"/>
          <w:highlight w:val="none"/>
        </w:rPr>
      </w:pPr>
      <w:r>
        <w:rPr>
          <w:rFonts w:hint="eastAsia" w:ascii="宋体" w:hAnsi="宋体" w:cs="宋体"/>
          <w:color w:val="auto"/>
          <w:highlight w:val="none"/>
        </w:rPr>
        <w:t>（1）宣布开标纪律；</w:t>
      </w:r>
    </w:p>
    <w:p>
      <w:pPr>
        <w:spacing w:line="400" w:lineRule="exact"/>
        <w:rPr>
          <w:rFonts w:ascii="宋体" w:hAnsi="宋体" w:cs="宋体"/>
          <w:color w:val="auto"/>
          <w:highlight w:val="none"/>
        </w:rPr>
      </w:pPr>
      <w:r>
        <w:rPr>
          <w:rFonts w:hint="eastAsia" w:ascii="宋体" w:hAnsi="宋体" w:cs="宋体"/>
          <w:color w:val="auto"/>
          <w:highlight w:val="none"/>
        </w:rPr>
        <w:t>（2）公布在投标截止时间前递交投标文件的投标人名称，并点名确认投标人是否派人到场；</w:t>
      </w:r>
    </w:p>
    <w:p>
      <w:pPr>
        <w:spacing w:line="400" w:lineRule="exact"/>
        <w:rPr>
          <w:rFonts w:ascii="宋体" w:hAnsi="宋体" w:cs="宋体"/>
          <w:color w:val="auto"/>
          <w:highlight w:val="none"/>
        </w:rPr>
      </w:pPr>
      <w:r>
        <w:rPr>
          <w:rFonts w:hint="eastAsia" w:ascii="宋体" w:hAnsi="宋体" w:cs="宋体"/>
          <w:color w:val="auto"/>
          <w:highlight w:val="none"/>
        </w:rPr>
        <w:t>（3）宣布开标人、唱标人、记录人、监标人等有关人员姓名；</w:t>
      </w:r>
    </w:p>
    <w:p>
      <w:pPr>
        <w:spacing w:line="400" w:lineRule="exact"/>
        <w:rPr>
          <w:rFonts w:ascii="宋体" w:hAnsi="宋体" w:cs="宋体"/>
          <w:color w:val="auto"/>
          <w:highlight w:val="none"/>
        </w:rPr>
      </w:pPr>
      <w:r>
        <w:rPr>
          <w:rFonts w:hint="eastAsia" w:ascii="宋体" w:hAnsi="宋体" w:cs="宋体"/>
          <w:color w:val="auto"/>
          <w:highlight w:val="none"/>
        </w:rPr>
        <w:t>（4）</w:t>
      </w:r>
      <w:r>
        <w:rPr>
          <w:rFonts w:hint="eastAsia" w:ascii="宋体" w:hAnsi="宋体"/>
          <w:color w:val="auto"/>
          <w:kern w:val="0"/>
          <w:szCs w:val="21"/>
          <w:highlight w:val="none"/>
        </w:rPr>
        <w:t>密封情况检查：由招标人委托的公证机关检查并公证：确认无误后，由工作人员当众拆封，宣读投标人名称、投标价格和投标文件的其他内容。</w:t>
      </w:r>
    </w:p>
    <w:p>
      <w:pPr>
        <w:spacing w:line="400" w:lineRule="exact"/>
        <w:rPr>
          <w:rFonts w:ascii="宋体" w:hAnsi="宋体" w:cs="宋体"/>
          <w:color w:val="auto"/>
          <w:highlight w:val="none"/>
        </w:rPr>
      </w:pPr>
      <w:r>
        <w:rPr>
          <w:rFonts w:hint="eastAsia" w:ascii="宋体" w:hAnsi="宋体" w:cs="宋体"/>
          <w:color w:val="auto"/>
          <w:highlight w:val="none"/>
        </w:rPr>
        <w:t>（5）按照投标人签到表的逆顺序确定并宣布投标文件开标顺序</w:t>
      </w:r>
    </w:p>
    <w:p>
      <w:pPr>
        <w:spacing w:line="400" w:lineRule="exact"/>
        <w:rPr>
          <w:rFonts w:ascii="宋体" w:hAnsi="宋体" w:cs="宋体"/>
          <w:color w:val="auto"/>
          <w:highlight w:val="none"/>
        </w:rPr>
      </w:pPr>
      <w:r>
        <w:rPr>
          <w:rFonts w:hint="eastAsia" w:ascii="宋体" w:hAnsi="宋体" w:cs="宋体"/>
          <w:color w:val="auto"/>
          <w:highlight w:val="none"/>
        </w:rPr>
        <w:t>（6）按照宣布的开标顺序当众开标，公布投标人名称、投标保证金的递交情况、投标报价、质量目标、工期及其他内容，并记录在案；</w:t>
      </w:r>
    </w:p>
    <w:p>
      <w:pPr>
        <w:spacing w:line="400" w:lineRule="exact"/>
        <w:rPr>
          <w:rFonts w:ascii="宋体" w:hAnsi="宋体" w:cs="宋体"/>
          <w:color w:val="auto"/>
          <w:highlight w:val="none"/>
        </w:rPr>
      </w:pPr>
      <w:r>
        <w:rPr>
          <w:rFonts w:hint="eastAsia" w:ascii="宋体" w:hAnsi="宋体" w:cs="宋体"/>
          <w:color w:val="auto"/>
          <w:highlight w:val="none"/>
        </w:rPr>
        <w:t>（7）投标人代表、招标人代表、监标人、记录人等有关人员在开标记录上签字确认；</w:t>
      </w:r>
    </w:p>
    <w:p>
      <w:pPr>
        <w:spacing w:line="400" w:lineRule="exact"/>
        <w:rPr>
          <w:rFonts w:ascii="宋体" w:hAnsi="宋体" w:cs="宋体"/>
          <w:color w:val="auto"/>
          <w:highlight w:val="none"/>
        </w:rPr>
      </w:pPr>
      <w:r>
        <w:rPr>
          <w:rFonts w:hint="eastAsia" w:ascii="宋体" w:hAnsi="宋体" w:cs="宋体"/>
          <w:color w:val="auto"/>
          <w:highlight w:val="none"/>
        </w:rPr>
        <w:t>（8）开标结束。</w:t>
      </w:r>
    </w:p>
    <w:p>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5.3 开标异议</w:t>
      </w:r>
    </w:p>
    <w:p>
      <w:pPr>
        <w:spacing w:line="400" w:lineRule="exact"/>
        <w:ind w:firstLine="359" w:firstLineChars="171"/>
        <w:rPr>
          <w:rFonts w:ascii="宋体" w:hAnsi="宋体" w:cs="宋体"/>
          <w:color w:val="auto"/>
          <w:highlight w:val="none"/>
        </w:rPr>
      </w:pPr>
      <w:r>
        <w:rPr>
          <w:rFonts w:hint="eastAsia" w:ascii="宋体" w:hAnsi="宋体" w:cs="宋体"/>
          <w:color w:val="auto"/>
          <w:highlight w:val="none"/>
        </w:rPr>
        <w:t>投标人对开标有异议的，应当在开标现场提出，招标人当场作出答复，并制作记录。</w:t>
      </w:r>
    </w:p>
    <w:p>
      <w:pPr>
        <w:pStyle w:val="4"/>
        <w:spacing w:line="400" w:lineRule="exact"/>
        <w:rPr>
          <w:rFonts w:ascii="宋体" w:hAnsi="宋体" w:eastAsia="宋体" w:cs="宋体"/>
          <w:color w:val="auto"/>
          <w:highlight w:val="none"/>
        </w:rPr>
      </w:pPr>
      <w:bookmarkStart w:id="243" w:name="_Toc179632580"/>
      <w:bookmarkStart w:id="244" w:name="_Toc246996949"/>
      <w:bookmarkStart w:id="245" w:name="_Toc246996206"/>
      <w:bookmarkStart w:id="246" w:name="_Toc466470913"/>
      <w:bookmarkStart w:id="247" w:name="_Toc247085720"/>
      <w:bookmarkStart w:id="248" w:name="_Toc152042338"/>
      <w:bookmarkStart w:id="249" w:name="_Toc152045562"/>
      <w:bookmarkStart w:id="250" w:name="_Toc466470783"/>
      <w:bookmarkStart w:id="251" w:name="_Toc144974530"/>
      <w:r>
        <w:rPr>
          <w:rFonts w:hint="eastAsia" w:ascii="宋体" w:hAnsi="宋体" w:eastAsia="宋体" w:cs="宋体"/>
          <w:color w:val="auto"/>
          <w:highlight w:val="none"/>
        </w:rPr>
        <w:t>6. 评标</w:t>
      </w:r>
      <w:bookmarkEnd w:id="243"/>
      <w:bookmarkEnd w:id="244"/>
      <w:bookmarkEnd w:id="245"/>
      <w:bookmarkEnd w:id="246"/>
      <w:bookmarkEnd w:id="247"/>
      <w:bookmarkEnd w:id="248"/>
      <w:bookmarkEnd w:id="249"/>
      <w:bookmarkEnd w:id="250"/>
      <w:bookmarkEnd w:id="251"/>
    </w:p>
    <w:p>
      <w:pPr>
        <w:spacing w:line="400" w:lineRule="exact"/>
        <w:ind w:firstLine="422" w:firstLineChars="200"/>
        <w:rPr>
          <w:rFonts w:ascii="宋体" w:hAnsi="宋体" w:cs="宋体"/>
          <w:b/>
          <w:bCs/>
          <w:color w:val="auto"/>
          <w:highlight w:val="none"/>
        </w:rPr>
      </w:pPr>
      <w:bookmarkStart w:id="252" w:name="_Toc152042339"/>
      <w:bookmarkStart w:id="253" w:name="_Toc247085721"/>
      <w:bookmarkStart w:id="254" w:name="_Toc152045563"/>
      <w:bookmarkStart w:id="255" w:name="_Toc246996207"/>
      <w:bookmarkStart w:id="256" w:name="_Toc144974531"/>
      <w:bookmarkStart w:id="257" w:name="_Toc246996950"/>
      <w:bookmarkStart w:id="258" w:name="_Toc179632581"/>
      <w:r>
        <w:rPr>
          <w:rFonts w:hint="eastAsia" w:ascii="宋体" w:hAnsi="宋体" w:cs="宋体"/>
          <w:b/>
          <w:bCs/>
          <w:color w:val="auto"/>
          <w:highlight w:val="none"/>
        </w:rPr>
        <w:t>6.1 评标委员会</w:t>
      </w:r>
      <w:bookmarkEnd w:id="252"/>
      <w:bookmarkEnd w:id="253"/>
      <w:bookmarkEnd w:id="254"/>
      <w:bookmarkEnd w:id="255"/>
      <w:bookmarkEnd w:id="256"/>
      <w:bookmarkEnd w:id="257"/>
      <w:bookmarkEnd w:id="258"/>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6.1.1 评标由招标人依法组建的评标委员会负责。评标委员会由招标人代表及有关技术、经济等方面的专家组成。评标委员会成员人数以及技术、经济等方面专家的确定方式见投标人须知前附表。</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6.1.2 评标委员会成员有下列情形之一的，应当回避：</w:t>
      </w:r>
    </w:p>
    <w:p>
      <w:pPr>
        <w:spacing w:line="400" w:lineRule="exact"/>
        <w:ind w:firstLine="359" w:firstLineChars="171"/>
        <w:rPr>
          <w:rFonts w:ascii="宋体" w:hAnsi="宋体" w:cs="宋体"/>
          <w:color w:val="auto"/>
          <w:highlight w:val="none"/>
        </w:rPr>
      </w:pPr>
      <w:r>
        <w:rPr>
          <w:rFonts w:hint="eastAsia" w:ascii="宋体" w:hAnsi="宋体" w:cs="宋体"/>
          <w:color w:val="auto"/>
          <w:highlight w:val="none"/>
        </w:rPr>
        <w:t>（1）投标人或投标人主要负责人的近亲属；</w:t>
      </w:r>
    </w:p>
    <w:p>
      <w:pPr>
        <w:spacing w:line="400" w:lineRule="exact"/>
        <w:ind w:firstLine="359" w:firstLineChars="171"/>
        <w:rPr>
          <w:rFonts w:ascii="宋体" w:hAnsi="宋体" w:cs="宋体"/>
          <w:color w:val="auto"/>
          <w:highlight w:val="none"/>
        </w:rPr>
      </w:pPr>
      <w:r>
        <w:rPr>
          <w:rFonts w:hint="eastAsia" w:ascii="宋体" w:hAnsi="宋体" w:cs="宋体"/>
          <w:color w:val="auto"/>
          <w:highlight w:val="none"/>
        </w:rPr>
        <w:t>（2）项目主管部门或者行政监督部门的人员；</w:t>
      </w:r>
    </w:p>
    <w:p>
      <w:pPr>
        <w:spacing w:line="400" w:lineRule="exact"/>
        <w:ind w:firstLine="359" w:firstLineChars="171"/>
        <w:rPr>
          <w:rFonts w:ascii="宋体" w:hAnsi="宋体" w:cs="宋体"/>
          <w:color w:val="auto"/>
          <w:highlight w:val="none"/>
        </w:rPr>
      </w:pPr>
      <w:r>
        <w:rPr>
          <w:rFonts w:hint="eastAsia" w:ascii="宋体" w:hAnsi="宋体" w:cs="宋体"/>
          <w:color w:val="auto"/>
          <w:highlight w:val="none"/>
        </w:rPr>
        <w:t>（3）与投标人有经济利益关系；</w:t>
      </w:r>
    </w:p>
    <w:p>
      <w:pPr>
        <w:spacing w:line="400" w:lineRule="exact"/>
        <w:ind w:firstLine="359" w:firstLineChars="171"/>
        <w:rPr>
          <w:rFonts w:ascii="宋体" w:hAnsi="宋体" w:cs="宋体"/>
          <w:color w:val="auto"/>
          <w:highlight w:val="none"/>
        </w:rPr>
      </w:pPr>
      <w:r>
        <w:rPr>
          <w:rFonts w:hint="eastAsia" w:ascii="宋体" w:hAnsi="宋体" w:cs="宋体"/>
          <w:color w:val="auto"/>
          <w:highlight w:val="none"/>
        </w:rPr>
        <w:t>（4）曾因在招标、评标以及其他与招标投标有关活动中从事违法行为而受过行政处罚或刑事处罚的；</w:t>
      </w:r>
    </w:p>
    <w:p>
      <w:pPr>
        <w:spacing w:line="400" w:lineRule="exact"/>
        <w:ind w:firstLine="359" w:firstLineChars="171"/>
        <w:rPr>
          <w:rFonts w:ascii="宋体" w:hAnsi="宋体" w:cs="宋体"/>
          <w:color w:val="auto"/>
          <w:highlight w:val="none"/>
        </w:rPr>
      </w:pPr>
      <w:r>
        <w:rPr>
          <w:rFonts w:hint="eastAsia" w:ascii="宋体" w:hAnsi="宋体" w:cs="宋体"/>
          <w:color w:val="auto"/>
          <w:highlight w:val="none"/>
        </w:rPr>
        <w:t>（5）与投标人有其他利害关系。</w:t>
      </w:r>
    </w:p>
    <w:p>
      <w:pPr>
        <w:spacing w:line="400" w:lineRule="exact"/>
        <w:ind w:firstLine="422" w:firstLineChars="200"/>
        <w:rPr>
          <w:rFonts w:ascii="宋体" w:hAnsi="宋体" w:cs="宋体"/>
          <w:b/>
          <w:bCs/>
          <w:color w:val="auto"/>
          <w:highlight w:val="none"/>
        </w:rPr>
      </w:pPr>
      <w:bookmarkStart w:id="259" w:name="_Toc247085722"/>
      <w:bookmarkStart w:id="260" w:name="_Toc246996208"/>
      <w:bookmarkStart w:id="261" w:name="_Toc246996951"/>
      <w:bookmarkStart w:id="262" w:name="_Toc152045564"/>
      <w:bookmarkStart w:id="263" w:name="_Toc152042340"/>
      <w:bookmarkStart w:id="264" w:name="_Toc179632582"/>
      <w:bookmarkStart w:id="265" w:name="_Toc144974532"/>
      <w:r>
        <w:rPr>
          <w:rFonts w:hint="eastAsia" w:ascii="宋体" w:hAnsi="宋体" w:cs="宋体"/>
          <w:b/>
          <w:bCs/>
          <w:color w:val="auto"/>
          <w:highlight w:val="none"/>
        </w:rPr>
        <w:t>6.2 评标原则</w:t>
      </w:r>
      <w:bookmarkEnd w:id="259"/>
      <w:bookmarkEnd w:id="260"/>
      <w:bookmarkEnd w:id="261"/>
      <w:bookmarkEnd w:id="262"/>
      <w:bookmarkEnd w:id="263"/>
      <w:bookmarkEnd w:id="264"/>
      <w:bookmarkEnd w:id="265"/>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评标活动遵循公平、公正、科学和择优的原则。</w:t>
      </w:r>
    </w:p>
    <w:p>
      <w:pPr>
        <w:spacing w:line="400" w:lineRule="exact"/>
        <w:ind w:firstLine="422" w:firstLineChars="200"/>
        <w:rPr>
          <w:rFonts w:ascii="宋体" w:hAnsi="宋体" w:cs="宋体"/>
          <w:b/>
          <w:bCs/>
          <w:color w:val="auto"/>
          <w:highlight w:val="none"/>
        </w:rPr>
      </w:pPr>
      <w:bookmarkStart w:id="266" w:name="_Toc179632583"/>
      <w:bookmarkStart w:id="267" w:name="_Toc247085723"/>
      <w:bookmarkStart w:id="268" w:name="_Toc152045565"/>
      <w:bookmarkStart w:id="269" w:name="_Toc246996209"/>
      <w:bookmarkStart w:id="270" w:name="_Toc246996952"/>
      <w:bookmarkStart w:id="271" w:name="_Toc144974533"/>
      <w:bookmarkStart w:id="272" w:name="_Toc152042341"/>
      <w:r>
        <w:rPr>
          <w:rFonts w:hint="eastAsia" w:ascii="宋体" w:hAnsi="宋体" w:cs="宋体"/>
          <w:b/>
          <w:bCs/>
          <w:color w:val="auto"/>
          <w:highlight w:val="none"/>
        </w:rPr>
        <w:t>6.3 评标</w:t>
      </w:r>
      <w:bookmarkEnd w:id="266"/>
      <w:bookmarkEnd w:id="267"/>
      <w:bookmarkEnd w:id="268"/>
      <w:bookmarkEnd w:id="269"/>
      <w:bookmarkEnd w:id="270"/>
      <w:bookmarkEnd w:id="271"/>
      <w:bookmarkEnd w:id="272"/>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评标委员会按照第三章“评标办法”规定的方法、评审因素、标准和程序对投标文件进行评审。第三章“评标办法”没有规定的方法、评审因素和标准，不作为评标依据。</w:t>
      </w:r>
    </w:p>
    <w:p>
      <w:pPr>
        <w:pStyle w:val="4"/>
        <w:spacing w:line="400" w:lineRule="exact"/>
        <w:rPr>
          <w:rFonts w:ascii="宋体" w:hAnsi="宋体" w:eastAsia="宋体" w:cs="宋体"/>
          <w:color w:val="auto"/>
          <w:highlight w:val="none"/>
        </w:rPr>
      </w:pPr>
      <w:bookmarkStart w:id="273" w:name="_Toc144974534"/>
      <w:bookmarkStart w:id="274" w:name="_Toc247085724"/>
      <w:bookmarkStart w:id="275" w:name="_Toc246996953"/>
      <w:bookmarkStart w:id="276" w:name="_Toc152045566"/>
      <w:bookmarkStart w:id="277" w:name="_Toc466470784"/>
      <w:bookmarkStart w:id="278" w:name="_Toc246996210"/>
      <w:bookmarkStart w:id="279" w:name="_Toc466470914"/>
      <w:bookmarkStart w:id="280" w:name="_Toc152042342"/>
      <w:bookmarkStart w:id="281" w:name="_Toc179632584"/>
      <w:r>
        <w:rPr>
          <w:rFonts w:hint="eastAsia" w:ascii="宋体" w:hAnsi="宋体" w:eastAsia="宋体" w:cs="宋体"/>
          <w:color w:val="auto"/>
          <w:highlight w:val="none"/>
        </w:rPr>
        <w:t>7. 合同授予</w:t>
      </w:r>
      <w:bookmarkEnd w:id="273"/>
      <w:bookmarkEnd w:id="274"/>
      <w:bookmarkEnd w:id="275"/>
      <w:bookmarkEnd w:id="276"/>
      <w:bookmarkEnd w:id="277"/>
      <w:bookmarkEnd w:id="278"/>
      <w:bookmarkEnd w:id="279"/>
      <w:bookmarkEnd w:id="280"/>
      <w:bookmarkEnd w:id="281"/>
    </w:p>
    <w:p>
      <w:pPr>
        <w:spacing w:line="400" w:lineRule="exact"/>
        <w:ind w:firstLine="422" w:firstLineChars="200"/>
        <w:rPr>
          <w:rFonts w:ascii="宋体" w:hAnsi="宋体" w:cs="宋体"/>
          <w:b/>
          <w:bCs/>
          <w:color w:val="auto"/>
          <w:highlight w:val="none"/>
        </w:rPr>
      </w:pPr>
      <w:bookmarkStart w:id="282" w:name="_Toc246996211"/>
      <w:bookmarkStart w:id="283" w:name="_Toc246996954"/>
      <w:bookmarkStart w:id="284" w:name="_Toc152045567"/>
      <w:bookmarkStart w:id="285" w:name="_Toc247085725"/>
      <w:bookmarkStart w:id="286" w:name="_Toc144974535"/>
      <w:bookmarkStart w:id="287" w:name="_Toc152042343"/>
      <w:bookmarkStart w:id="288" w:name="_Toc179632585"/>
      <w:r>
        <w:rPr>
          <w:rFonts w:hint="eastAsia" w:ascii="宋体" w:hAnsi="宋体" w:cs="宋体"/>
          <w:b/>
          <w:bCs/>
          <w:color w:val="auto"/>
          <w:highlight w:val="none"/>
        </w:rPr>
        <w:t>7.1 定标方式</w:t>
      </w:r>
      <w:bookmarkEnd w:id="282"/>
      <w:bookmarkEnd w:id="283"/>
      <w:bookmarkEnd w:id="284"/>
      <w:bookmarkEnd w:id="285"/>
      <w:bookmarkEnd w:id="286"/>
      <w:bookmarkEnd w:id="287"/>
      <w:bookmarkEnd w:id="288"/>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除投标人须知前附表规定评标委员会直接确定中标人外，招标人依据评标委员会推荐的中标候选人确定中标人，评标委员会推荐中标候选人的人数见投标人须知前附表。</w:t>
      </w:r>
    </w:p>
    <w:p>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7.2 中标候选人公示</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招标人在投标人须知前附表规定的媒介公示中标候选人。</w:t>
      </w:r>
    </w:p>
    <w:p>
      <w:pPr>
        <w:spacing w:line="400" w:lineRule="exact"/>
        <w:ind w:firstLine="422" w:firstLineChars="200"/>
        <w:rPr>
          <w:rFonts w:ascii="宋体" w:hAnsi="宋体" w:cs="宋体"/>
          <w:b/>
          <w:bCs/>
          <w:color w:val="auto"/>
          <w:highlight w:val="none"/>
        </w:rPr>
      </w:pPr>
      <w:bookmarkStart w:id="289" w:name="_Toc152042344"/>
      <w:bookmarkStart w:id="290" w:name="_Toc179632586"/>
      <w:bookmarkStart w:id="291" w:name="_Toc152045568"/>
      <w:bookmarkStart w:id="292" w:name="_Toc246996212"/>
      <w:bookmarkStart w:id="293" w:name="_Toc144974536"/>
      <w:bookmarkStart w:id="294" w:name="_Toc247085726"/>
      <w:bookmarkStart w:id="295" w:name="_Toc246996955"/>
      <w:r>
        <w:rPr>
          <w:rFonts w:hint="eastAsia" w:ascii="宋体" w:hAnsi="宋体" w:cs="宋体"/>
          <w:b/>
          <w:bCs/>
          <w:color w:val="auto"/>
          <w:highlight w:val="none"/>
        </w:rPr>
        <w:t>7.3 中标通知</w:t>
      </w:r>
      <w:bookmarkEnd w:id="289"/>
      <w:bookmarkEnd w:id="290"/>
      <w:bookmarkEnd w:id="291"/>
      <w:bookmarkEnd w:id="292"/>
      <w:bookmarkEnd w:id="293"/>
      <w:bookmarkEnd w:id="294"/>
      <w:bookmarkEnd w:id="295"/>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在本章第3.3款规定的投标有效期内，招标人以书面形式向中标人发出中标通知书，同时将中标结果通知未中标的投标人。</w:t>
      </w:r>
    </w:p>
    <w:p>
      <w:pPr>
        <w:spacing w:line="400" w:lineRule="exact"/>
        <w:ind w:firstLine="422" w:firstLineChars="200"/>
        <w:rPr>
          <w:rFonts w:ascii="宋体" w:hAnsi="宋体" w:cs="宋体"/>
          <w:b/>
          <w:bCs/>
          <w:color w:val="auto"/>
          <w:highlight w:val="none"/>
        </w:rPr>
      </w:pPr>
      <w:bookmarkStart w:id="296" w:name="_Toc246996956"/>
      <w:bookmarkStart w:id="297" w:name="_Toc152042345"/>
      <w:bookmarkStart w:id="298" w:name="_Toc246996213"/>
      <w:bookmarkStart w:id="299" w:name="_Toc247085727"/>
      <w:bookmarkStart w:id="300" w:name="_Toc179632587"/>
      <w:bookmarkStart w:id="301" w:name="_Toc152045569"/>
      <w:bookmarkStart w:id="302" w:name="_Toc144974537"/>
      <w:r>
        <w:rPr>
          <w:rFonts w:hint="eastAsia" w:ascii="宋体" w:hAnsi="宋体" w:cs="宋体"/>
          <w:b/>
          <w:bCs/>
          <w:color w:val="auto"/>
          <w:highlight w:val="none"/>
        </w:rPr>
        <w:t>7.4 履约担保</w:t>
      </w:r>
      <w:bookmarkEnd w:id="296"/>
      <w:bookmarkEnd w:id="297"/>
      <w:bookmarkEnd w:id="298"/>
      <w:bookmarkEnd w:id="299"/>
      <w:bookmarkEnd w:id="300"/>
      <w:bookmarkEnd w:id="301"/>
      <w:bookmarkEnd w:id="302"/>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7.4.1在签订合同前，中标人应按投标人须知前附表规定的担保形式和招标文件第四章“合同条款及格式”规定的或者事先经过招标人书面认可的履约担保格式向招标人提交履约担保。除投标人须知前附表另有规定外，履约担保金额为中标合同金额的5%。</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7.4.2 中标人不能按本章第7.4.1项要求提交履约担保的，视为放弃中标，其投标保证金不予退还，给招标人造成的损失超过投标保证金数额的，中标人还应当对超过部分予以赔偿。</w:t>
      </w:r>
    </w:p>
    <w:p>
      <w:pPr>
        <w:spacing w:line="400" w:lineRule="exact"/>
        <w:ind w:firstLine="422" w:firstLineChars="200"/>
        <w:rPr>
          <w:rFonts w:ascii="宋体" w:hAnsi="宋体" w:cs="宋体"/>
          <w:b/>
          <w:bCs/>
          <w:color w:val="auto"/>
          <w:highlight w:val="none"/>
        </w:rPr>
      </w:pPr>
      <w:bookmarkStart w:id="303" w:name="_Toc246996957"/>
      <w:bookmarkStart w:id="304" w:name="_Toc179632588"/>
      <w:bookmarkStart w:id="305" w:name="_Toc152045570"/>
      <w:bookmarkStart w:id="306" w:name="_Toc247085728"/>
      <w:bookmarkStart w:id="307" w:name="_Toc246996214"/>
      <w:bookmarkStart w:id="308" w:name="_Toc144974538"/>
      <w:bookmarkStart w:id="309" w:name="_Toc152042346"/>
      <w:r>
        <w:rPr>
          <w:rFonts w:hint="eastAsia" w:ascii="宋体" w:hAnsi="宋体" w:cs="宋体"/>
          <w:b/>
          <w:bCs/>
          <w:color w:val="auto"/>
          <w:highlight w:val="none"/>
        </w:rPr>
        <w:t>7.5 签订合同</w:t>
      </w:r>
      <w:bookmarkEnd w:id="303"/>
      <w:bookmarkEnd w:id="304"/>
      <w:bookmarkEnd w:id="305"/>
      <w:bookmarkEnd w:id="306"/>
      <w:bookmarkEnd w:id="307"/>
      <w:bookmarkEnd w:id="308"/>
      <w:bookmarkEnd w:id="309"/>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7.5.1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7.5.2 发出中标通知书后，招标人无正当理由拒签合同的，招标人向中标人退还投标保证金；给中标人造成损失的，还应当赔偿损失。</w:t>
      </w:r>
    </w:p>
    <w:p>
      <w:pPr>
        <w:pStyle w:val="4"/>
        <w:spacing w:line="400" w:lineRule="exact"/>
        <w:rPr>
          <w:rFonts w:ascii="宋体" w:hAnsi="宋体" w:eastAsia="宋体" w:cs="宋体"/>
          <w:color w:val="auto"/>
          <w:highlight w:val="none"/>
        </w:rPr>
      </w:pPr>
      <w:bookmarkStart w:id="310" w:name="_Toc466470915"/>
      <w:bookmarkStart w:id="311" w:name="_Toc466470785"/>
      <w:r>
        <w:rPr>
          <w:rFonts w:hint="eastAsia" w:ascii="宋体" w:hAnsi="宋体" w:eastAsia="宋体" w:cs="宋体"/>
          <w:color w:val="auto"/>
          <w:highlight w:val="none"/>
        </w:rPr>
        <w:t>8. 纪律和监督</w:t>
      </w:r>
      <w:bookmarkEnd w:id="310"/>
      <w:bookmarkEnd w:id="311"/>
    </w:p>
    <w:p>
      <w:pPr>
        <w:spacing w:line="400" w:lineRule="exact"/>
        <w:ind w:firstLine="422" w:firstLineChars="200"/>
        <w:rPr>
          <w:rFonts w:ascii="宋体" w:hAnsi="宋体" w:cs="宋体"/>
          <w:b/>
          <w:bCs/>
          <w:color w:val="auto"/>
          <w:highlight w:val="none"/>
        </w:rPr>
      </w:pPr>
      <w:bookmarkStart w:id="312" w:name="_Toc179632593"/>
      <w:bookmarkStart w:id="313" w:name="_Toc246996219"/>
      <w:bookmarkStart w:id="314" w:name="_Toc247085733"/>
      <w:bookmarkStart w:id="315" w:name="_Toc296590983"/>
      <w:bookmarkStart w:id="316" w:name="_Toc246996962"/>
      <w:bookmarkStart w:id="317" w:name="_Toc152045575"/>
      <w:bookmarkStart w:id="318" w:name="_Toc152042351"/>
      <w:bookmarkStart w:id="319" w:name="_Toc144974543"/>
      <w:r>
        <w:rPr>
          <w:rFonts w:hint="eastAsia" w:ascii="宋体" w:hAnsi="宋体" w:cs="宋体"/>
          <w:b/>
          <w:bCs/>
          <w:color w:val="auto"/>
          <w:highlight w:val="none"/>
        </w:rPr>
        <w:t>8.1 对招标人的纪律要求</w:t>
      </w:r>
      <w:bookmarkEnd w:id="312"/>
      <w:bookmarkEnd w:id="313"/>
      <w:bookmarkEnd w:id="314"/>
      <w:bookmarkEnd w:id="315"/>
      <w:bookmarkEnd w:id="316"/>
      <w:bookmarkEnd w:id="317"/>
      <w:bookmarkEnd w:id="318"/>
      <w:bookmarkEnd w:id="319"/>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招标人不得泄漏招标投标活动中应当保密的情况和资料，不得与投标人串通损害国家利益、社会公共利益或者他人合法权益。</w:t>
      </w:r>
    </w:p>
    <w:p>
      <w:pPr>
        <w:spacing w:line="400" w:lineRule="exact"/>
        <w:ind w:firstLine="422" w:firstLineChars="200"/>
        <w:rPr>
          <w:rFonts w:ascii="宋体" w:hAnsi="宋体" w:cs="宋体"/>
          <w:b/>
          <w:bCs/>
          <w:color w:val="auto"/>
          <w:highlight w:val="none"/>
        </w:rPr>
      </w:pPr>
      <w:bookmarkStart w:id="320" w:name="_Toc179632594"/>
      <w:bookmarkStart w:id="321" w:name="_Toc152045576"/>
      <w:bookmarkStart w:id="322" w:name="_Toc246996963"/>
      <w:bookmarkStart w:id="323" w:name="_Toc152042352"/>
      <w:bookmarkStart w:id="324" w:name="_Toc144974544"/>
      <w:bookmarkStart w:id="325" w:name="_Toc247085734"/>
      <w:bookmarkStart w:id="326" w:name="_Toc246996220"/>
      <w:r>
        <w:rPr>
          <w:rFonts w:hint="eastAsia" w:ascii="宋体" w:hAnsi="宋体" w:cs="宋体"/>
          <w:b/>
          <w:bCs/>
          <w:color w:val="auto"/>
          <w:highlight w:val="none"/>
        </w:rPr>
        <w:t>8.2 对投标人的纪律要求</w:t>
      </w:r>
      <w:bookmarkEnd w:id="320"/>
      <w:bookmarkEnd w:id="321"/>
      <w:bookmarkEnd w:id="322"/>
      <w:bookmarkEnd w:id="323"/>
      <w:bookmarkEnd w:id="324"/>
      <w:bookmarkEnd w:id="325"/>
      <w:bookmarkEnd w:id="326"/>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400" w:lineRule="exact"/>
        <w:ind w:firstLine="422" w:firstLineChars="200"/>
        <w:rPr>
          <w:rFonts w:ascii="宋体" w:hAnsi="宋体" w:cs="宋体"/>
          <w:b/>
          <w:bCs/>
          <w:color w:val="auto"/>
          <w:highlight w:val="none"/>
        </w:rPr>
      </w:pPr>
      <w:bookmarkStart w:id="327" w:name="_Toc247085735"/>
      <w:bookmarkStart w:id="328" w:name="_Toc246996221"/>
      <w:bookmarkStart w:id="329" w:name="_Toc152042353"/>
      <w:bookmarkStart w:id="330" w:name="_Toc179632595"/>
      <w:bookmarkStart w:id="331" w:name="_Toc152045577"/>
      <w:bookmarkStart w:id="332" w:name="_Toc246996964"/>
      <w:bookmarkStart w:id="333" w:name="_Toc144974545"/>
      <w:r>
        <w:rPr>
          <w:rFonts w:hint="eastAsia" w:ascii="宋体" w:hAnsi="宋体" w:cs="宋体"/>
          <w:b/>
          <w:bCs/>
          <w:color w:val="auto"/>
          <w:highlight w:val="none"/>
        </w:rPr>
        <w:t>8.3 对评标委员会成员的纪律要求</w:t>
      </w:r>
      <w:bookmarkEnd w:id="327"/>
      <w:bookmarkEnd w:id="328"/>
      <w:bookmarkEnd w:id="329"/>
      <w:bookmarkEnd w:id="330"/>
      <w:bookmarkEnd w:id="331"/>
      <w:bookmarkEnd w:id="332"/>
      <w:bookmarkEnd w:id="333"/>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spacing w:line="400" w:lineRule="exact"/>
        <w:ind w:firstLine="422" w:firstLineChars="200"/>
        <w:rPr>
          <w:rFonts w:ascii="宋体" w:hAnsi="宋体" w:cs="宋体"/>
          <w:b/>
          <w:bCs/>
          <w:color w:val="auto"/>
          <w:highlight w:val="none"/>
        </w:rPr>
      </w:pPr>
      <w:bookmarkStart w:id="334" w:name="_Toc152045578"/>
      <w:bookmarkStart w:id="335" w:name="_Toc179632596"/>
      <w:bookmarkStart w:id="336" w:name="_Toc246996222"/>
      <w:bookmarkStart w:id="337" w:name="_Toc246996965"/>
      <w:bookmarkStart w:id="338" w:name="_Toc247085736"/>
      <w:bookmarkStart w:id="339" w:name="_Toc152042354"/>
      <w:bookmarkStart w:id="340" w:name="_Toc144974546"/>
      <w:r>
        <w:rPr>
          <w:rFonts w:hint="eastAsia" w:ascii="宋体" w:hAnsi="宋体" w:cs="宋体"/>
          <w:b/>
          <w:bCs/>
          <w:color w:val="auto"/>
          <w:highlight w:val="none"/>
        </w:rPr>
        <w:t>8.4 对与评标活动有关的工作人员的纪律要求</w:t>
      </w:r>
      <w:bookmarkEnd w:id="334"/>
      <w:bookmarkEnd w:id="335"/>
      <w:bookmarkEnd w:id="336"/>
      <w:bookmarkEnd w:id="337"/>
      <w:bookmarkEnd w:id="338"/>
      <w:bookmarkEnd w:id="339"/>
    </w:p>
    <w:p>
      <w:pPr>
        <w:spacing w:line="400" w:lineRule="exact"/>
        <w:ind w:firstLine="420" w:firstLineChars="200"/>
        <w:rPr>
          <w:rFonts w:ascii="宋体" w:hAnsi="宋体" w:cs="宋体"/>
          <w:b/>
          <w:bCs/>
          <w:color w:val="auto"/>
          <w:highlight w:val="none"/>
        </w:rPr>
      </w:pPr>
      <w:bookmarkStart w:id="341" w:name="_Toc152042355"/>
      <w:r>
        <w:rPr>
          <w:rFonts w:hint="eastAsia" w:ascii="宋体" w:hAnsi="宋体" w:cs="宋体"/>
          <w:color w:val="auto"/>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40"/>
      <w:bookmarkEnd w:id="341"/>
    </w:p>
    <w:p>
      <w:pPr>
        <w:spacing w:line="400" w:lineRule="exact"/>
        <w:ind w:firstLine="422" w:firstLineChars="200"/>
        <w:rPr>
          <w:rFonts w:ascii="宋体" w:hAnsi="宋体" w:cs="宋体"/>
          <w:b/>
          <w:color w:val="auto"/>
          <w:highlight w:val="none"/>
        </w:rPr>
      </w:pPr>
      <w:bookmarkStart w:id="342" w:name="_Toc152045580"/>
      <w:bookmarkStart w:id="343" w:name="_Toc152042357"/>
      <w:bookmarkStart w:id="344" w:name="_Toc466470916"/>
      <w:bookmarkStart w:id="345" w:name="_Toc246996967"/>
      <w:bookmarkStart w:id="346" w:name="_Toc179632598"/>
      <w:bookmarkStart w:id="347" w:name="_Toc466470786"/>
      <w:bookmarkStart w:id="348" w:name="_Toc144974547"/>
      <w:bookmarkStart w:id="349" w:name="_Toc246996224"/>
      <w:bookmarkStart w:id="350" w:name="_Toc247085738"/>
      <w:r>
        <w:rPr>
          <w:rFonts w:hint="eastAsia" w:ascii="宋体" w:hAnsi="宋体" w:cs="宋体"/>
          <w:b/>
          <w:color w:val="auto"/>
          <w:highlight w:val="none"/>
        </w:rPr>
        <w:t>8.5 异议与投诉</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8.5.1投标人或者其他利害关系人对依法必须进行招标的项目的评标结果有异议的，应在公示期内以书面形式由法定代表人签字或印盖本人姓名章并加公章向招标人或招标代理机构提出异议；招标人应自收到异议之日起3日内进行书面答复，但答复内容不涉及商业秘密；作出答复前，应当暂停招标投标活动。异议书可同时抄送该招标项目的行政监督部门。</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8.5.2投标人或者其他利害关系人对异议答复不满，应按照相关规定向有关行政监督部门提出书面投诉。未先进行异议的，投诉不予受理。</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8.5.3 异议文件应包括以下主要内容，并按照“谁主张、谁举证”的原则，附上相关证明材料。否则，招标人或代理机构不予受理：</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（1）项目名称、项目编号、招标公告发布时间、开标时间；</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（2）具体的异议事项及法律依据（具体条款）；</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（3）异议相关证明文件或证明材料；</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（4）投标人名称、地址、联系方式（包括手机、传真号码）；</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（5）法定代表人签署本人姓名或印盖本人姓名章并加盖单位公章等。</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8.5.4 投标人不得恶意异议或投诉，并对异议内容的真实性承担责任。投标人或者其他利害关系人通过捏造事实、伪造证明材料等方式提出异议或投诉，或者以非法手段取得证明材料等进行恶意异议、投诉的，阻碍招投标活动正常进行的，属于严重不良行为，由招标人、行政监督部门驳回异议或投诉，投标保证金不予退还,并由行政监督部门对其记录不良行为，限制一定期限内在温县从事招投标活动，并在温县公共资源交易中心网站予以公示.</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8.5.5招标人或代理机构将在收到符合上述条件的书面异议后3日内审查异议事项，作出答复或相关处理决定，并以书面形式通知异议投标人和其他有关投标人，但答复的内容不涉及商业秘密。</w:t>
      </w:r>
    </w:p>
    <w:p>
      <w:pPr>
        <w:pStyle w:val="4"/>
        <w:spacing w:line="400" w:lineRule="exact"/>
        <w:rPr>
          <w:rFonts w:ascii="宋体" w:hAnsi="宋体" w:eastAsia="宋体" w:cs="宋体"/>
          <w:color w:val="auto"/>
          <w:highlight w:val="none"/>
        </w:rPr>
      </w:pPr>
      <w:r>
        <w:rPr>
          <w:rFonts w:hint="eastAsia" w:ascii="宋体" w:hAnsi="宋体" w:eastAsia="宋体" w:cs="宋体"/>
          <w:color w:val="auto"/>
          <w:highlight w:val="none"/>
        </w:rPr>
        <w:t>9. 需要补充的其他内容</w:t>
      </w:r>
      <w:bookmarkEnd w:id="342"/>
      <w:bookmarkEnd w:id="343"/>
      <w:bookmarkEnd w:id="344"/>
      <w:bookmarkEnd w:id="345"/>
      <w:bookmarkEnd w:id="346"/>
      <w:bookmarkEnd w:id="347"/>
      <w:bookmarkEnd w:id="348"/>
      <w:bookmarkEnd w:id="349"/>
      <w:bookmarkEnd w:id="350"/>
    </w:p>
    <w:p>
      <w:pPr>
        <w:spacing w:line="400" w:lineRule="exact"/>
        <w:ind w:firstLine="420" w:firstLineChars="200"/>
        <w:rPr>
          <w:rFonts w:ascii="宋体" w:hAnsi="宋体" w:cs="宋体"/>
          <w:color w:val="auto"/>
          <w:highlight w:val="none"/>
        </w:rPr>
        <w:sectPr>
          <w:pgSz w:w="11906" w:h="16838"/>
          <w:pgMar w:top="1440" w:right="1069" w:bottom="1402" w:left="1177" w:header="851" w:footer="992" w:gutter="0"/>
          <w:cols w:space="720" w:num="1"/>
          <w:docGrid w:type="lines" w:linePitch="312" w:charSpace="0"/>
        </w:sectPr>
      </w:pPr>
      <w:r>
        <w:rPr>
          <w:rFonts w:hint="eastAsia" w:ascii="宋体" w:hAnsi="宋体" w:cs="宋体"/>
          <w:color w:val="auto"/>
          <w:highlight w:val="none"/>
        </w:rPr>
        <w:t>需要补充的其他内容：见投标人须知前附表。</w:t>
      </w:r>
    </w:p>
    <w:p>
      <w:pPr>
        <w:spacing w:line="440" w:lineRule="exact"/>
        <w:rPr>
          <w:rFonts w:ascii="宋体" w:hAnsi="宋体" w:cs="宋体"/>
          <w:color w:val="auto"/>
          <w:szCs w:val="21"/>
          <w:highlight w:val="none"/>
        </w:rPr>
      </w:pPr>
    </w:p>
    <w:p>
      <w:pPr>
        <w:pStyle w:val="4"/>
        <w:rPr>
          <w:rFonts w:ascii="宋体" w:hAnsi="宋体" w:eastAsia="宋体" w:cs="宋体"/>
          <w:color w:val="auto"/>
          <w:highlight w:val="none"/>
        </w:rPr>
      </w:pPr>
      <w:bookmarkStart w:id="351" w:name="_Toc144974549"/>
      <w:bookmarkStart w:id="352" w:name="_Toc246996968"/>
      <w:bookmarkStart w:id="353" w:name="_Toc246996225"/>
      <w:bookmarkStart w:id="354" w:name="_Toc247085740"/>
      <w:bookmarkStart w:id="355" w:name="_Toc152045582"/>
      <w:bookmarkStart w:id="356" w:name="_Toc152042359"/>
      <w:bookmarkStart w:id="357" w:name="_Toc296602470"/>
      <w:bookmarkStart w:id="358" w:name="_Toc402424979"/>
      <w:bookmarkStart w:id="359" w:name="_Toc179632600"/>
      <w:r>
        <w:rPr>
          <w:rFonts w:hint="eastAsia" w:ascii="宋体" w:hAnsi="宋体" w:eastAsia="宋体" w:cs="宋体"/>
          <w:color w:val="auto"/>
          <w:highlight w:val="none"/>
        </w:rPr>
        <w:t>附件一：问题澄清通知</w:t>
      </w:r>
      <w:bookmarkEnd w:id="351"/>
      <w:bookmarkEnd w:id="352"/>
      <w:bookmarkEnd w:id="353"/>
      <w:bookmarkEnd w:id="354"/>
      <w:bookmarkEnd w:id="355"/>
      <w:bookmarkEnd w:id="356"/>
      <w:bookmarkEnd w:id="357"/>
      <w:bookmarkEnd w:id="358"/>
      <w:bookmarkEnd w:id="359"/>
    </w:p>
    <w:p>
      <w:pPr>
        <w:spacing w:line="440" w:lineRule="exact"/>
        <w:jc w:val="center"/>
        <w:rPr>
          <w:rFonts w:ascii="宋体" w:hAnsi="宋体" w:cs="宋体"/>
          <w:color w:val="auto"/>
          <w:szCs w:val="21"/>
          <w:highlight w:val="none"/>
        </w:rPr>
      </w:pPr>
    </w:p>
    <w:p>
      <w:pPr>
        <w:spacing w:line="44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问题澄清通知</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                                编号：</w:t>
      </w:r>
    </w:p>
    <w:p>
      <w:pPr>
        <w:spacing w:line="440" w:lineRule="exact"/>
        <w:rPr>
          <w:rFonts w:ascii="宋体" w:hAnsi="宋体" w:cs="宋体"/>
          <w:color w:val="auto"/>
          <w:szCs w:val="21"/>
          <w:highlight w:val="none"/>
        </w:rPr>
      </w:pPr>
    </w:p>
    <w:p>
      <w:pPr>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（投标人名称）：</w:t>
      </w:r>
    </w:p>
    <w:p>
      <w:pPr>
        <w:spacing w:line="440" w:lineRule="exact"/>
        <w:rPr>
          <w:rFonts w:ascii="宋体" w:hAnsi="宋体" w:cs="宋体"/>
          <w:color w:val="auto"/>
          <w:szCs w:val="21"/>
          <w:highlight w:val="none"/>
        </w:rPr>
      </w:pPr>
    </w:p>
    <w:p>
      <w:pPr>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（项目名称）招标的评标委员会，对你方的投标文件进行了仔细的审查，现需你方对下列问题以书面形式予以澄清：</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　　</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    1.</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    2.</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     ......   </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　　　</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　　请将上述问题的澄清于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时前递交至</w:t>
      </w:r>
    </w:p>
    <w:p>
      <w:pPr>
        <w:spacing w:line="440" w:lineRule="exact"/>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（详细地址）或传真至</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（传真号码）。采用传真方式的，应在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时前将原件递交至</w:t>
      </w:r>
    </w:p>
    <w:p>
      <w:pPr>
        <w:spacing w:line="440" w:lineRule="exact"/>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（详细地址）。</w:t>
      </w:r>
    </w:p>
    <w:p>
      <w:pPr>
        <w:spacing w:line="440" w:lineRule="exact"/>
        <w:rPr>
          <w:rFonts w:ascii="宋体" w:hAnsi="宋体" w:cs="宋体"/>
          <w:color w:val="auto"/>
          <w:szCs w:val="21"/>
          <w:highlight w:val="none"/>
        </w:rPr>
      </w:pPr>
    </w:p>
    <w:p>
      <w:pPr>
        <w:spacing w:line="440" w:lineRule="exact"/>
        <w:rPr>
          <w:rFonts w:ascii="宋体" w:hAnsi="宋体" w:cs="宋体"/>
          <w:color w:val="auto"/>
          <w:szCs w:val="21"/>
          <w:highlight w:val="none"/>
        </w:rPr>
      </w:pPr>
    </w:p>
    <w:p>
      <w:pPr>
        <w:spacing w:line="440" w:lineRule="exact"/>
        <w:jc w:val="right"/>
        <w:rPr>
          <w:rFonts w:ascii="宋体" w:hAnsi="宋体" w:cs="宋体"/>
          <w:color w:val="auto"/>
          <w:szCs w:val="21"/>
          <w:highlight w:val="none"/>
        </w:rPr>
      </w:pPr>
      <w:r>
        <w:rPr>
          <w:rFonts w:hint="eastAsia" w:ascii="宋体" w:hAnsi="宋体" w:cs="宋体"/>
          <w:color w:val="auto"/>
          <w:szCs w:val="21"/>
          <w:highlight w:val="none"/>
        </w:rPr>
        <w:t xml:space="preserve">                              招标人或招标代理机构：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（签字或盖章）</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                                          </w:t>
      </w:r>
    </w:p>
    <w:p>
      <w:pPr>
        <w:spacing w:line="440" w:lineRule="exact"/>
        <w:ind w:firstLine="3045" w:firstLineChars="1450"/>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年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月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r>
        <w:rPr>
          <w:rFonts w:hint="eastAsia" w:ascii="宋体" w:hAnsi="宋体" w:cs="宋体"/>
          <w:color w:val="auto"/>
          <w:highlight w:val="none"/>
        </w:rPr>
        <w:br w:type="page"/>
      </w:r>
    </w:p>
    <w:p>
      <w:pPr>
        <w:pStyle w:val="4"/>
        <w:rPr>
          <w:rFonts w:ascii="宋体" w:hAnsi="宋体" w:eastAsia="宋体" w:cs="宋体"/>
          <w:color w:val="auto"/>
          <w:highlight w:val="none"/>
        </w:rPr>
      </w:pPr>
      <w:bookmarkStart w:id="360" w:name="_Toc296602471"/>
      <w:bookmarkStart w:id="361" w:name="_Toc402424980"/>
      <w:bookmarkStart w:id="362" w:name="_Toc247085741"/>
      <w:bookmarkStart w:id="363" w:name="_Toc144974550"/>
      <w:bookmarkStart w:id="364" w:name="_Toc152045583"/>
      <w:bookmarkStart w:id="365" w:name="_Toc246996969"/>
      <w:bookmarkStart w:id="366" w:name="_Toc179632601"/>
      <w:bookmarkStart w:id="367" w:name="_Toc152042360"/>
      <w:bookmarkStart w:id="368" w:name="_Toc246996226"/>
      <w:r>
        <w:rPr>
          <w:rFonts w:hint="eastAsia" w:ascii="宋体" w:hAnsi="宋体" w:eastAsia="宋体" w:cs="宋体"/>
          <w:color w:val="auto"/>
          <w:highlight w:val="none"/>
        </w:rPr>
        <w:t>附件二：问题的澄清</w:t>
      </w:r>
      <w:bookmarkEnd w:id="360"/>
      <w:bookmarkEnd w:id="361"/>
      <w:bookmarkEnd w:id="362"/>
      <w:bookmarkEnd w:id="363"/>
      <w:bookmarkEnd w:id="364"/>
      <w:bookmarkEnd w:id="365"/>
      <w:bookmarkEnd w:id="366"/>
      <w:bookmarkEnd w:id="367"/>
      <w:bookmarkEnd w:id="368"/>
    </w:p>
    <w:p>
      <w:pPr>
        <w:spacing w:line="400" w:lineRule="exact"/>
        <w:jc w:val="center"/>
        <w:rPr>
          <w:rFonts w:ascii="宋体" w:hAnsi="宋体" w:cs="宋体"/>
          <w:color w:val="auto"/>
          <w:sz w:val="28"/>
          <w:szCs w:val="28"/>
          <w:highlight w:val="none"/>
        </w:rPr>
      </w:pPr>
    </w:p>
    <w:p>
      <w:pPr>
        <w:spacing w:line="40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问题的澄清</w:t>
      </w:r>
    </w:p>
    <w:p>
      <w:pPr>
        <w:spacing w:line="400" w:lineRule="exact"/>
        <w:ind w:firstLine="3465" w:firstLineChars="1650"/>
        <w:rPr>
          <w:rFonts w:ascii="宋体" w:hAnsi="宋体" w:cs="宋体"/>
          <w:color w:val="auto"/>
          <w:highlight w:val="none"/>
        </w:rPr>
      </w:pPr>
      <w:r>
        <w:rPr>
          <w:rFonts w:hint="eastAsia" w:ascii="宋体" w:hAnsi="宋体" w:cs="宋体"/>
          <w:color w:val="auto"/>
          <w:highlight w:val="none"/>
        </w:rPr>
        <w:t xml:space="preserve">编号： </w:t>
      </w:r>
    </w:p>
    <w:p>
      <w:pPr>
        <w:spacing w:line="400" w:lineRule="exact"/>
        <w:rPr>
          <w:rFonts w:ascii="宋体" w:hAnsi="宋体" w:cs="宋体"/>
          <w:color w:val="auto"/>
          <w:szCs w:val="21"/>
          <w:highlight w:val="none"/>
        </w:rPr>
      </w:pPr>
    </w:p>
    <w:p>
      <w:pPr>
        <w:spacing w:line="440" w:lineRule="exact"/>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项目名称）招标评标委员会：</w:t>
      </w:r>
    </w:p>
    <w:p>
      <w:pPr>
        <w:spacing w:line="440" w:lineRule="exact"/>
        <w:rPr>
          <w:rFonts w:ascii="宋体" w:hAnsi="宋体" w:cs="宋体"/>
          <w:color w:val="auto"/>
          <w:szCs w:val="21"/>
          <w:highlight w:val="none"/>
        </w:rPr>
      </w:pPr>
    </w:p>
    <w:p>
      <w:pPr>
        <w:spacing w:line="440" w:lineRule="exact"/>
        <w:rPr>
          <w:rFonts w:ascii="宋体" w:hAnsi="宋体" w:cs="宋体"/>
          <w:color w:val="auto"/>
          <w:szCs w:val="21"/>
          <w:highlight w:val="none"/>
        </w:rPr>
      </w:pPr>
      <w:r>
        <w:rPr>
          <w:rFonts w:hint="eastAsia" w:ascii="宋体" w:hAnsi="宋体" w:cs="宋体"/>
          <w:color w:val="auto"/>
          <w:szCs w:val="21"/>
          <w:highlight w:val="none"/>
        </w:rPr>
        <w:t>　　问题澄清通知（编号：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）已收悉，现澄清如下：</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　     1.</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　     2.</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　   </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　    .....</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                       </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　 </w:t>
      </w:r>
    </w:p>
    <w:p>
      <w:pPr>
        <w:spacing w:line="440" w:lineRule="exact"/>
        <w:rPr>
          <w:rFonts w:ascii="宋体" w:hAnsi="宋体" w:cs="宋体"/>
          <w:color w:val="auto"/>
          <w:szCs w:val="21"/>
          <w:highlight w:val="none"/>
        </w:rPr>
      </w:pPr>
    </w:p>
    <w:p>
      <w:pPr>
        <w:spacing w:line="440" w:lineRule="exact"/>
        <w:rPr>
          <w:rFonts w:ascii="宋体" w:hAnsi="宋体" w:cs="宋体"/>
          <w:color w:val="auto"/>
          <w:szCs w:val="21"/>
          <w:highlight w:val="none"/>
        </w:rPr>
      </w:pPr>
    </w:p>
    <w:p>
      <w:pPr>
        <w:spacing w:line="440" w:lineRule="exact"/>
        <w:rPr>
          <w:rFonts w:ascii="宋体" w:hAnsi="宋体" w:cs="宋体"/>
          <w:color w:val="auto"/>
          <w:szCs w:val="21"/>
          <w:highlight w:val="none"/>
        </w:rPr>
      </w:pPr>
    </w:p>
    <w:p>
      <w:pPr>
        <w:spacing w:line="440" w:lineRule="exact"/>
        <w:rPr>
          <w:rFonts w:ascii="宋体" w:hAnsi="宋体" w:cs="宋体"/>
          <w:color w:val="auto"/>
          <w:szCs w:val="21"/>
          <w:highlight w:val="none"/>
        </w:rPr>
      </w:pPr>
    </w:p>
    <w:p>
      <w:pPr>
        <w:spacing w:line="440" w:lineRule="exact"/>
        <w:rPr>
          <w:rFonts w:ascii="宋体" w:hAnsi="宋体" w:cs="宋体"/>
          <w:color w:val="auto"/>
          <w:szCs w:val="21"/>
          <w:highlight w:val="none"/>
        </w:rPr>
      </w:pPr>
      <w:r>
        <w:rPr>
          <w:rFonts w:hint="eastAsia" w:ascii="宋体" w:hAnsi="宋体" w:cs="宋体"/>
          <w:color w:val="auto"/>
          <w:szCs w:val="21"/>
          <w:highlight w:val="none"/>
        </w:rPr>
        <w:t>　　　　　　　　　　　　　　　投标人：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　　　　　　　　　　　　　　　</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　　　　　　　　　　　　　　　法定代表人或其委托代理人：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　　　　　　　　　　　　　　　</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pStyle w:val="18"/>
        <w:rPr>
          <w:rFonts w:ascii="宋体" w:hAnsi="宋体" w:cs="宋体"/>
          <w:color w:val="auto"/>
          <w:highlight w:val="none"/>
        </w:rPr>
      </w:pPr>
    </w:p>
    <w:p>
      <w:pPr>
        <w:pStyle w:val="19"/>
        <w:rPr>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pStyle w:val="4"/>
        <w:rPr>
          <w:rFonts w:ascii="宋体" w:hAnsi="宋体" w:eastAsia="宋体" w:cs="宋体"/>
          <w:color w:val="auto"/>
          <w:highlight w:val="none"/>
        </w:rPr>
      </w:pPr>
      <w:bookmarkStart w:id="369" w:name="_Toc402424981"/>
      <w:bookmarkStart w:id="370" w:name="_Toc296602472"/>
      <w:bookmarkStart w:id="371" w:name="_Toc247085742"/>
      <w:bookmarkStart w:id="372" w:name="_Toc144974551"/>
      <w:bookmarkStart w:id="373" w:name="_Toc246996970"/>
      <w:bookmarkStart w:id="374" w:name="_Toc152042361"/>
      <w:bookmarkStart w:id="375" w:name="_Toc179632602"/>
      <w:bookmarkStart w:id="376" w:name="_Toc246996227"/>
      <w:bookmarkStart w:id="377" w:name="_Toc152045584"/>
      <w:r>
        <w:rPr>
          <w:rFonts w:hint="eastAsia" w:ascii="宋体" w:hAnsi="宋体" w:eastAsia="宋体" w:cs="宋体"/>
          <w:color w:val="auto"/>
          <w:highlight w:val="none"/>
        </w:rPr>
        <w:t>附件三：中标通知书</w:t>
      </w:r>
      <w:bookmarkEnd w:id="369"/>
      <w:bookmarkEnd w:id="370"/>
      <w:bookmarkEnd w:id="371"/>
      <w:bookmarkEnd w:id="372"/>
      <w:bookmarkEnd w:id="373"/>
      <w:bookmarkEnd w:id="374"/>
      <w:bookmarkEnd w:id="375"/>
      <w:bookmarkEnd w:id="376"/>
      <w:bookmarkEnd w:id="377"/>
    </w:p>
    <w:p>
      <w:pPr>
        <w:spacing w:line="400" w:lineRule="exact"/>
        <w:rPr>
          <w:rFonts w:ascii="宋体" w:hAnsi="宋体" w:cs="宋体"/>
          <w:color w:val="auto"/>
          <w:szCs w:val="21"/>
          <w:highlight w:val="none"/>
        </w:rPr>
      </w:pPr>
    </w:p>
    <w:p>
      <w:pPr>
        <w:pStyle w:val="22"/>
        <w:spacing w:line="40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中标通知书(参考格式)</w:t>
      </w:r>
    </w:p>
    <w:p>
      <w:pPr>
        <w:pStyle w:val="22"/>
        <w:spacing w:line="400" w:lineRule="atLeast"/>
        <w:rPr>
          <w:rFonts w:ascii="宋体" w:hAnsi="宋体" w:cs="宋体"/>
          <w:color w:val="auto"/>
          <w:sz w:val="21"/>
          <w:szCs w:val="21"/>
          <w:highlight w:val="none"/>
        </w:rPr>
      </w:pPr>
      <w:r>
        <w:rPr>
          <w:rFonts w:hint="eastAsia" w:ascii="宋体" w:hAnsi="宋体" w:cs="宋体"/>
          <w:color w:val="auto"/>
          <w:sz w:val="21"/>
          <w:szCs w:val="21"/>
          <w:highlight w:val="none"/>
        </w:rPr>
        <w:t xml:space="preserve">                              </w:t>
      </w:r>
    </w:p>
    <w:p>
      <w:pPr>
        <w:pStyle w:val="22"/>
        <w:spacing w:line="360" w:lineRule="auto"/>
        <w:rPr>
          <w:rFonts w:ascii="宋体" w:hAnsi="宋体" w:cs="宋体"/>
          <w:color w:val="auto"/>
          <w:sz w:val="21"/>
          <w:szCs w:val="21"/>
          <w:highlight w:val="none"/>
        </w:rPr>
      </w:pP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（中标人名称）：</w:t>
      </w:r>
    </w:p>
    <w:p>
      <w:pPr>
        <w:pStyle w:val="22"/>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 </w:t>
      </w:r>
    </w:p>
    <w:p>
      <w:pPr>
        <w:pStyle w:val="22"/>
        <w:spacing w:line="360" w:lineRule="auto"/>
        <w:ind w:firstLine="315" w:firstLineChars="150"/>
        <w:rPr>
          <w:rFonts w:ascii="宋体" w:hAnsi="宋体" w:cs="宋体"/>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（项目名称）</w:t>
      </w:r>
      <w:r>
        <w:rPr>
          <w:rFonts w:hint="eastAsia" w:ascii="宋体" w:hAnsi="宋体" w:cs="宋体"/>
          <w:color w:val="auto"/>
          <w:sz w:val="21"/>
          <w:szCs w:val="21"/>
          <w:highlight w:val="none"/>
          <w:u w:val="single"/>
        </w:rPr>
        <w:t>（项目编号）</w:t>
      </w:r>
      <w:r>
        <w:rPr>
          <w:rFonts w:hint="eastAsia" w:ascii="宋体" w:hAnsi="宋体" w:cs="宋体"/>
          <w:color w:val="auto"/>
          <w:sz w:val="21"/>
          <w:szCs w:val="21"/>
          <w:highlight w:val="none"/>
        </w:rPr>
        <w:t>于</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（开标时间）在温县公共资源交易中心公开招标，按规定程序进行了开标、评标、定标，现确定贵公司为中标单位。</w:t>
      </w:r>
    </w:p>
    <w:p>
      <w:pPr>
        <w:pStyle w:val="22"/>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    中标价：</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元。</w:t>
      </w:r>
    </w:p>
    <w:p>
      <w:pPr>
        <w:pStyle w:val="22"/>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    工期：</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天。</w:t>
      </w:r>
    </w:p>
    <w:p>
      <w:pPr>
        <w:pStyle w:val="22"/>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    工程质量：符合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标准。</w:t>
      </w:r>
    </w:p>
    <w:p>
      <w:pPr>
        <w:pStyle w:val="22"/>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    项目经理：</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（姓名）。</w:t>
      </w:r>
    </w:p>
    <w:p>
      <w:pPr>
        <w:pStyle w:val="22"/>
        <w:spacing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请你方在接到本通知书后的</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日内到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（指定地点）与招标人签订承包合同。在此之前按招标文件第二章“投标人须知”第7.4款规定向我方提交履约保证金（如有履约保证金）。</w:t>
      </w:r>
    </w:p>
    <w:p>
      <w:pPr>
        <w:pStyle w:val="22"/>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    特此通知。</w:t>
      </w:r>
    </w:p>
    <w:p>
      <w:pPr>
        <w:pStyle w:val="22"/>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 </w:t>
      </w:r>
    </w:p>
    <w:p>
      <w:pPr>
        <w:pStyle w:val="22"/>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招标人：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（盖单位章）   招标代理机构：</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（盖单位章）</w:t>
      </w:r>
    </w:p>
    <w:p>
      <w:pPr>
        <w:pStyle w:val="22"/>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 </w:t>
      </w:r>
    </w:p>
    <w:p>
      <w:pPr>
        <w:pStyle w:val="22"/>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法定代表人或委托人：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（签字）  法定代表人或委托人：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（签字）</w:t>
      </w:r>
    </w:p>
    <w:p>
      <w:pPr>
        <w:pStyle w:val="22"/>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 </w:t>
      </w:r>
    </w:p>
    <w:p>
      <w:pPr>
        <w:pStyle w:val="22"/>
        <w:spacing w:line="360" w:lineRule="auto"/>
        <w:ind w:firstLine="3238"/>
        <w:rPr>
          <w:rFonts w:ascii="宋体" w:hAnsi="宋体" w:cs="宋体"/>
          <w:color w:val="auto"/>
          <w:sz w:val="21"/>
          <w:szCs w:val="21"/>
          <w:highlight w:val="none"/>
        </w:rPr>
      </w:pPr>
      <w:r>
        <w:rPr>
          <w:rFonts w:hint="eastAsia" w:ascii="宋体" w:hAnsi="宋体" w:cs="宋体"/>
          <w:color w:val="auto"/>
          <w:sz w:val="21"/>
          <w:szCs w:val="21"/>
          <w:highlight w:val="none"/>
        </w:rPr>
        <w:t xml:space="preserve">      </w:t>
      </w:r>
    </w:p>
    <w:p>
      <w:pPr>
        <w:pStyle w:val="22"/>
        <w:spacing w:line="360" w:lineRule="auto"/>
        <w:ind w:firstLine="3238"/>
        <w:rPr>
          <w:rFonts w:ascii="宋体" w:hAnsi="宋体" w:cs="宋体"/>
          <w:color w:val="auto"/>
          <w:sz w:val="21"/>
          <w:szCs w:val="21"/>
          <w:highlight w:val="none"/>
        </w:rPr>
      </w:pPr>
      <w:r>
        <w:rPr>
          <w:rFonts w:hint="eastAsia" w:ascii="宋体" w:hAnsi="宋体" w:cs="宋体"/>
          <w:color w:val="auto"/>
          <w:sz w:val="21"/>
          <w:szCs w:val="21"/>
          <w:highlight w:val="none"/>
        </w:rPr>
        <w:t xml:space="preserve"> </w:t>
      </w:r>
    </w:p>
    <w:p>
      <w:pPr>
        <w:pStyle w:val="22"/>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交易见证：</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（盖单位章）    监管部门：</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（盖单位章）</w:t>
      </w:r>
    </w:p>
    <w:p>
      <w:pPr>
        <w:pStyle w:val="22"/>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 </w:t>
      </w:r>
    </w:p>
    <w:p>
      <w:pPr>
        <w:pStyle w:val="22"/>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                               </w:t>
      </w:r>
    </w:p>
    <w:p>
      <w:pPr>
        <w:pStyle w:val="22"/>
        <w:spacing w:line="360" w:lineRule="auto"/>
        <w:ind w:firstLine="3238"/>
        <w:jc w:val="right"/>
        <w:rPr>
          <w:rFonts w:ascii="宋体" w:hAnsi="宋体" w:cs="宋体"/>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w:t>
      </w:r>
    </w:p>
    <w:p>
      <w:pPr>
        <w:spacing w:line="400" w:lineRule="exact"/>
        <w:rPr>
          <w:rFonts w:ascii="宋体" w:hAnsi="宋体" w:cs="宋体"/>
          <w:color w:val="auto"/>
          <w:highlight w:val="none"/>
        </w:rPr>
      </w:pPr>
      <w:r>
        <w:rPr>
          <w:rFonts w:hint="eastAsia" w:ascii="宋体" w:hAnsi="宋体" w:cs="宋体"/>
          <w:color w:val="auto"/>
          <w:highlight w:val="none"/>
        </w:rPr>
        <w:br w:type="page"/>
      </w:r>
    </w:p>
    <w:p>
      <w:pPr>
        <w:pStyle w:val="4"/>
        <w:rPr>
          <w:rFonts w:ascii="宋体" w:hAnsi="宋体" w:eastAsia="宋体" w:cs="宋体"/>
          <w:color w:val="auto"/>
          <w:highlight w:val="none"/>
        </w:rPr>
      </w:pPr>
      <w:bookmarkStart w:id="378" w:name="_Toc152042363"/>
      <w:bookmarkStart w:id="379" w:name="_Toc179632604"/>
      <w:bookmarkStart w:id="380" w:name="_Toc144974553"/>
      <w:bookmarkStart w:id="381" w:name="_Toc152045586"/>
      <w:bookmarkStart w:id="382" w:name="_Toc247085744"/>
      <w:bookmarkStart w:id="383" w:name="_Toc296602474"/>
      <w:bookmarkStart w:id="384" w:name="_Toc246996229"/>
      <w:bookmarkStart w:id="385" w:name="_Toc402424982"/>
      <w:bookmarkStart w:id="386" w:name="_Toc246996972"/>
      <w:r>
        <w:rPr>
          <w:rFonts w:hint="eastAsia" w:ascii="宋体" w:hAnsi="宋体" w:eastAsia="宋体" w:cs="宋体"/>
          <w:color w:val="auto"/>
          <w:highlight w:val="none"/>
        </w:rPr>
        <w:t>附件四：确认通知</w:t>
      </w:r>
      <w:bookmarkEnd w:id="378"/>
      <w:bookmarkEnd w:id="379"/>
      <w:bookmarkEnd w:id="380"/>
      <w:bookmarkEnd w:id="381"/>
      <w:bookmarkEnd w:id="382"/>
      <w:bookmarkEnd w:id="383"/>
      <w:bookmarkEnd w:id="384"/>
      <w:bookmarkEnd w:id="385"/>
      <w:bookmarkEnd w:id="386"/>
    </w:p>
    <w:p>
      <w:pPr>
        <w:spacing w:line="400" w:lineRule="exact"/>
        <w:rPr>
          <w:rFonts w:ascii="宋体" w:hAnsi="宋体" w:cs="宋体"/>
          <w:color w:val="auto"/>
          <w:highlight w:val="none"/>
        </w:rPr>
      </w:pPr>
    </w:p>
    <w:p>
      <w:pPr>
        <w:spacing w:line="40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确认通知</w:t>
      </w:r>
    </w:p>
    <w:p>
      <w:pPr>
        <w:spacing w:line="400" w:lineRule="exact"/>
        <w:rPr>
          <w:rFonts w:ascii="宋体" w:hAnsi="宋体" w:cs="宋体"/>
          <w:color w:val="auto"/>
          <w:highlight w:val="none"/>
        </w:rPr>
      </w:pPr>
    </w:p>
    <w:p>
      <w:pPr>
        <w:spacing w:line="440" w:lineRule="exact"/>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（招标人名称）：</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　　</w:t>
      </w:r>
    </w:p>
    <w:p>
      <w:pPr>
        <w:spacing w:line="44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你方于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年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日发出的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（项目名称）关于</w:t>
      </w:r>
      <w:r>
        <w:rPr>
          <w:rFonts w:hint="eastAsia" w:ascii="宋体" w:hAnsi="宋体" w:cs="宋体"/>
          <w:color w:val="auto"/>
          <w:szCs w:val="21"/>
          <w:highlight w:val="none"/>
          <w:u w:val="single"/>
        </w:rPr>
        <w:t xml:space="preserve">       </w:t>
      </w:r>
    </w:p>
    <w:p>
      <w:pPr>
        <w:spacing w:line="440" w:lineRule="exact"/>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的通知，我方已于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日收到。</w:t>
      </w:r>
    </w:p>
    <w:p>
      <w:pPr>
        <w:spacing w:line="440" w:lineRule="exact"/>
        <w:rPr>
          <w:rFonts w:ascii="宋体" w:hAnsi="宋体" w:cs="宋体"/>
          <w:color w:val="auto"/>
          <w:szCs w:val="21"/>
          <w:highlight w:val="none"/>
        </w:rPr>
      </w:pPr>
    </w:p>
    <w:p>
      <w:pPr>
        <w:spacing w:line="440" w:lineRule="exact"/>
        <w:rPr>
          <w:rFonts w:ascii="宋体" w:hAnsi="宋体" w:cs="宋体"/>
          <w:color w:val="auto"/>
          <w:szCs w:val="21"/>
          <w:highlight w:val="none"/>
        </w:rPr>
      </w:pPr>
      <w:r>
        <w:rPr>
          <w:rFonts w:hint="eastAsia" w:ascii="宋体" w:hAnsi="宋体" w:cs="宋体"/>
          <w:color w:val="auto"/>
          <w:szCs w:val="21"/>
          <w:highlight w:val="none"/>
        </w:rPr>
        <w:t>　　特此确认。</w:t>
      </w:r>
    </w:p>
    <w:p>
      <w:pPr>
        <w:spacing w:line="440" w:lineRule="exact"/>
        <w:rPr>
          <w:rFonts w:ascii="宋体" w:hAnsi="宋体" w:cs="宋体"/>
          <w:color w:val="auto"/>
          <w:szCs w:val="21"/>
          <w:highlight w:val="none"/>
        </w:rPr>
      </w:pPr>
    </w:p>
    <w:p>
      <w:pPr>
        <w:spacing w:line="440" w:lineRule="exact"/>
        <w:rPr>
          <w:rFonts w:ascii="宋体" w:hAnsi="宋体" w:cs="宋体"/>
          <w:color w:val="auto"/>
          <w:szCs w:val="21"/>
          <w:highlight w:val="none"/>
        </w:rPr>
      </w:pPr>
    </w:p>
    <w:p>
      <w:pPr>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                              投标人：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（盖单位章）</w:t>
      </w:r>
    </w:p>
    <w:p>
      <w:pPr>
        <w:spacing w:line="440" w:lineRule="exact"/>
        <w:rPr>
          <w:rFonts w:ascii="宋体" w:hAnsi="宋体" w:cs="宋体"/>
          <w:color w:val="auto"/>
          <w:szCs w:val="21"/>
          <w:highlight w:val="none"/>
        </w:rPr>
      </w:pPr>
    </w:p>
    <w:p>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spacing w:line="400" w:lineRule="exact"/>
        <w:rPr>
          <w:rFonts w:ascii="宋体" w:hAnsi="宋体" w:cs="宋体"/>
          <w:color w:val="auto"/>
          <w:szCs w:val="21"/>
          <w:highlight w:val="none"/>
        </w:rPr>
      </w:pPr>
    </w:p>
    <w:p>
      <w:pPr>
        <w:spacing w:line="400" w:lineRule="exact"/>
        <w:rPr>
          <w:rFonts w:ascii="宋体" w:hAnsi="宋体" w:cs="宋体"/>
          <w:color w:val="auto"/>
          <w:szCs w:val="21"/>
          <w:highlight w:val="none"/>
        </w:rPr>
      </w:pPr>
    </w:p>
    <w:p>
      <w:pPr>
        <w:spacing w:line="400" w:lineRule="exact"/>
        <w:rPr>
          <w:rFonts w:ascii="宋体" w:hAnsi="宋体" w:cs="宋体"/>
          <w:color w:val="auto"/>
          <w:szCs w:val="21"/>
          <w:highlight w:val="none"/>
        </w:rPr>
      </w:pPr>
    </w:p>
    <w:p>
      <w:pPr>
        <w:spacing w:line="400" w:lineRule="exact"/>
        <w:rPr>
          <w:rFonts w:ascii="宋体" w:hAnsi="宋体" w:cs="宋体"/>
          <w:color w:val="auto"/>
          <w:szCs w:val="21"/>
          <w:highlight w:val="none"/>
        </w:rPr>
      </w:pPr>
    </w:p>
    <w:p>
      <w:pPr>
        <w:spacing w:line="400" w:lineRule="exact"/>
        <w:rPr>
          <w:rFonts w:ascii="宋体" w:hAnsi="宋体" w:cs="宋体"/>
          <w:color w:val="auto"/>
          <w:szCs w:val="21"/>
          <w:highlight w:val="none"/>
        </w:rPr>
      </w:pPr>
    </w:p>
    <w:p>
      <w:pPr>
        <w:spacing w:line="400" w:lineRule="exact"/>
        <w:rPr>
          <w:rFonts w:ascii="宋体" w:hAnsi="宋体" w:cs="宋体"/>
          <w:color w:val="auto"/>
          <w:szCs w:val="21"/>
          <w:highlight w:val="none"/>
        </w:rPr>
      </w:pPr>
    </w:p>
    <w:p>
      <w:pPr>
        <w:spacing w:line="400" w:lineRule="exact"/>
        <w:rPr>
          <w:rFonts w:ascii="宋体" w:hAnsi="宋体" w:cs="宋体"/>
          <w:color w:val="auto"/>
          <w:szCs w:val="21"/>
          <w:highlight w:val="none"/>
        </w:rPr>
      </w:pPr>
    </w:p>
    <w:p>
      <w:pPr>
        <w:spacing w:line="400" w:lineRule="exact"/>
        <w:rPr>
          <w:rFonts w:ascii="宋体" w:hAnsi="宋体" w:cs="宋体"/>
          <w:color w:val="auto"/>
          <w:szCs w:val="21"/>
          <w:highlight w:val="none"/>
        </w:rPr>
      </w:pPr>
    </w:p>
    <w:p>
      <w:pPr>
        <w:spacing w:line="400" w:lineRule="exact"/>
        <w:rPr>
          <w:rFonts w:ascii="宋体" w:hAnsi="宋体" w:cs="宋体"/>
          <w:color w:val="auto"/>
          <w:szCs w:val="21"/>
          <w:highlight w:val="none"/>
        </w:rPr>
      </w:pPr>
    </w:p>
    <w:p>
      <w:pPr>
        <w:spacing w:line="400" w:lineRule="exact"/>
        <w:rPr>
          <w:rFonts w:ascii="宋体" w:hAnsi="宋体" w:cs="宋体"/>
          <w:color w:val="auto"/>
          <w:szCs w:val="21"/>
          <w:highlight w:val="none"/>
        </w:rPr>
      </w:pPr>
    </w:p>
    <w:p>
      <w:pPr>
        <w:spacing w:line="400" w:lineRule="exact"/>
        <w:rPr>
          <w:rFonts w:ascii="宋体" w:hAnsi="宋体" w:cs="宋体"/>
          <w:color w:val="auto"/>
          <w:szCs w:val="21"/>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pStyle w:val="18"/>
        <w:rPr>
          <w:rFonts w:ascii="宋体" w:hAnsi="宋体" w:cs="宋体"/>
          <w:color w:val="auto"/>
          <w:highlight w:val="none"/>
        </w:rPr>
      </w:pPr>
    </w:p>
    <w:p>
      <w:pPr>
        <w:pStyle w:val="19"/>
        <w:rPr>
          <w:color w:val="auto"/>
          <w:highlight w:val="none"/>
        </w:rPr>
      </w:pPr>
    </w:p>
    <w:p>
      <w:pPr>
        <w:spacing w:line="400" w:lineRule="exact"/>
        <w:rPr>
          <w:rFonts w:ascii="宋体" w:hAnsi="宋体" w:cs="宋体"/>
          <w:color w:val="auto"/>
          <w:highlight w:val="none"/>
        </w:rPr>
      </w:pPr>
    </w:p>
    <w:p>
      <w:pPr>
        <w:jc w:val="center"/>
        <w:rPr>
          <w:b/>
          <w:bCs/>
          <w:color w:val="auto"/>
          <w:sz w:val="44"/>
          <w:szCs w:val="44"/>
          <w:highlight w:val="none"/>
        </w:rPr>
      </w:pPr>
      <w:bookmarkStart w:id="387" w:name="_Toc144974554"/>
      <w:bookmarkStart w:id="388" w:name="_Toc152045587"/>
      <w:bookmarkStart w:id="389" w:name="_Toc152042364"/>
      <w:bookmarkStart w:id="390" w:name="_Toc246996230"/>
      <w:bookmarkStart w:id="391" w:name="_Toc246996973"/>
      <w:bookmarkStart w:id="392" w:name="_Toc466470922"/>
      <w:bookmarkStart w:id="393" w:name="_Toc466470792"/>
      <w:bookmarkStart w:id="394" w:name="_Toc247085745"/>
      <w:bookmarkStart w:id="395" w:name="_Toc179632605"/>
      <w:r>
        <w:rPr>
          <w:rFonts w:hint="eastAsia"/>
          <w:b/>
          <w:bCs/>
          <w:color w:val="auto"/>
          <w:sz w:val="44"/>
          <w:szCs w:val="44"/>
          <w:highlight w:val="none"/>
        </w:rPr>
        <w:t>第三章 评标办法</w:t>
      </w:r>
      <w:bookmarkEnd w:id="387"/>
      <w:bookmarkEnd w:id="388"/>
      <w:bookmarkEnd w:id="389"/>
      <w:bookmarkEnd w:id="390"/>
      <w:bookmarkEnd w:id="391"/>
      <w:bookmarkEnd w:id="392"/>
      <w:bookmarkEnd w:id="393"/>
      <w:bookmarkEnd w:id="394"/>
      <w:bookmarkEnd w:id="395"/>
    </w:p>
    <w:p>
      <w:pPr>
        <w:jc w:val="center"/>
        <w:rPr>
          <w:b/>
          <w:bCs/>
          <w:color w:val="auto"/>
          <w:sz w:val="30"/>
          <w:szCs w:val="30"/>
          <w:highlight w:val="none"/>
        </w:rPr>
      </w:pPr>
      <w:bookmarkStart w:id="396" w:name="_Toc247085746"/>
      <w:bookmarkStart w:id="397" w:name="_Toc152045588"/>
      <w:bookmarkStart w:id="398" w:name="_Toc246996974"/>
      <w:bookmarkStart w:id="399" w:name="_Toc144974555"/>
      <w:bookmarkStart w:id="400" w:name="_Toc152042365"/>
      <w:bookmarkStart w:id="401" w:name="_Toc466470793"/>
      <w:bookmarkStart w:id="402" w:name="_Toc179632606"/>
      <w:bookmarkStart w:id="403" w:name="_Toc246996231"/>
      <w:bookmarkStart w:id="404" w:name="_Toc466470923"/>
      <w:r>
        <w:rPr>
          <w:rFonts w:hint="eastAsia"/>
          <w:b/>
          <w:bCs/>
          <w:color w:val="auto"/>
          <w:sz w:val="30"/>
          <w:szCs w:val="30"/>
          <w:highlight w:val="none"/>
        </w:rPr>
        <w:t>评标办法前附表</w:t>
      </w:r>
      <w:bookmarkEnd w:id="396"/>
      <w:bookmarkEnd w:id="397"/>
      <w:bookmarkEnd w:id="398"/>
      <w:bookmarkEnd w:id="399"/>
      <w:bookmarkEnd w:id="400"/>
      <w:bookmarkEnd w:id="401"/>
      <w:bookmarkEnd w:id="402"/>
      <w:bookmarkEnd w:id="403"/>
      <w:bookmarkEnd w:id="404"/>
    </w:p>
    <w:tbl>
      <w:tblPr>
        <w:tblStyle w:val="15"/>
        <w:tblpPr w:leftFromText="180" w:rightFromText="180" w:vertAnchor="text" w:horzAnchor="page" w:tblpX="1335" w:tblpY="448"/>
        <w:tblOverlap w:val="never"/>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10"/>
        <w:gridCol w:w="1080"/>
        <w:gridCol w:w="2970"/>
        <w:gridCol w:w="85"/>
        <w:gridCol w:w="4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0" w:type="dxa"/>
            <w:gridSpan w:val="3"/>
            <w:vAlign w:val="center"/>
          </w:tcPr>
          <w:p>
            <w:pPr>
              <w:rPr>
                <w:rFonts w:hint="eastAsia"/>
                <w:color w:val="auto"/>
                <w:highlight w:val="none"/>
              </w:rPr>
            </w:pPr>
            <w:bookmarkStart w:id="405" w:name="_Toc2873"/>
            <w:bookmarkStart w:id="406" w:name="_Toc402424983"/>
            <w:r>
              <w:rPr>
                <w:rFonts w:hint="eastAsia"/>
                <w:color w:val="auto"/>
                <w:highlight w:val="none"/>
              </w:rPr>
              <w:t>款号</w:t>
            </w:r>
          </w:p>
        </w:tc>
        <w:tc>
          <w:tcPr>
            <w:tcW w:w="3055" w:type="dxa"/>
            <w:gridSpan w:val="2"/>
            <w:vAlign w:val="center"/>
          </w:tcPr>
          <w:p>
            <w:pPr>
              <w:rPr>
                <w:rFonts w:hint="eastAsia"/>
                <w:color w:val="auto"/>
                <w:highlight w:val="none"/>
              </w:rPr>
            </w:pPr>
            <w:r>
              <w:rPr>
                <w:rFonts w:hint="eastAsia"/>
                <w:color w:val="auto"/>
                <w:highlight w:val="none"/>
              </w:rPr>
              <w:t>评审因素</w:t>
            </w:r>
          </w:p>
        </w:tc>
        <w:tc>
          <w:tcPr>
            <w:tcW w:w="4609" w:type="dxa"/>
            <w:vAlign w:val="center"/>
          </w:tcPr>
          <w:p>
            <w:pPr>
              <w:rPr>
                <w:rFonts w:hint="eastAsia"/>
                <w:color w:val="auto"/>
                <w:highlight w:val="none"/>
              </w:rPr>
            </w:pPr>
            <w:r>
              <w:rPr>
                <w:rFonts w:hint="eastAsia"/>
                <w:color w:val="auto"/>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20" w:type="dxa"/>
            <w:gridSpan w:val="2"/>
            <w:vMerge w:val="restart"/>
            <w:vAlign w:val="center"/>
          </w:tcPr>
          <w:p>
            <w:pPr>
              <w:rPr>
                <w:rFonts w:hint="eastAsia"/>
                <w:color w:val="auto"/>
                <w:highlight w:val="none"/>
              </w:rPr>
            </w:pPr>
            <w:r>
              <w:rPr>
                <w:rFonts w:hint="eastAsia"/>
                <w:color w:val="auto"/>
                <w:highlight w:val="none"/>
              </w:rPr>
              <w:t>2.1.1</w:t>
            </w:r>
          </w:p>
        </w:tc>
        <w:tc>
          <w:tcPr>
            <w:tcW w:w="1080" w:type="dxa"/>
            <w:vMerge w:val="restart"/>
            <w:vAlign w:val="center"/>
          </w:tcPr>
          <w:p>
            <w:pPr>
              <w:rPr>
                <w:rFonts w:hint="eastAsia"/>
                <w:color w:val="auto"/>
                <w:highlight w:val="none"/>
              </w:rPr>
            </w:pPr>
            <w:r>
              <w:rPr>
                <w:rFonts w:hint="eastAsia"/>
                <w:color w:val="auto"/>
                <w:highlight w:val="none"/>
              </w:rPr>
              <w:t>形式评审标准</w:t>
            </w:r>
          </w:p>
        </w:tc>
        <w:tc>
          <w:tcPr>
            <w:tcW w:w="3055" w:type="dxa"/>
            <w:gridSpan w:val="2"/>
            <w:vAlign w:val="top"/>
          </w:tcPr>
          <w:p>
            <w:pPr>
              <w:rPr>
                <w:rFonts w:hint="eastAsia"/>
                <w:color w:val="auto"/>
                <w:highlight w:val="none"/>
              </w:rPr>
            </w:pPr>
            <w:r>
              <w:rPr>
                <w:rFonts w:hint="eastAsia"/>
                <w:color w:val="auto"/>
                <w:highlight w:val="none"/>
              </w:rPr>
              <w:t>投标人名称</w:t>
            </w:r>
          </w:p>
        </w:tc>
        <w:tc>
          <w:tcPr>
            <w:tcW w:w="4609" w:type="dxa"/>
            <w:vAlign w:val="top"/>
          </w:tcPr>
          <w:p>
            <w:pPr>
              <w:rPr>
                <w:rFonts w:hint="eastAsia"/>
                <w:color w:val="auto"/>
                <w:highlight w:val="none"/>
              </w:rPr>
            </w:pPr>
            <w:r>
              <w:rPr>
                <w:rFonts w:hint="eastAsia"/>
                <w:color w:val="auto"/>
                <w:highlight w:val="none"/>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20" w:type="dxa"/>
            <w:gridSpan w:val="2"/>
            <w:vMerge w:val="continue"/>
            <w:vAlign w:val="top"/>
          </w:tcPr>
          <w:p>
            <w:pPr>
              <w:rPr>
                <w:rFonts w:hint="eastAsia"/>
                <w:color w:val="auto"/>
                <w:highlight w:val="none"/>
              </w:rPr>
            </w:pPr>
          </w:p>
        </w:tc>
        <w:tc>
          <w:tcPr>
            <w:tcW w:w="1080" w:type="dxa"/>
            <w:vMerge w:val="continue"/>
            <w:vAlign w:val="top"/>
          </w:tcPr>
          <w:p>
            <w:pPr>
              <w:rPr>
                <w:rFonts w:hint="eastAsia"/>
                <w:color w:val="auto"/>
                <w:highlight w:val="none"/>
              </w:rPr>
            </w:pPr>
          </w:p>
        </w:tc>
        <w:tc>
          <w:tcPr>
            <w:tcW w:w="3055" w:type="dxa"/>
            <w:gridSpan w:val="2"/>
            <w:vAlign w:val="top"/>
          </w:tcPr>
          <w:p>
            <w:pPr>
              <w:rPr>
                <w:rFonts w:hint="eastAsia"/>
                <w:color w:val="auto"/>
                <w:highlight w:val="none"/>
              </w:rPr>
            </w:pPr>
            <w:r>
              <w:rPr>
                <w:rFonts w:hint="eastAsia"/>
                <w:color w:val="auto"/>
                <w:highlight w:val="none"/>
              </w:rPr>
              <w:t>投标函签字盖章</w:t>
            </w:r>
          </w:p>
        </w:tc>
        <w:tc>
          <w:tcPr>
            <w:tcW w:w="4609" w:type="dxa"/>
            <w:vAlign w:val="top"/>
          </w:tcPr>
          <w:p>
            <w:pPr>
              <w:rPr>
                <w:rFonts w:hint="eastAsia"/>
                <w:color w:val="auto"/>
                <w:highlight w:val="none"/>
              </w:rPr>
            </w:pPr>
            <w:r>
              <w:rPr>
                <w:rFonts w:hint="eastAsia"/>
                <w:color w:val="auto"/>
                <w:highlight w:val="none"/>
              </w:rPr>
              <w:t>有法定代表人或其委托代理人签字或加盖单位章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720" w:type="dxa"/>
            <w:gridSpan w:val="2"/>
            <w:vMerge w:val="continue"/>
            <w:vAlign w:val="top"/>
          </w:tcPr>
          <w:p>
            <w:pPr>
              <w:rPr>
                <w:rFonts w:hint="eastAsia"/>
                <w:color w:val="auto"/>
                <w:highlight w:val="none"/>
              </w:rPr>
            </w:pPr>
          </w:p>
        </w:tc>
        <w:tc>
          <w:tcPr>
            <w:tcW w:w="1080" w:type="dxa"/>
            <w:vMerge w:val="continue"/>
            <w:vAlign w:val="top"/>
          </w:tcPr>
          <w:p>
            <w:pPr>
              <w:rPr>
                <w:rFonts w:hint="eastAsia"/>
                <w:color w:val="auto"/>
                <w:highlight w:val="none"/>
              </w:rPr>
            </w:pPr>
          </w:p>
        </w:tc>
        <w:tc>
          <w:tcPr>
            <w:tcW w:w="3055" w:type="dxa"/>
            <w:gridSpan w:val="2"/>
            <w:vAlign w:val="top"/>
          </w:tcPr>
          <w:p>
            <w:pPr>
              <w:rPr>
                <w:rFonts w:hint="eastAsia"/>
                <w:color w:val="auto"/>
                <w:highlight w:val="none"/>
              </w:rPr>
            </w:pPr>
            <w:r>
              <w:rPr>
                <w:rFonts w:hint="eastAsia"/>
                <w:color w:val="auto"/>
                <w:highlight w:val="none"/>
              </w:rPr>
              <w:t>投标文件格式</w:t>
            </w:r>
          </w:p>
        </w:tc>
        <w:tc>
          <w:tcPr>
            <w:tcW w:w="4609" w:type="dxa"/>
            <w:vAlign w:val="top"/>
          </w:tcPr>
          <w:p>
            <w:pPr>
              <w:rPr>
                <w:rFonts w:hint="eastAsia"/>
                <w:color w:val="auto"/>
                <w:highlight w:val="none"/>
              </w:rPr>
            </w:pPr>
            <w:r>
              <w:rPr>
                <w:rFonts w:hint="eastAsia"/>
                <w:color w:val="auto"/>
                <w:highlight w:val="none"/>
              </w:rPr>
              <w:t>符合第</w:t>
            </w:r>
            <w:r>
              <w:rPr>
                <w:rFonts w:hint="eastAsia"/>
                <w:color w:val="auto"/>
                <w:highlight w:val="none"/>
                <w:lang w:eastAsia="zh-CN"/>
              </w:rPr>
              <w:t>七</w:t>
            </w:r>
            <w:r>
              <w:rPr>
                <w:rFonts w:hint="eastAsia"/>
                <w:color w:val="auto"/>
                <w:highlight w:val="none"/>
              </w:rPr>
              <w:t>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720" w:type="dxa"/>
            <w:gridSpan w:val="2"/>
            <w:vMerge w:val="continue"/>
            <w:vAlign w:val="top"/>
          </w:tcPr>
          <w:p>
            <w:pPr>
              <w:rPr>
                <w:rFonts w:hint="eastAsia"/>
                <w:color w:val="auto"/>
                <w:highlight w:val="none"/>
              </w:rPr>
            </w:pPr>
          </w:p>
        </w:tc>
        <w:tc>
          <w:tcPr>
            <w:tcW w:w="1080" w:type="dxa"/>
            <w:vMerge w:val="continue"/>
            <w:vAlign w:val="top"/>
          </w:tcPr>
          <w:p>
            <w:pPr>
              <w:rPr>
                <w:rFonts w:hint="eastAsia"/>
                <w:color w:val="auto"/>
                <w:highlight w:val="none"/>
              </w:rPr>
            </w:pPr>
          </w:p>
        </w:tc>
        <w:tc>
          <w:tcPr>
            <w:tcW w:w="3055" w:type="dxa"/>
            <w:gridSpan w:val="2"/>
            <w:vAlign w:val="top"/>
          </w:tcPr>
          <w:p>
            <w:pPr>
              <w:rPr>
                <w:rFonts w:hint="eastAsia"/>
                <w:color w:val="auto"/>
                <w:highlight w:val="none"/>
              </w:rPr>
            </w:pPr>
            <w:r>
              <w:rPr>
                <w:rFonts w:hint="eastAsia"/>
                <w:color w:val="auto"/>
                <w:highlight w:val="none"/>
              </w:rPr>
              <w:t>报价唯一</w:t>
            </w:r>
          </w:p>
        </w:tc>
        <w:tc>
          <w:tcPr>
            <w:tcW w:w="4609" w:type="dxa"/>
            <w:vAlign w:val="top"/>
          </w:tcPr>
          <w:p>
            <w:pPr>
              <w:rPr>
                <w:rFonts w:hint="eastAsia"/>
                <w:color w:val="auto"/>
                <w:highlight w:val="none"/>
              </w:rPr>
            </w:pPr>
            <w:r>
              <w:rPr>
                <w:rFonts w:hint="eastAsia"/>
                <w:color w:val="auto"/>
                <w:highlight w:val="none"/>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720" w:type="dxa"/>
            <w:gridSpan w:val="2"/>
            <w:vMerge w:val="restart"/>
            <w:vAlign w:val="center"/>
          </w:tcPr>
          <w:p>
            <w:pPr>
              <w:rPr>
                <w:rFonts w:hint="eastAsia"/>
                <w:color w:val="auto"/>
                <w:highlight w:val="none"/>
              </w:rPr>
            </w:pPr>
            <w:r>
              <w:rPr>
                <w:rFonts w:hint="eastAsia"/>
                <w:color w:val="auto"/>
                <w:highlight w:val="none"/>
              </w:rPr>
              <w:t>2.1.2</w:t>
            </w:r>
          </w:p>
        </w:tc>
        <w:tc>
          <w:tcPr>
            <w:tcW w:w="1080" w:type="dxa"/>
            <w:vMerge w:val="restart"/>
            <w:vAlign w:val="center"/>
          </w:tcPr>
          <w:p>
            <w:pPr>
              <w:rPr>
                <w:rFonts w:hint="eastAsia"/>
                <w:color w:val="auto"/>
                <w:highlight w:val="none"/>
              </w:rPr>
            </w:pPr>
            <w:r>
              <w:rPr>
                <w:rFonts w:hint="eastAsia"/>
                <w:color w:val="auto"/>
                <w:highlight w:val="none"/>
              </w:rPr>
              <w:t>资格评审标准</w:t>
            </w:r>
          </w:p>
          <w:p>
            <w:pPr>
              <w:rPr>
                <w:rFonts w:hint="eastAsia"/>
                <w:color w:val="auto"/>
                <w:highlight w:val="none"/>
              </w:rPr>
            </w:pPr>
          </w:p>
        </w:tc>
        <w:tc>
          <w:tcPr>
            <w:tcW w:w="3055" w:type="dxa"/>
            <w:gridSpan w:val="2"/>
            <w:vAlign w:val="top"/>
          </w:tcPr>
          <w:p>
            <w:pPr>
              <w:rPr>
                <w:rFonts w:hint="eastAsia"/>
                <w:color w:val="auto"/>
                <w:highlight w:val="none"/>
              </w:rPr>
            </w:pPr>
            <w:r>
              <w:rPr>
                <w:rFonts w:hint="eastAsia"/>
                <w:color w:val="auto"/>
                <w:highlight w:val="none"/>
              </w:rPr>
              <w:t>营业执照</w:t>
            </w:r>
          </w:p>
        </w:tc>
        <w:tc>
          <w:tcPr>
            <w:tcW w:w="4609" w:type="dxa"/>
            <w:vAlign w:val="top"/>
          </w:tcPr>
          <w:p>
            <w:pPr>
              <w:rPr>
                <w:rFonts w:hint="eastAsia"/>
                <w:color w:val="auto"/>
                <w:highlight w:val="none"/>
              </w:rPr>
            </w:pPr>
            <w:r>
              <w:rPr>
                <w:rFonts w:hint="eastAsia"/>
                <w:color w:val="auto"/>
                <w:highlight w:val="none"/>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20" w:type="dxa"/>
            <w:gridSpan w:val="2"/>
            <w:vMerge w:val="continue"/>
            <w:vAlign w:val="center"/>
          </w:tcPr>
          <w:p>
            <w:pPr>
              <w:rPr>
                <w:rFonts w:hint="eastAsia"/>
                <w:color w:val="auto"/>
                <w:highlight w:val="none"/>
              </w:rPr>
            </w:pPr>
          </w:p>
        </w:tc>
        <w:tc>
          <w:tcPr>
            <w:tcW w:w="1080" w:type="dxa"/>
            <w:vMerge w:val="continue"/>
            <w:vAlign w:val="center"/>
          </w:tcPr>
          <w:p>
            <w:pPr>
              <w:rPr>
                <w:rFonts w:hint="eastAsia"/>
                <w:color w:val="auto"/>
                <w:highlight w:val="none"/>
              </w:rPr>
            </w:pPr>
          </w:p>
        </w:tc>
        <w:tc>
          <w:tcPr>
            <w:tcW w:w="3055" w:type="dxa"/>
            <w:gridSpan w:val="2"/>
            <w:vAlign w:val="top"/>
          </w:tcPr>
          <w:p>
            <w:pPr>
              <w:rPr>
                <w:rFonts w:hint="eastAsia"/>
                <w:color w:val="auto"/>
                <w:highlight w:val="none"/>
              </w:rPr>
            </w:pPr>
            <w:r>
              <w:rPr>
                <w:rFonts w:hint="eastAsia"/>
                <w:color w:val="auto"/>
                <w:highlight w:val="none"/>
              </w:rPr>
              <w:t>安全生产许可证</w:t>
            </w:r>
          </w:p>
        </w:tc>
        <w:tc>
          <w:tcPr>
            <w:tcW w:w="4609" w:type="dxa"/>
            <w:vAlign w:val="top"/>
          </w:tcPr>
          <w:p>
            <w:pPr>
              <w:rPr>
                <w:rFonts w:hint="eastAsia"/>
                <w:color w:val="auto"/>
                <w:highlight w:val="none"/>
              </w:rPr>
            </w:pPr>
            <w:r>
              <w:rPr>
                <w:rFonts w:hint="eastAsia"/>
                <w:color w:val="auto"/>
                <w:highlight w:val="none"/>
              </w:rPr>
              <w:t>具备有效的安全生产许可证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20" w:type="dxa"/>
            <w:gridSpan w:val="2"/>
            <w:vMerge w:val="continue"/>
            <w:vAlign w:val="center"/>
          </w:tcPr>
          <w:p>
            <w:pPr>
              <w:rPr>
                <w:rFonts w:hint="eastAsia"/>
                <w:color w:val="auto"/>
                <w:highlight w:val="none"/>
              </w:rPr>
            </w:pPr>
          </w:p>
        </w:tc>
        <w:tc>
          <w:tcPr>
            <w:tcW w:w="1080" w:type="dxa"/>
            <w:vMerge w:val="continue"/>
            <w:vAlign w:val="center"/>
          </w:tcPr>
          <w:p>
            <w:pPr>
              <w:rPr>
                <w:rFonts w:hint="eastAsia"/>
                <w:color w:val="auto"/>
                <w:highlight w:val="none"/>
              </w:rPr>
            </w:pPr>
          </w:p>
        </w:tc>
        <w:tc>
          <w:tcPr>
            <w:tcW w:w="3055" w:type="dxa"/>
            <w:gridSpan w:val="2"/>
            <w:vAlign w:val="center"/>
          </w:tcPr>
          <w:p>
            <w:pPr>
              <w:rPr>
                <w:rFonts w:hint="eastAsia"/>
                <w:color w:val="auto"/>
                <w:highlight w:val="none"/>
              </w:rPr>
            </w:pPr>
            <w:r>
              <w:rPr>
                <w:rFonts w:hint="eastAsia"/>
                <w:color w:val="auto"/>
                <w:highlight w:val="none"/>
              </w:rPr>
              <w:t>资质等级</w:t>
            </w:r>
          </w:p>
        </w:tc>
        <w:tc>
          <w:tcPr>
            <w:tcW w:w="4609" w:type="dxa"/>
            <w:vAlign w:val="top"/>
          </w:tcPr>
          <w:p>
            <w:pPr>
              <w:rPr>
                <w:rFonts w:hint="eastAsia"/>
                <w:color w:val="auto"/>
                <w:highlight w:val="none"/>
              </w:rPr>
            </w:pPr>
            <w:r>
              <w:rPr>
                <w:rFonts w:hint="eastAsia"/>
                <w:color w:val="auto"/>
                <w:highlight w:val="none"/>
              </w:rPr>
              <w:t>符合第二章“投标人须知”第1.4.1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20" w:type="dxa"/>
            <w:gridSpan w:val="2"/>
            <w:vMerge w:val="continue"/>
            <w:vAlign w:val="center"/>
          </w:tcPr>
          <w:p>
            <w:pPr>
              <w:rPr>
                <w:rFonts w:hint="eastAsia"/>
                <w:color w:val="auto"/>
                <w:highlight w:val="none"/>
              </w:rPr>
            </w:pPr>
          </w:p>
        </w:tc>
        <w:tc>
          <w:tcPr>
            <w:tcW w:w="1080" w:type="dxa"/>
            <w:vMerge w:val="continue"/>
            <w:vAlign w:val="center"/>
          </w:tcPr>
          <w:p>
            <w:pPr>
              <w:rPr>
                <w:rFonts w:hint="eastAsia"/>
                <w:color w:val="auto"/>
                <w:highlight w:val="none"/>
              </w:rPr>
            </w:pPr>
          </w:p>
        </w:tc>
        <w:tc>
          <w:tcPr>
            <w:tcW w:w="3055" w:type="dxa"/>
            <w:gridSpan w:val="2"/>
            <w:vAlign w:val="center"/>
          </w:tcPr>
          <w:p>
            <w:pPr>
              <w:rPr>
                <w:rFonts w:hint="eastAsia"/>
                <w:color w:val="auto"/>
                <w:highlight w:val="none"/>
              </w:rPr>
            </w:pPr>
            <w:r>
              <w:rPr>
                <w:rFonts w:hint="eastAsia"/>
                <w:color w:val="auto"/>
                <w:highlight w:val="none"/>
              </w:rPr>
              <w:t>财务状况</w:t>
            </w:r>
          </w:p>
        </w:tc>
        <w:tc>
          <w:tcPr>
            <w:tcW w:w="4609" w:type="dxa"/>
            <w:vAlign w:val="top"/>
          </w:tcPr>
          <w:p>
            <w:pPr>
              <w:rPr>
                <w:rFonts w:hint="eastAsia"/>
                <w:color w:val="auto"/>
                <w:highlight w:val="none"/>
              </w:rPr>
            </w:pPr>
            <w:r>
              <w:rPr>
                <w:rFonts w:hint="eastAsia"/>
                <w:color w:val="auto"/>
                <w:highlight w:val="none"/>
              </w:rPr>
              <w:t>符合第二章“投标人须知”第1.4.1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720" w:type="dxa"/>
            <w:gridSpan w:val="2"/>
            <w:vMerge w:val="continue"/>
            <w:vAlign w:val="center"/>
          </w:tcPr>
          <w:p>
            <w:pPr>
              <w:rPr>
                <w:rFonts w:hint="eastAsia"/>
                <w:color w:val="auto"/>
                <w:highlight w:val="none"/>
              </w:rPr>
            </w:pPr>
          </w:p>
        </w:tc>
        <w:tc>
          <w:tcPr>
            <w:tcW w:w="1080" w:type="dxa"/>
            <w:vMerge w:val="continue"/>
            <w:vAlign w:val="center"/>
          </w:tcPr>
          <w:p>
            <w:pPr>
              <w:rPr>
                <w:rFonts w:hint="eastAsia"/>
                <w:color w:val="auto"/>
                <w:highlight w:val="none"/>
              </w:rPr>
            </w:pPr>
          </w:p>
        </w:tc>
        <w:tc>
          <w:tcPr>
            <w:tcW w:w="3055" w:type="dxa"/>
            <w:gridSpan w:val="2"/>
            <w:vAlign w:val="center"/>
          </w:tcPr>
          <w:p>
            <w:pPr>
              <w:rPr>
                <w:rFonts w:hint="eastAsia"/>
                <w:color w:val="auto"/>
                <w:highlight w:val="none"/>
              </w:rPr>
            </w:pPr>
            <w:r>
              <w:rPr>
                <w:rFonts w:hint="eastAsia"/>
                <w:color w:val="auto"/>
                <w:highlight w:val="none"/>
              </w:rPr>
              <w:t>类似项目业绩</w:t>
            </w:r>
          </w:p>
        </w:tc>
        <w:tc>
          <w:tcPr>
            <w:tcW w:w="4609" w:type="dxa"/>
            <w:vAlign w:val="top"/>
          </w:tcPr>
          <w:p>
            <w:pPr>
              <w:rPr>
                <w:rFonts w:hint="eastAsia"/>
                <w:color w:val="auto"/>
                <w:highlight w:val="none"/>
              </w:rPr>
            </w:pPr>
            <w:r>
              <w:rPr>
                <w:rFonts w:hint="eastAsia"/>
                <w:color w:val="auto"/>
                <w:highlight w:val="none"/>
              </w:rPr>
              <w:t>符合第二章“投标人须知”第1.4.1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720" w:type="dxa"/>
            <w:gridSpan w:val="2"/>
            <w:vMerge w:val="continue"/>
            <w:vAlign w:val="center"/>
          </w:tcPr>
          <w:p>
            <w:pPr>
              <w:rPr>
                <w:rFonts w:hint="eastAsia"/>
                <w:color w:val="auto"/>
                <w:highlight w:val="none"/>
              </w:rPr>
            </w:pPr>
          </w:p>
        </w:tc>
        <w:tc>
          <w:tcPr>
            <w:tcW w:w="1080" w:type="dxa"/>
            <w:vMerge w:val="continue"/>
            <w:vAlign w:val="center"/>
          </w:tcPr>
          <w:p>
            <w:pPr>
              <w:rPr>
                <w:rFonts w:hint="eastAsia"/>
                <w:color w:val="auto"/>
                <w:highlight w:val="none"/>
              </w:rPr>
            </w:pPr>
          </w:p>
        </w:tc>
        <w:tc>
          <w:tcPr>
            <w:tcW w:w="3055" w:type="dxa"/>
            <w:gridSpan w:val="2"/>
            <w:vAlign w:val="center"/>
          </w:tcPr>
          <w:p>
            <w:pPr>
              <w:rPr>
                <w:rFonts w:hint="eastAsia"/>
                <w:color w:val="auto"/>
                <w:highlight w:val="none"/>
              </w:rPr>
            </w:pPr>
            <w:r>
              <w:rPr>
                <w:rFonts w:hint="eastAsia"/>
                <w:color w:val="auto"/>
                <w:highlight w:val="none"/>
              </w:rPr>
              <w:t>项目经理</w:t>
            </w:r>
          </w:p>
        </w:tc>
        <w:tc>
          <w:tcPr>
            <w:tcW w:w="4609" w:type="dxa"/>
            <w:vAlign w:val="top"/>
          </w:tcPr>
          <w:p>
            <w:pPr>
              <w:rPr>
                <w:rFonts w:hint="eastAsia"/>
                <w:color w:val="auto"/>
                <w:highlight w:val="none"/>
              </w:rPr>
            </w:pPr>
            <w:r>
              <w:rPr>
                <w:rFonts w:hint="eastAsia"/>
                <w:color w:val="auto"/>
                <w:highlight w:val="none"/>
              </w:rPr>
              <w:t>符合第二章“投标人须知”第1.4.1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720" w:type="dxa"/>
            <w:gridSpan w:val="2"/>
            <w:vMerge w:val="continue"/>
            <w:vAlign w:val="center"/>
          </w:tcPr>
          <w:p>
            <w:pPr>
              <w:rPr>
                <w:rFonts w:hint="eastAsia"/>
                <w:color w:val="auto"/>
                <w:highlight w:val="none"/>
              </w:rPr>
            </w:pPr>
          </w:p>
        </w:tc>
        <w:tc>
          <w:tcPr>
            <w:tcW w:w="1080" w:type="dxa"/>
            <w:vMerge w:val="continue"/>
            <w:vAlign w:val="center"/>
          </w:tcPr>
          <w:p>
            <w:pPr>
              <w:rPr>
                <w:rFonts w:hint="eastAsia"/>
                <w:color w:val="auto"/>
                <w:highlight w:val="none"/>
              </w:rPr>
            </w:pPr>
          </w:p>
        </w:tc>
        <w:tc>
          <w:tcPr>
            <w:tcW w:w="3055" w:type="dxa"/>
            <w:gridSpan w:val="2"/>
            <w:vAlign w:val="center"/>
          </w:tcPr>
          <w:p>
            <w:pPr>
              <w:rPr>
                <w:rFonts w:hint="eastAsia"/>
                <w:color w:val="auto"/>
                <w:highlight w:val="none"/>
              </w:rPr>
            </w:pPr>
            <w:r>
              <w:rPr>
                <w:rFonts w:hint="eastAsia"/>
                <w:color w:val="auto"/>
                <w:highlight w:val="none"/>
              </w:rPr>
              <w:t>不拖欠农民工工资承诺</w:t>
            </w:r>
            <w:r>
              <w:rPr>
                <w:rFonts w:hint="eastAsia"/>
                <w:color w:val="auto"/>
                <w:highlight w:val="none"/>
                <w:lang w:eastAsia="zh-CN"/>
              </w:rPr>
              <w:t>，失信被执行人和围标串标情况说明</w:t>
            </w:r>
          </w:p>
        </w:tc>
        <w:tc>
          <w:tcPr>
            <w:tcW w:w="4609" w:type="dxa"/>
            <w:vAlign w:val="top"/>
          </w:tcPr>
          <w:p>
            <w:pPr>
              <w:rPr>
                <w:rFonts w:hint="eastAsia"/>
                <w:color w:val="auto"/>
                <w:highlight w:val="none"/>
              </w:rPr>
            </w:pPr>
            <w:r>
              <w:rPr>
                <w:rFonts w:hint="eastAsia"/>
                <w:color w:val="auto"/>
                <w:highlight w:val="none"/>
              </w:rPr>
              <w:t>符合第二章“投标人须知”第</w:t>
            </w:r>
            <w:r>
              <w:rPr>
                <w:rFonts w:hint="eastAsia"/>
                <w:color w:val="auto"/>
                <w:highlight w:val="none"/>
                <w:lang w:val="en-US" w:eastAsia="zh-CN"/>
              </w:rPr>
              <w:t>9.12</w:t>
            </w:r>
            <w:r>
              <w:rPr>
                <w:rFonts w:hint="eastAsia"/>
                <w:color w:val="auto"/>
                <w:highlight w:val="none"/>
              </w:rPr>
              <w:t xml:space="preserve">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720" w:type="dxa"/>
            <w:gridSpan w:val="2"/>
            <w:vMerge w:val="continue"/>
            <w:vAlign w:val="center"/>
          </w:tcPr>
          <w:p>
            <w:pPr>
              <w:rPr>
                <w:rFonts w:hint="eastAsia"/>
                <w:color w:val="auto"/>
                <w:highlight w:val="none"/>
              </w:rPr>
            </w:pPr>
          </w:p>
        </w:tc>
        <w:tc>
          <w:tcPr>
            <w:tcW w:w="1080" w:type="dxa"/>
            <w:vMerge w:val="continue"/>
            <w:vAlign w:val="center"/>
          </w:tcPr>
          <w:p>
            <w:pPr>
              <w:rPr>
                <w:rFonts w:hint="eastAsia"/>
                <w:color w:val="auto"/>
                <w:highlight w:val="none"/>
              </w:rPr>
            </w:pPr>
          </w:p>
        </w:tc>
        <w:tc>
          <w:tcPr>
            <w:tcW w:w="3055" w:type="dxa"/>
            <w:gridSpan w:val="2"/>
            <w:vAlign w:val="top"/>
          </w:tcPr>
          <w:p>
            <w:pPr>
              <w:rPr>
                <w:rFonts w:hint="eastAsia"/>
                <w:color w:val="auto"/>
                <w:highlight w:val="none"/>
              </w:rPr>
            </w:pPr>
            <w:r>
              <w:rPr>
                <w:rFonts w:hint="eastAsia"/>
                <w:color w:val="auto"/>
                <w:highlight w:val="none"/>
              </w:rPr>
              <w:t>信誉要求</w:t>
            </w:r>
          </w:p>
        </w:tc>
        <w:tc>
          <w:tcPr>
            <w:tcW w:w="4609" w:type="dxa"/>
            <w:vAlign w:val="top"/>
          </w:tcPr>
          <w:p>
            <w:pPr>
              <w:rPr>
                <w:rFonts w:hint="eastAsia"/>
                <w:color w:val="auto"/>
                <w:highlight w:val="none"/>
              </w:rPr>
            </w:pPr>
            <w:r>
              <w:rPr>
                <w:rFonts w:hint="eastAsia"/>
                <w:color w:val="auto"/>
                <w:highlight w:val="none"/>
              </w:rPr>
              <w:t>符合第二章“投标人须知”第1.4.1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720" w:type="dxa"/>
            <w:gridSpan w:val="2"/>
            <w:vMerge w:val="continue"/>
            <w:vAlign w:val="center"/>
          </w:tcPr>
          <w:p>
            <w:pPr>
              <w:rPr>
                <w:rFonts w:hint="eastAsia"/>
                <w:color w:val="auto"/>
                <w:highlight w:val="none"/>
              </w:rPr>
            </w:pPr>
          </w:p>
        </w:tc>
        <w:tc>
          <w:tcPr>
            <w:tcW w:w="1080" w:type="dxa"/>
            <w:vMerge w:val="continue"/>
            <w:vAlign w:val="center"/>
          </w:tcPr>
          <w:p>
            <w:pPr>
              <w:rPr>
                <w:rFonts w:hint="eastAsia"/>
                <w:color w:val="auto"/>
                <w:highlight w:val="none"/>
              </w:rPr>
            </w:pPr>
          </w:p>
        </w:tc>
        <w:tc>
          <w:tcPr>
            <w:tcW w:w="3055" w:type="dxa"/>
            <w:gridSpan w:val="2"/>
            <w:vAlign w:val="top"/>
          </w:tcPr>
          <w:p>
            <w:pPr>
              <w:rPr>
                <w:rFonts w:hint="eastAsia"/>
                <w:color w:val="auto"/>
                <w:highlight w:val="none"/>
              </w:rPr>
            </w:pPr>
            <w:r>
              <w:rPr>
                <w:rFonts w:hint="eastAsia"/>
                <w:color w:val="auto"/>
                <w:highlight w:val="none"/>
              </w:rPr>
              <w:t>诚信要求</w:t>
            </w:r>
          </w:p>
        </w:tc>
        <w:tc>
          <w:tcPr>
            <w:tcW w:w="4609" w:type="dxa"/>
            <w:vAlign w:val="top"/>
          </w:tcPr>
          <w:p>
            <w:pPr>
              <w:rPr>
                <w:rFonts w:hint="eastAsia"/>
                <w:color w:val="auto"/>
                <w:highlight w:val="none"/>
              </w:rPr>
            </w:pPr>
            <w:r>
              <w:rPr>
                <w:rFonts w:hint="eastAsia"/>
                <w:color w:val="auto"/>
                <w:highlight w:val="none"/>
              </w:rPr>
              <w:t>符合第二章“投标人须知”第1.4.1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720" w:type="dxa"/>
            <w:gridSpan w:val="2"/>
            <w:vMerge w:val="continue"/>
            <w:vAlign w:val="center"/>
          </w:tcPr>
          <w:p>
            <w:pPr>
              <w:rPr>
                <w:rFonts w:hint="eastAsia"/>
                <w:color w:val="auto"/>
                <w:highlight w:val="none"/>
              </w:rPr>
            </w:pPr>
          </w:p>
        </w:tc>
        <w:tc>
          <w:tcPr>
            <w:tcW w:w="1080" w:type="dxa"/>
            <w:vMerge w:val="continue"/>
            <w:vAlign w:val="center"/>
          </w:tcPr>
          <w:p>
            <w:pPr>
              <w:rPr>
                <w:rFonts w:hint="eastAsia"/>
                <w:color w:val="auto"/>
                <w:highlight w:val="none"/>
              </w:rPr>
            </w:pPr>
          </w:p>
        </w:tc>
        <w:tc>
          <w:tcPr>
            <w:tcW w:w="3055" w:type="dxa"/>
            <w:gridSpan w:val="2"/>
            <w:vAlign w:val="center"/>
          </w:tcPr>
          <w:p>
            <w:pPr>
              <w:rPr>
                <w:rFonts w:hint="eastAsia"/>
                <w:color w:val="auto"/>
                <w:highlight w:val="none"/>
              </w:rPr>
            </w:pPr>
            <w:r>
              <w:rPr>
                <w:rFonts w:hint="eastAsia"/>
                <w:color w:val="auto"/>
                <w:highlight w:val="none"/>
              </w:rPr>
              <w:t>其他要求</w:t>
            </w:r>
          </w:p>
        </w:tc>
        <w:tc>
          <w:tcPr>
            <w:tcW w:w="4609" w:type="dxa"/>
            <w:vAlign w:val="top"/>
          </w:tcPr>
          <w:p>
            <w:pPr>
              <w:rPr>
                <w:rFonts w:hint="eastAsia"/>
                <w:color w:val="auto"/>
                <w:highlight w:val="none"/>
              </w:rPr>
            </w:pPr>
            <w:r>
              <w:rPr>
                <w:rFonts w:hint="eastAsia"/>
                <w:color w:val="auto"/>
                <w:highlight w:val="none"/>
              </w:rPr>
              <w:t>符合第二章“投标人须知”第1.4.1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20" w:type="dxa"/>
            <w:gridSpan w:val="2"/>
            <w:vMerge w:val="restart"/>
            <w:vAlign w:val="center"/>
          </w:tcPr>
          <w:p>
            <w:pPr>
              <w:rPr>
                <w:rFonts w:hint="eastAsia"/>
                <w:color w:val="auto"/>
                <w:highlight w:val="none"/>
              </w:rPr>
            </w:pPr>
            <w:r>
              <w:rPr>
                <w:rFonts w:hint="eastAsia"/>
                <w:color w:val="auto"/>
                <w:highlight w:val="none"/>
              </w:rPr>
              <w:t>2.1.3</w:t>
            </w:r>
          </w:p>
        </w:tc>
        <w:tc>
          <w:tcPr>
            <w:tcW w:w="1080" w:type="dxa"/>
            <w:vMerge w:val="restart"/>
            <w:vAlign w:val="center"/>
          </w:tcPr>
          <w:p>
            <w:pPr>
              <w:rPr>
                <w:rFonts w:hint="eastAsia"/>
                <w:color w:val="auto"/>
                <w:highlight w:val="none"/>
              </w:rPr>
            </w:pPr>
            <w:r>
              <w:rPr>
                <w:rFonts w:hint="eastAsia"/>
                <w:color w:val="auto"/>
                <w:highlight w:val="none"/>
              </w:rPr>
              <w:t>响应性评审标准</w:t>
            </w:r>
          </w:p>
          <w:p>
            <w:pPr>
              <w:rPr>
                <w:rFonts w:hint="eastAsia"/>
                <w:color w:val="auto"/>
                <w:highlight w:val="none"/>
              </w:rPr>
            </w:pPr>
          </w:p>
        </w:tc>
        <w:tc>
          <w:tcPr>
            <w:tcW w:w="3055" w:type="dxa"/>
            <w:gridSpan w:val="2"/>
            <w:vAlign w:val="top"/>
          </w:tcPr>
          <w:p>
            <w:pPr>
              <w:rPr>
                <w:rFonts w:hint="eastAsia"/>
                <w:color w:val="auto"/>
                <w:highlight w:val="none"/>
              </w:rPr>
            </w:pPr>
            <w:r>
              <w:rPr>
                <w:rFonts w:hint="eastAsia"/>
                <w:color w:val="auto"/>
                <w:highlight w:val="none"/>
              </w:rPr>
              <w:t>投标内容</w:t>
            </w:r>
          </w:p>
        </w:tc>
        <w:tc>
          <w:tcPr>
            <w:tcW w:w="4609" w:type="dxa"/>
            <w:vAlign w:val="top"/>
          </w:tcPr>
          <w:p>
            <w:pPr>
              <w:rPr>
                <w:rFonts w:hint="eastAsia"/>
                <w:color w:val="auto"/>
                <w:highlight w:val="none"/>
              </w:rPr>
            </w:pPr>
            <w:r>
              <w:rPr>
                <w:rFonts w:hint="eastAsia"/>
                <w:color w:val="auto"/>
                <w:highlight w:val="none"/>
              </w:rPr>
              <w:t>符合第二章“投标人须知”第1.3.1项规定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20" w:type="dxa"/>
            <w:gridSpan w:val="2"/>
            <w:vMerge w:val="continue"/>
            <w:vAlign w:val="top"/>
          </w:tcPr>
          <w:p>
            <w:pPr>
              <w:rPr>
                <w:rFonts w:hint="eastAsia"/>
                <w:color w:val="auto"/>
                <w:highlight w:val="none"/>
              </w:rPr>
            </w:pPr>
          </w:p>
        </w:tc>
        <w:tc>
          <w:tcPr>
            <w:tcW w:w="1080" w:type="dxa"/>
            <w:vMerge w:val="continue"/>
            <w:vAlign w:val="top"/>
          </w:tcPr>
          <w:p>
            <w:pPr>
              <w:rPr>
                <w:rFonts w:hint="eastAsia"/>
                <w:color w:val="auto"/>
                <w:highlight w:val="none"/>
              </w:rPr>
            </w:pPr>
          </w:p>
        </w:tc>
        <w:tc>
          <w:tcPr>
            <w:tcW w:w="3055" w:type="dxa"/>
            <w:gridSpan w:val="2"/>
            <w:vAlign w:val="top"/>
          </w:tcPr>
          <w:p>
            <w:pPr>
              <w:rPr>
                <w:rFonts w:hint="eastAsia"/>
                <w:color w:val="auto"/>
                <w:highlight w:val="none"/>
              </w:rPr>
            </w:pPr>
            <w:r>
              <w:rPr>
                <w:rFonts w:hint="eastAsia"/>
                <w:color w:val="auto"/>
                <w:highlight w:val="none"/>
              </w:rPr>
              <w:t>工期</w:t>
            </w:r>
          </w:p>
        </w:tc>
        <w:tc>
          <w:tcPr>
            <w:tcW w:w="4609" w:type="dxa"/>
            <w:vAlign w:val="top"/>
          </w:tcPr>
          <w:p>
            <w:pPr>
              <w:rPr>
                <w:rFonts w:hint="eastAsia"/>
                <w:color w:val="auto"/>
                <w:highlight w:val="none"/>
              </w:rPr>
            </w:pPr>
            <w:r>
              <w:rPr>
                <w:rFonts w:hint="eastAsia"/>
                <w:color w:val="auto"/>
                <w:highlight w:val="none"/>
              </w:rPr>
              <w:t>符合第二章“投标人须知”第1.3.2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720" w:type="dxa"/>
            <w:gridSpan w:val="2"/>
            <w:vMerge w:val="continue"/>
            <w:vAlign w:val="top"/>
          </w:tcPr>
          <w:p>
            <w:pPr>
              <w:rPr>
                <w:rFonts w:hint="eastAsia"/>
                <w:color w:val="auto"/>
                <w:highlight w:val="none"/>
              </w:rPr>
            </w:pPr>
          </w:p>
        </w:tc>
        <w:tc>
          <w:tcPr>
            <w:tcW w:w="1080" w:type="dxa"/>
            <w:vMerge w:val="continue"/>
            <w:vAlign w:val="top"/>
          </w:tcPr>
          <w:p>
            <w:pPr>
              <w:rPr>
                <w:rFonts w:hint="eastAsia"/>
                <w:color w:val="auto"/>
                <w:highlight w:val="none"/>
              </w:rPr>
            </w:pPr>
          </w:p>
        </w:tc>
        <w:tc>
          <w:tcPr>
            <w:tcW w:w="3055" w:type="dxa"/>
            <w:gridSpan w:val="2"/>
            <w:vAlign w:val="top"/>
          </w:tcPr>
          <w:p>
            <w:pPr>
              <w:rPr>
                <w:rFonts w:hint="eastAsia"/>
                <w:color w:val="auto"/>
                <w:highlight w:val="none"/>
              </w:rPr>
            </w:pPr>
            <w:r>
              <w:rPr>
                <w:rFonts w:hint="eastAsia"/>
                <w:color w:val="auto"/>
                <w:highlight w:val="none"/>
              </w:rPr>
              <w:t>工程质量</w:t>
            </w:r>
          </w:p>
        </w:tc>
        <w:tc>
          <w:tcPr>
            <w:tcW w:w="4609" w:type="dxa"/>
            <w:vAlign w:val="top"/>
          </w:tcPr>
          <w:p>
            <w:pPr>
              <w:rPr>
                <w:rFonts w:hint="eastAsia"/>
                <w:color w:val="auto"/>
                <w:highlight w:val="none"/>
              </w:rPr>
            </w:pPr>
            <w:r>
              <w:rPr>
                <w:rFonts w:hint="eastAsia"/>
                <w:color w:val="auto"/>
                <w:highlight w:val="none"/>
              </w:rPr>
              <w:t>符合第二章“投标人须知”第1.3.3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720" w:type="dxa"/>
            <w:gridSpan w:val="2"/>
            <w:vMerge w:val="continue"/>
            <w:vAlign w:val="top"/>
          </w:tcPr>
          <w:p>
            <w:pPr>
              <w:rPr>
                <w:rFonts w:hint="eastAsia"/>
                <w:color w:val="auto"/>
                <w:highlight w:val="none"/>
              </w:rPr>
            </w:pPr>
          </w:p>
        </w:tc>
        <w:tc>
          <w:tcPr>
            <w:tcW w:w="1080" w:type="dxa"/>
            <w:vMerge w:val="continue"/>
            <w:vAlign w:val="top"/>
          </w:tcPr>
          <w:p>
            <w:pPr>
              <w:rPr>
                <w:rFonts w:hint="eastAsia"/>
                <w:color w:val="auto"/>
                <w:highlight w:val="none"/>
              </w:rPr>
            </w:pPr>
          </w:p>
        </w:tc>
        <w:tc>
          <w:tcPr>
            <w:tcW w:w="3055" w:type="dxa"/>
            <w:gridSpan w:val="2"/>
            <w:vAlign w:val="top"/>
          </w:tcPr>
          <w:p>
            <w:pPr>
              <w:rPr>
                <w:rFonts w:hint="eastAsia"/>
                <w:color w:val="auto"/>
                <w:highlight w:val="none"/>
              </w:rPr>
            </w:pPr>
            <w:r>
              <w:rPr>
                <w:rFonts w:hint="eastAsia"/>
                <w:color w:val="auto"/>
                <w:highlight w:val="none"/>
              </w:rPr>
              <w:t>投标有效期</w:t>
            </w:r>
          </w:p>
        </w:tc>
        <w:tc>
          <w:tcPr>
            <w:tcW w:w="4609" w:type="dxa"/>
            <w:vAlign w:val="top"/>
          </w:tcPr>
          <w:p>
            <w:pPr>
              <w:rPr>
                <w:rFonts w:hint="eastAsia"/>
                <w:color w:val="auto"/>
                <w:highlight w:val="none"/>
              </w:rPr>
            </w:pPr>
            <w:r>
              <w:rPr>
                <w:rFonts w:hint="eastAsia"/>
                <w:color w:val="auto"/>
                <w:highlight w:val="none"/>
              </w:rPr>
              <w:t>符合第二章“投标人须知”第3.3.1项规定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20" w:type="dxa"/>
            <w:gridSpan w:val="2"/>
            <w:vMerge w:val="continue"/>
            <w:vAlign w:val="top"/>
          </w:tcPr>
          <w:p>
            <w:pPr>
              <w:rPr>
                <w:rFonts w:hint="eastAsia"/>
                <w:color w:val="auto"/>
                <w:highlight w:val="none"/>
              </w:rPr>
            </w:pPr>
          </w:p>
        </w:tc>
        <w:tc>
          <w:tcPr>
            <w:tcW w:w="1080" w:type="dxa"/>
            <w:vMerge w:val="continue"/>
            <w:vAlign w:val="top"/>
          </w:tcPr>
          <w:p>
            <w:pPr>
              <w:rPr>
                <w:rFonts w:hint="eastAsia"/>
                <w:color w:val="auto"/>
                <w:highlight w:val="none"/>
              </w:rPr>
            </w:pPr>
          </w:p>
        </w:tc>
        <w:tc>
          <w:tcPr>
            <w:tcW w:w="3055" w:type="dxa"/>
            <w:gridSpan w:val="2"/>
            <w:vAlign w:val="top"/>
          </w:tcPr>
          <w:p>
            <w:pPr>
              <w:rPr>
                <w:rFonts w:hint="eastAsia"/>
                <w:color w:val="auto"/>
                <w:highlight w:val="none"/>
              </w:rPr>
            </w:pPr>
            <w:r>
              <w:rPr>
                <w:rFonts w:hint="eastAsia"/>
                <w:color w:val="auto"/>
                <w:highlight w:val="none"/>
              </w:rPr>
              <w:t>投标保证金</w:t>
            </w:r>
          </w:p>
        </w:tc>
        <w:tc>
          <w:tcPr>
            <w:tcW w:w="4609" w:type="dxa"/>
            <w:vAlign w:val="top"/>
          </w:tcPr>
          <w:p>
            <w:pPr>
              <w:rPr>
                <w:rFonts w:hint="eastAsia"/>
                <w:color w:val="auto"/>
                <w:highlight w:val="none"/>
              </w:rPr>
            </w:pPr>
            <w:r>
              <w:rPr>
                <w:rFonts w:hint="eastAsia"/>
                <w:color w:val="auto"/>
                <w:highlight w:val="none"/>
              </w:rPr>
              <w:t>符合第二章“投标人须知”第3.4.1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20" w:type="dxa"/>
            <w:gridSpan w:val="2"/>
            <w:vMerge w:val="continue"/>
            <w:vAlign w:val="top"/>
          </w:tcPr>
          <w:p>
            <w:pPr>
              <w:rPr>
                <w:rFonts w:hint="eastAsia"/>
                <w:color w:val="auto"/>
                <w:highlight w:val="none"/>
              </w:rPr>
            </w:pPr>
          </w:p>
        </w:tc>
        <w:tc>
          <w:tcPr>
            <w:tcW w:w="1080" w:type="dxa"/>
            <w:vMerge w:val="continue"/>
            <w:vAlign w:val="top"/>
          </w:tcPr>
          <w:p>
            <w:pPr>
              <w:rPr>
                <w:rFonts w:hint="eastAsia"/>
                <w:color w:val="auto"/>
                <w:highlight w:val="none"/>
              </w:rPr>
            </w:pPr>
          </w:p>
        </w:tc>
        <w:tc>
          <w:tcPr>
            <w:tcW w:w="3055" w:type="dxa"/>
            <w:gridSpan w:val="2"/>
            <w:vAlign w:val="top"/>
          </w:tcPr>
          <w:p>
            <w:pPr>
              <w:rPr>
                <w:rFonts w:hint="eastAsia"/>
                <w:color w:val="auto"/>
                <w:highlight w:val="none"/>
              </w:rPr>
            </w:pPr>
            <w:r>
              <w:rPr>
                <w:rFonts w:hint="eastAsia"/>
                <w:color w:val="auto"/>
                <w:highlight w:val="none"/>
              </w:rPr>
              <w:t>权利义务</w:t>
            </w:r>
          </w:p>
        </w:tc>
        <w:tc>
          <w:tcPr>
            <w:tcW w:w="4609" w:type="dxa"/>
            <w:vAlign w:val="top"/>
          </w:tcPr>
          <w:p>
            <w:pPr>
              <w:rPr>
                <w:rFonts w:hint="eastAsia"/>
                <w:color w:val="auto"/>
                <w:highlight w:val="none"/>
              </w:rPr>
            </w:pPr>
            <w:r>
              <w:rPr>
                <w:rFonts w:hint="eastAsia"/>
                <w:color w:val="auto"/>
                <w:highlight w:val="none"/>
              </w:rPr>
              <w:t>符合第四章“合同条款及格式”规定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20" w:type="dxa"/>
            <w:gridSpan w:val="2"/>
            <w:vMerge w:val="continue"/>
            <w:vAlign w:val="top"/>
          </w:tcPr>
          <w:p>
            <w:pPr>
              <w:rPr>
                <w:rFonts w:hint="eastAsia"/>
                <w:color w:val="auto"/>
                <w:highlight w:val="none"/>
              </w:rPr>
            </w:pPr>
          </w:p>
        </w:tc>
        <w:tc>
          <w:tcPr>
            <w:tcW w:w="1080" w:type="dxa"/>
            <w:vMerge w:val="continue"/>
            <w:vAlign w:val="top"/>
          </w:tcPr>
          <w:p>
            <w:pPr>
              <w:rPr>
                <w:rFonts w:hint="eastAsia"/>
                <w:color w:val="auto"/>
                <w:highlight w:val="none"/>
              </w:rPr>
            </w:pPr>
          </w:p>
        </w:tc>
        <w:tc>
          <w:tcPr>
            <w:tcW w:w="3055" w:type="dxa"/>
            <w:gridSpan w:val="2"/>
            <w:vAlign w:val="top"/>
          </w:tcPr>
          <w:p>
            <w:pPr>
              <w:rPr>
                <w:rFonts w:hint="eastAsia"/>
                <w:color w:val="auto"/>
                <w:highlight w:val="none"/>
              </w:rPr>
            </w:pPr>
            <w:r>
              <w:rPr>
                <w:rFonts w:hint="eastAsia"/>
                <w:color w:val="auto"/>
                <w:highlight w:val="none"/>
              </w:rPr>
              <w:t>己标价工程量清单</w:t>
            </w:r>
          </w:p>
        </w:tc>
        <w:tc>
          <w:tcPr>
            <w:tcW w:w="4609" w:type="dxa"/>
            <w:vAlign w:val="top"/>
          </w:tcPr>
          <w:p>
            <w:pPr>
              <w:rPr>
                <w:rFonts w:hint="eastAsia"/>
                <w:color w:val="auto"/>
                <w:highlight w:val="none"/>
              </w:rPr>
            </w:pPr>
            <w:r>
              <w:rPr>
                <w:rFonts w:hint="eastAsia"/>
                <w:color w:val="auto"/>
                <w:highlight w:val="none"/>
              </w:rPr>
              <w:t>符合第五章“工程量清单”给出的范围及数量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20" w:type="dxa"/>
            <w:gridSpan w:val="2"/>
            <w:vMerge w:val="continue"/>
            <w:vAlign w:val="top"/>
          </w:tcPr>
          <w:p>
            <w:pPr>
              <w:rPr>
                <w:rFonts w:hint="eastAsia"/>
                <w:color w:val="auto"/>
                <w:highlight w:val="none"/>
              </w:rPr>
            </w:pPr>
          </w:p>
        </w:tc>
        <w:tc>
          <w:tcPr>
            <w:tcW w:w="1080" w:type="dxa"/>
            <w:vMerge w:val="continue"/>
            <w:vAlign w:val="top"/>
          </w:tcPr>
          <w:p>
            <w:pPr>
              <w:rPr>
                <w:rFonts w:hint="eastAsia"/>
                <w:color w:val="auto"/>
                <w:highlight w:val="none"/>
              </w:rPr>
            </w:pPr>
          </w:p>
        </w:tc>
        <w:tc>
          <w:tcPr>
            <w:tcW w:w="3055" w:type="dxa"/>
            <w:gridSpan w:val="2"/>
            <w:vAlign w:val="top"/>
          </w:tcPr>
          <w:p>
            <w:pPr>
              <w:rPr>
                <w:rFonts w:hint="eastAsia"/>
                <w:color w:val="auto"/>
                <w:highlight w:val="none"/>
              </w:rPr>
            </w:pPr>
            <w:r>
              <w:rPr>
                <w:rFonts w:hint="eastAsia"/>
                <w:color w:val="auto"/>
                <w:highlight w:val="none"/>
              </w:rPr>
              <w:t>技术标准和要求</w:t>
            </w:r>
          </w:p>
        </w:tc>
        <w:tc>
          <w:tcPr>
            <w:tcW w:w="4609" w:type="dxa"/>
            <w:vAlign w:val="top"/>
          </w:tcPr>
          <w:p>
            <w:pPr>
              <w:rPr>
                <w:rFonts w:hint="eastAsia"/>
                <w:color w:val="auto"/>
                <w:highlight w:val="none"/>
              </w:rPr>
            </w:pPr>
            <w:r>
              <w:rPr>
                <w:rFonts w:hint="eastAsia"/>
                <w:color w:val="auto"/>
                <w:highlight w:val="none"/>
              </w:rPr>
              <w:t>符合第</w:t>
            </w:r>
            <w:r>
              <w:rPr>
                <w:rFonts w:hint="eastAsia"/>
                <w:color w:val="auto"/>
                <w:highlight w:val="none"/>
                <w:lang w:eastAsia="zh-CN"/>
              </w:rPr>
              <w:t>六</w:t>
            </w:r>
            <w:r>
              <w:rPr>
                <w:rFonts w:hint="eastAsia"/>
                <w:color w:val="auto"/>
                <w:highlight w:val="none"/>
              </w:rPr>
              <w:t>章“技术标准和要求”规定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0" w:type="dxa"/>
            <w:gridSpan w:val="2"/>
            <w:vMerge w:val="restart"/>
            <w:vAlign w:val="center"/>
          </w:tcPr>
          <w:p>
            <w:pPr>
              <w:rPr>
                <w:rFonts w:hint="eastAsia"/>
                <w:color w:val="auto"/>
                <w:highlight w:val="none"/>
              </w:rPr>
            </w:pPr>
            <w:r>
              <w:rPr>
                <w:rFonts w:hint="eastAsia"/>
                <w:color w:val="auto"/>
                <w:highlight w:val="none"/>
              </w:rPr>
              <w:t>2.1.4</w:t>
            </w:r>
          </w:p>
        </w:tc>
        <w:tc>
          <w:tcPr>
            <w:tcW w:w="1080" w:type="dxa"/>
            <w:vMerge w:val="restart"/>
            <w:vAlign w:val="center"/>
          </w:tcPr>
          <w:p>
            <w:pPr>
              <w:rPr>
                <w:rFonts w:hint="eastAsia"/>
                <w:color w:val="auto"/>
                <w:highlight w:val="none"/>
              </w:rPr>
            </w:pPr>
            <w:r>
              <w:rPr>
                <w:rFonts w:hint="eastAsia"/>
                <w:color w:val="auto"/>
                <w:highlight w:val="none"/>
                <w:lang w:eastAsia="zh-CN"/>
              </w:rPr>
              <w:t>技术部分</w:t>
            </w:r>
            <w:r>
              <w:rPr>
                <w:rFonts w:hint="eastAsia"/>
                <w:color w:val="auto"/>
                <w:highlight w:val="none"/>
              </w:rPr>
              <w:t>评审标准</w:t>
            </w:r>
          </w:p>
          <w:p>
            <w:pPr>
              <w:rPr>
                <w:rFonts w:hint="eastAsia"/>
                <w:color w:val="auto"/>
                <w:highlight w:val="none"/>
                <w:lang w:val="en-US" w:eastAsia="zh-CN"/>
              </w:rPr>
            </w:pPr>
            <w:r>
              <w:rPr>
                <w:rFonts w:hint="eastAsia"/>
                <w:color w:val="auto"/>
                <w:highlight w:val="none"/>
                <w:lang w:val="en-US" w:eastAsia="zh-CN"/>
              </w:rPr>
              <w:t>(80分）</w:t>
            </w:r>
          </w:p>
          <w:p>
            <w:pPr>
              <w:rPr>
                <w:rFonts w:hint="eastAsia"/>
                <w:color w:val="auto"/>
                <w:highlight w:val="none"/>
              </w:rPr>
            </w:pPr>
          </w:p>
        </w:tc>
        <w:tc>
          <w:tcPr>
            <w:tcW w:w="3055" w:type="dxa"/>
            <w:gridSpan w:val="2"/>
            <w:vAlign w:val="top"/>
          </w:tcPr>
          <w:p>
            <w:pPr>
              <w:rPr>
                <w:rFonts w:hint="eastAsia"/>
                <w:color w:val="auto"/>
                <w:highlight w:val="none"/>
              </w:rPr>
            </w:pPr>
            <w:r>
              <w:rPr>
                <w:rFonts w:hint="eastAsia"/>
                <w:color w:val="auto"/>
                <w:highlight w:val="none"/>
              </w:rPr>
              <w:t>1、施工方案与技术措施</w:t>
            </w:r>
            <w:r>
              <w:rPr>
                <w:rFonts w:hint="eastAsia"/>
                <w:color w:val="auto"/>
                <w:highlight w:val="none"/>
                <w:lang w:eastAsia="zh-CN"/>
              </w:rPr>
              <w:t>（</w:t>
            </w:r>
            <w:r>
              <w:rPr>
                <w:rFonts w:hint="eastAsia"/>
                <w:color w:val="auto"/>
                <w:highlight w:val="none"/>
                <w:lang w:val="en-US" w:eastAsia="zh-CN"/>
              </w:rPr>
              <w:t>5分</w:t>
            </w:r>
            <w:r>
              <w:rPr>
                <w:rFonts w:hint="eastAsia"/>
                <w:color w:val="auto"/>
                <w:highlight w:val="none"/>
                <w:lang w:eastAsia="zh-CN"/>
              </w:rPr>
              <w:t>）</w:t>
            </w:r>
          </w:p>
        </w:tc>
        <w:tc>
          <w:tcPr>
            <w:tcW w:w="4609" w:type="dxa"/>
            <w:vAlign w:val="top"/>
          </w:tcPr>
          <w:p>
            <w:pPr>
              <w:rPr>
                <w:rFonts w:hint="eastAsia"/>
                <w:color w:val="auto"/>
                <w:highlight w:val="none"/>
              </w:rPr>
            </w:pPr>
            <w:r>
              <w:rPr>
                <w:rFonts w:hint="eastAsia"/>
                <w:color w:val="auto"/>
                <w:highlight w:val="none"/>
              </w:rPr>
              <w:t>方案与措施先进</w:t>
            </w:r>
            <w:r>
              <w:rPr>
                <w:rFonts w:hint="eastAsia"/>
                <w:color w:val="auto"/>
                <w:highlight w:val="none"/>
                <w:lang w:val="en-US" w:eastAsia="zh-CN"/>
              </w:rPr>
              <w:t>5</w:t>
            </w:r>
            <w:r>
              <w:rPr>
                <w:rFonts w:hint="eastAsia"/>
                <w:color w:val="auto"/>
                <w:highlight w:val="none"/>
              </w:rPr>
              <w:t>～</w:t>
            </w:r>
            <w:r>
              <w:rPr>
                <w:rFonts w:hint="eastAsia"/>
                <w:color w:val="auto"/>
                <w:highlight w:val="none"/>
                <w:lang w:val="en-US" w:eastAsia="zh-CN"/>
              </w:rPr>
              <w:t>4</w:t>
            </w:r>
            <w:r>
              <w:rPr>
                <w:rFonts w:hint="eastAsia"/>
                <w:color w:val="auto"/>
                <w:highlight w:val="none"/>
              </w:rPr>
              <w:t>分；基本可行</w:t>
            </w:r>
            <w:r>
              <w:rPr>
                <w:rFonts w:hint="eastAsia"/>
                <w:color w:val="auto"/>
                <w:highlight w:val="none"/>
                <w:lang w:val="en-US" w:eastAsia="zh-CN"/>
              </w:rPr>
              <w:t>3</w:t>
            </w:r>
            <w:r>
              <w:rPr>
                <w:rFonts w:hint="eastAsia"/>
                <w:color w:val="auto"/>
                <w:highlight w:val="none"/>
              </w:rPr>
              <w:t>～</w:t>
            </w:r>
            <w:r>
              <w:rPr>
                <w:rFonts w:hint="eastAsia"/>
                <w:color w:val="auto"/>
                <w:highlight w:val="none"/>
                <w:lang w:val="en-US" w:eastAsia="zh-CN"/>
              </w:rPr>
              <w:t>1</w:t>
            </w:r>
            <w:r>
              <w:rPr>
                <w:rFonts w:hint="eastAsia"/>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0" w:type="dxa"/>
            <w:gridSpan w:val="2"/>
            <w:vMerge w:val="continue"/>
            <w:vAlign w:val="top"/>
          </w:tcPr>
          <w:p>
            <w:pPr>
              <w:rPr>
                <w:rFonts w:hint="eastAsia"/>
                <w:color w:val="auto"/>
                <w:highlight w:val="none"/>
              </w:rPr>
            </w:pPr>
          </w:p>
        </w:tc>
        <w:tc>
          <w:tcPr>
            <w:tcW w:w="1080" w:type="dxa"/>
            <w:vMerge w:val="continue"/>
            <w:vAlign w:val="top"/>
          </w:tcPr>
          <w:p>
            <w:pPr>
              <w:rPr>
                <w:rFonts w:hint="eastAsia"/>
                <w:color w:val="auto"/>
                <w:highlight w:val="none"/>
              </w:rPr>
            </w:pPr>
          </w:p>
        </w:tc>
        <w:tc>
          <w:tcPr>
            <w:tcW w:w="3055" w:type="dxa"/>
            <w:gridSpan w:val="2"/>
            <w:vAlign w:val="top"/>
          </w:tcPr>
          <w:p>
            <w:pPr>
              <w:rPr>
                <w:rFonts w:hint="eastAsia"/>
                <w:color w:val="auto"/>
                <w:highlight w:val="none"/>
              </w:rPr>
            </w:pPr>
            <w:r>
              <w:rPr>
                <w:rFonts w:hint="eastAsia"/>
                <w:color w:val="auto"/>
                <w:highlight w:val="none"/>
              </w:rPr>
              <w:t>2、质量管理体系与措施</w:t>
            </w:r>
            <w:r>
              <w:rPr>
                <w:rFonts w:hint="eastAsia"/>
                <w:color w:val="auto"/>
                <w:highlight w:val="none"/>
                <w:lang w:eastAsia="zh-CN"/>
              </w:rPr>
              <w:t>（</w:t>
            </w:r>
            <w:r>
              <w:rPr>
                <w:rFonts w:hint="eastAsia"/>
                <w:color w:val="auto"/>
                <w:highlight w:val="none"/>
                <w:lang w:val="en-US" w:eastAsia="zh-CN"/>
              </w:rPr>
              <w:t>5分</w:t>
            </w:r>
            <w:r>
              <w:rPr>
                <w:rFonts w:hint="eastAsia"/>
                <w:color w:val="auto"/>
                <w:highlight w:val="none"/>
                <w:lang w:eastAsia="zh-CN"/>
              </w:rPr>
              <w:t>）</w:t>
            </w:r>
          </w:p>
        </w:tc>
        <w:tc>
          <w:tcPr>
            <w:tcW w:w="4609" w:type="dxa"/>
            <w:vAlign w:val="top"/>
          </w:tcPr>
          <w:p>
            <w:pPr>
              <w:rPr>
                <w:rFonts w:hint="eastAsia"/>
                <w:color w:val="auto"/>
                <w:highlight w:val="none"/>
              </w:rPr>
            </w:pPr>
            <w:r>
              <w:rPr>
                <w:rFonts w:hint="eastAsia"/>
                <w:color w:val="auto"/>
                <w:highlight w:val="none"/>
              </w:rPr>
              <w:t>能保障工程质量要求</w:t>
            </w:r>
            <w:r>
              <w:rPr>
                <w:rFonts w:hint="eastAsia"/>
                <w:color w:val="auto"/>
                <w:highlight w:val="none"/>
                <w:lang w:val="en-US" w:eastAsia="zh-CN"/>
              </w:rPr>
              <w:t>5</w:t>
            </w:r>
            <w:r>
              <w:rPr>
                <w:rFonts w:hint="eastAsia"/>
                <w:color w:val="auto"/>
                <w:highlight w:val="none"/>
              </w:rPr>
              <w:t>～</w:t>
            </w:r>
            <w:r>
              <w:rPr>
                <w:rFonts w:hint="eastAsia"/>
                <w:color w:val="auto"/>
                <w:highlight w:val="none"/>
                <w:lang w:val="en-US" w:eastAsia="zh-CN"/>
              </w:rPr>
              <w:t>4</w:t>
            </w:r>
            <w:r>
              <w:rPr>
                <w:rFonts w:hint="eastAsia"/>
                <w:color w:val="auto"/>
                <w:highlight w:val="none"/>
              </w:rPr>
              <w:t>分；基本保障</w:t>
            </w:r>
            <w:r>
              <w:rPr>
                <w:rFonts w:hint="eastAsia"/>
                <w:color w:val="auto"/>
                <w:highlight w:val="none"/>
                <w:lang w:val="en-US" w:eastAsia="zh-CN"/>
              </w:rPr>
              <w:t>3</w:t>
            </w:r>
            <w:r>
              <w:rPr>
                <w:rFonts w:hint="eastAsia"/>
                <w:color w:val="auto"/>
                <w:highlight w:val="none"/>
              </w:rPr>
              <w:t>～</w:t>
            </w:r>
            <w:r>
              <w:rPr>
                <w:rFonts w:hint="eastAsia"/>
                <w:color w:val="auto"/>
                <w:highlight w:val="none"/>
                <w:lang w:val="en-US" w:eastAsia="zh-CN"/>
              </w:rPr>
              <w:t>1</w:t>
            </w:r>
            <w:r>
              <w:rPr>
                <w:rFonts w:hint="eastAsia"/>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0" w:type="dxa"/>
            <w:gridSpan w:val="2"/>
            <w:vMerge w:val="continue"/>
            <w:vAlign w:val="top"/>
          </w:tcPr>
          <w:p>
            <w:pPr>
              <w:rPr>
                <w:rFonts w:hint="eastAsia"/>
                <w:color w:val="auto"/>
                <w:highlight w:val="none"/>
              </w:rPr>
            </w:pPr>
          </w:p>
        </w:tc>
        <w:tc>
          <w:tcPr>
            <w:tcW w:w="1080" w:type="dxa"/>
            <w:vMerge w:val="continue"/>
            <w:vAlign w:val="top"/>
          </w:tcPr>
          <w:p>
            <w:pPr>
              <w:rPr>
                <w:rFonts w:hint="eastAsia"/>
                <w:color w:val="auto"/>
                <w:highlight w:val="none"/>
              </w:rPr>
            </w:pPr>
          </w:p>
        </w:tc>
        <w:tc>
          <w:tcPr>
            <w:tcW w:w="3055" w:type="dxa"/>
            <w:gridSpan w:val="2"/>
            <w:vAlign w:val="top"/>
          </w:tcPr>
          <w:p>
            <w:pPr>
              <w:rPr>
                <w:rFonts w:hint="eastAsia"/>
                <w:color w:val="auto"/>
                <w:highlight w:val="none"/>
              </w:rPr>
            </w:pPr>
            <w:r>
              <w:rPr>
                <w:rFonts w:hint="eastAsia"/>
                <w:color w:val="auto"/>
                <w:highlight w:val="none"/>
              </w:rPr>
              <w:t>3、安全管理体系与措施</w:t>
            </w:r>
            <w:r>
              <w:rPr>
                <w:rFonts w:hint="eastAsia"/>
                <w:color w:val="auto"/>
                <w:highlight w:val="none"/>
                <w:lang w:eastAsia="zh-CN"/>
              </w:rPr>
              <w:t>（</w:t>
            </w:r>
            <w:r>
              <w:rPr>
                <w:rFonts w:hint="eastAsia"/>
                <w:color w:val="auto"/>
                <w:highlight w:val="none"/>
                <w:lang w:val="en-US" w:eastAsia="zh-CN"/>
              </w:rPr>
              <w:t>5分</w:t>
            </w:r>
            <w:r>
              <w:rPr>
                <w:rFonts w:hint="eastAsia"/>
                <w:color w:val="auto"/>
                <w:highlight w:val="none"/>
                <w:lang w:eastAsia="zh-CN"/>
              </w:rPr>
              <w:t>）</w:t>
            </w:r>
          </w:p>
        </w:tc>
        <w:tc>
          <w:tcPr>
            <w:tcW w:w="4609" w:type="dxa"/>
            <w:vAlign w:val="top"/>
          </w:tcPr>
          <w:p>
            <w:pPr>
              <w:rPr>
                <w:rFonts w:hint="eastAsia"/>
                <w:color w:val="auto"/>
                <w:highlight w:val="none"/>
              </w:rPr>
            </w:pPr>
            <w:r>
              <w:rPr>
                <w:rFonts w:hint="eastAsia"/>
                <w:color w:val="auto"/>
                <w:highlight w:val="none"/>
              </w:rPr>
              <w:t>能保障工程安全生产</w:t>
            </w:r>
            <w:r>
              <w:rPr>
                <w:rFonts w:hint="eastAsia"/>
                <w:color w:val="auto"/>
                <w:highlight w:val="none"/>
                <w:lang w:val="en-US" w:eastAsia="zh-CN"/>
              </w:rPr>
              <w:t>5</w:t>
            </w:r>
            <w:r>
              <w:rPr>
                <w:rFonts w:hint="eastAsia"/>
                <w:color w:val="auto"/>
                <w:highlight w:val="none"/>
              </w:rPr>
              <w:t>～</w:t>
            </w:r>
            <w:r>
              <w:rPr>
                <w:rFonts w:hint="eastAsia"/>
                <w:color w:val="auto"/>
                <w:highlight w:val="none"/>
                <w:lang w:val="en-US" w:eastAsia="zh-CN"/>
              </w:rPr>
              <w:t>4</w:t>
            </w:r>
            <w:r>
              <w:rPr>
                <w:rFonts w:hint="eastAsia"/>
                <w:color w:val="auto"/>
                <w:highlight w:val="none"/>
              </w:rPr>
              <w:t>分；基本保障</w:t>
            </w:r>
            <w:r>
              <w:rPr>
                <w:rFonts w:hint="eastAsia"/>
                <w:color w:val="auto"/>
                <w:highlight w:val="none"/>
                <w:lang w:val="en-US" w:eastAsia="zh-CN"/>
              </w:rPr>
              <w:t>3</w:t>
            </w:r>
            <w:r>
              <w:rPr>
                <w:rFonts w:hint="eastAsia"/>
                <w:color w:val="auto"/>
                <w:highlight w:val="none"/>
              </w:rPr>
              <w:t>～</w:t>
            </w:r>
            <w:r>
              <w:rPr>
                <w:rFonts w:hint="eastAsia"/>
                <w:color w:val="auto"/>
                <w:highlight w:val="none"/>
                <w:lang w:val="en-US" w:eastAsia="zh-CN"/>
              </w:rPr>
              <w:t>1</w:t>
            </w:r>
            <w:r>
              <w:rPr>
                <w:rFonts w:hint="eastAsia"/>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0" w:type="dxa"/>
            <w:gridSpan w:val="2"/>
            <w:vMerge w:val="continue"/>
            <w:vAlign w:val="top"/>
          </w:tcPr>
          <w:p>
            <w:pPr>
              <w:rPr>
                <w:rFonts w:hint="eastAsia"/>
                <w:color w:val="auto"/>
                <w:highlight w:val="none"/>
              </w:rPr>
            </w:pPr>
          </w:p>
        </w:tc>
        <w:tc>
          <w:tcPr>
            <w:tcW w:w="1080" w:type="dxa"/>
            <w:vMerge w:val="continue"/>
            <w:vAlign w:val="top"/>
          </w:tcPr>
          <w:p>
            <w:pPr>
              <w:rPr>
                <w:rFonts w:hint="eastAsia"/>
                <w:color w:val="auto"/>
                <w:highlight w:val="none"/>
              </w:rPr>
            </w:pPr>
          </w:p>
        </w:tc>
        <w:tc>
          <w:tcPr>
            <w:tcW w:w="3055" w:type="dxa"/>
            <w:gridSpan w:val="2"/>
            <w:vAlign w:val="top"/>
          </w:tcPr>
          <w:p>
            <w:pPr>
              <w:rPr>
                <w:rFonts w:hint="eastAsia"/>
                <w:color w:val="auto"/>
                <w:highlight w:val="none"/>
              </w:rPr>
            </w:pPr>
            <w:r>
              <w:rPr>
                <w:rFonts w:hint="eastAsia"/>
                <w:color w:val="auto"/>
                <w:highlight w:val="none"/>
                <w:lang w:val="en-US" w:eastAsia="zh-CN"/>
              </w:rPr>
              <w:t>4、</w:t>
            </w:r>
            <w:r>
              <w:rPr>
                <w:rFonts w:hint="eastAsia"/>
                <w:color w:val="auto"/>
                <w:highlight w:val="none"/>
              </w:rPr>
              <w:t>环境保护管理体系与措施</w:t>
            </w:r>
          </w:p>
          <w:p>
            <w:pPr>
              <w:rPr>
                <w:rFonts w:hint="eastAsia"/>
                <w:color w:val="auto"/>
                <w:highlight w:val="none"/>
              </w:rPr>
            </w:pPr>
            <w:r>
              <w:rPr>
                <w:rFonts w:hint="eastAsia"/>
                <w:color w:val="auto"/>
                <w:highlight w:val="none"/>
                <w:lang w:eastAsia="zh-CN"/>
              </w:rPr>
              <w:t>（</w:t>
            </w:r>
            <w:r>
              <w:rPr>
                <w:rFonts w:hint="eastAsia"/>
                <w:color w:val="auto"/>
                <w:highlight w:val="none"/>
                <w:lang w:val="en-US" w:eastAsia="zh-CN"/>
              </w:rPr>
              <w:t>5分</w:t>
            </w:r>
            <w:r>
              <w:rPr>
                <w:rFonts w:hint="eastAsia"/>
                <w:color w:val="auto"/>
                <w:highlight w:val="none"/>
                <w:lang w:eastAsia="zh-CN"/>
              </w:rPr>
              <w:t>）</w:t>
            </w:r>
          </w:p>
        </w:tc>
        <w:tc>
          <w:tcPr>
            <w:tcW w:w="4609" w:type="dxa"/>
            <w:vAlign w:val="top"/>
          </w:tcPr>
          <w:p>
            <w:pPr>
              <w:rPr>
                <w:rFonts w:hint="eastAsia"/>
                <w:color w:val="auto"/>
                <w:highlight w:val="none"/>
              </w:rPr>
            </w:pPr>
            <w:r>
              <w:rPr>
                <w:rFonts w:hint="eastAsia"/>
                <w:color w:val="auto"/>
                <w:highlight w:val="none"/>
              </w:rPr>
              <w:t>完整、到位</w:t>
            </w:r>
            <w:r>
              <w:rPr>
                <w:rFonts w:hint="eastAsia"/>
                <w:color w:val="auto"/>
                <w:highlight w:val="none"/>
                <w:lang w:val="en-US" w:eastAsia="zh-CN"/>
              </w:rPr>
              <w:t>5</w:t>
            </w:r>
            <w:r>
              <w:rPr>
                <w:rFonts w:hint="eastAsia"/>
                <w:color w:val="auto"/>
                <w:highlight w:val="none"/>
              </w:rPr>
              <w:t>～</w:t>
            </w:r>
            <w:r>
              <w:rPr>
                <w:rFonts w:hint="eastAsia"/>
                <w:color w:val="auto"/>
                <w:highlight w:val="none"/>
                <w:lang w:val="en-US" w:eastAsia="zh-CN"/>
              </w:rPr>
              <w:t>4</w:t>
            </w:r>
            <w:r>
              <w:rPr>
                <w:rFonts w:hint="eastAsia"/>
                <w:color w:val="auto"/>
                <w:highlight w:val="none"/>
              </w:rPr>
              <w:t>分；基本到位</w:t>
            </w:r>
            <w:r>
              <w:rPr>
                <w:rFonts w:hint="eastAsia"/>
                <w:color w:val="auto"/>
                <w:highlight w:val="none"/>
                <w:lang w:val="en-US" w:eastAsia="zh-CN"/>
              </w:rPr>
              <w:t>3</w:t>
            </w:r>
            <w:r>
              <w:rPr>
                <w:rFonts w:hint="eastAsia"/>
                <w:color w:val="auto"/>
                <w:highlight w:val="none"/>
              </w:rPr>
              <w:t>～</w:t>
            </w:r>
            <w:r>
              <w:rPr>
                <w:rFonts w:hint="eastAsia"/>
                <w:color w:val="auto"/>
                <w:highlight w:val="none"/>
                <w:lang w:val="en-US" w:eastAsia="zh-CN"/>
              </w:rPr>
              <w:t>1</w:t>
            </w:r>
            <w:r>
              <w:rPr>
                <w:rFonts w:hint="eastAsia"/>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0" w:type="dxa"/>
            <w:gridSpan w:val="2"/>
            <w:vMerge w:val="continue"/>
            <w:vAlign w:val="top"/>
          </w:tcPr>
          <w:p>
            <w:pPr>
              <w:rPr>
                <w:rFonts w:hint="eastAsia"/>
                <w:color w:val="auto"/>
                <w:highlight w:val="none"/>
              </w:rPr>
            </w:pPr>
          </w:p>
        </w:tc>
        <w:tc>
          <w:tcPr>
            <w:tcW w:w="1080" w:type="dxa"/>
            <w:vMerge w:val="continue"/>
            <w:vAlign w:val="top"/>
          </w:tcPr>
          <w:p>
            <w:pPr>
              <w:rPr>
                <w:rFonts w:hint="eastAsia"/>
                <w:color w:val="auto"/>
                <w:highlight w:val="none"/>
              </w:rPr>
            </w:pPr>
          </w:p>
        </w:tc>
        <w:tc>
          <w:tcPr>
            <w:tcW w:w="3055" w:type="dxa"/>
            <w:gridSpan w:val="2"/>
            <w:vAlign w:val="top"/>
          </w:tcPr>
          <w:p>
            <w:pPr>
              <w:rPr>
                <w:rFonts w:hint="eastAsia"/>
                <w:color w:val="auto"/>
                <w:highlight w:val="none"/>
              </w:rPr>
            </w:pPr>
            <w:r>
              <w:rPr>
                <w:rFonts w:hint="eastAsia"/>
                <w:color w:val="auto"/>
                <w:highlight w:val="none"/>
              </w:rPr>
              <w:t>5、建筑节能措施</w:t>
            </w:r>
            <w:r>
              <w:rPr>
                <w:rFonts w:hint="eastAsia"/>
                <w:color w:val="auto"/>
                <w:highlight w:val="none"/>
                <w:lang w:eastAsia="zh-CN"/>
              </w:rPr>
              <w:t>（</w:t>
            </w:r>
            <w:r>
              <w:rPr>
                <w:rFonts w:hint="eastAsia"/>
                <w:color w:val="auto"/>
                <w:highlight w:val="none"/>
                <w:lang w:val="en-US" w:eastAsia="zh-CN"/>
              </w:rPr>
              <w:t>5分</w:t>
            </w:r>
            <w:r>
              <w:rPr>
                <w:rFonts w:hint="eastAsia"/>
                <w:color w:val="auto"/>
                <w:highlight w:val="none"/>
                <w:lang w:eastAsia="zh-CN"/>
              </w:rPr>
              <w:t>）</w:t>
            </w:r>
          </w:p>
        </w:tc>
        <w:tc>
          <w:tcPr>
            <w:tcW w:w="4609" w:type="dxa"/>
            <w:vAlign w:val="top"/>
          </w:tcPr>
          <w:p>
            <w:pPr>
              <w:rPr>
                <w:rFonts w:hint="eastAsia"/>
                <w:color w:val="auto"/>
                <w:highlight w:val="none"/>
              </w:rPr>
            </w:pPr>
            <w:r>
              <w:rPr>
                <w:rFonts w:hint="eastAsia"/>
                <w:color w:val="auto"/>
                <w:highlight w:val="none"/>
              </w:rPr>
              <w:t>方法科学</w:t>
            </w:r>
            <w:r>
              <w:rPr>
                <w:rFonts w:hint="eastAsia"/>
                <w:color w:val="auto"/>
                <w:highlight w:val="none"/>
                <w:lang w:val="en-US" w:eastAsia="zh-CN"/>
              </w:rPr>
              <w:t>5</w:t>
            </w:r>
            <w:r>
              <w:rPr>
                <w:rFonts w:hint="eastAsia"/>
                <w:color w:val="auto"/>
                <w:highlight w:val="none"/>
              </w:rPr>
              <w:t>～</w:t>
            </w:r>
            <w:r>
              <w:rPr>
                <w:rFonts w:hint="eastAsia"/>
                <w:color w:val="auto"/>
                <w:highlight w:val="none"/>
                <w:lang w:val="en-US" w:eastAsia="zh-CN"/>
              </w:rPr>
              <w:t>4</w:t>
            </w:r>
            <w:r>
              <w:rPr>
                <w:rFonts w:hint="eastAsia"/>
                <w:color w:val="auto"/>
                <w:highlight w:val="none"/>
              </w:rPr>
              <w:t>分；基本可行</w:t>
            </w:r>
            <w:r>
              <w:rPr>
                <w:rFonts w:hint="eastAsia"/>
                <w:color w:val="auto"/>
                <w:highlight w:val="none"/>
                <w:lang w:val="en-US" w:eastAsia="zh-CN"/>
              </w:rPr>
              <w:t>3</w:t>
            </w:r>
            <w:r>
              <w:rPr>
                <w:rFonts w:hint="eastAsia"/>
                <w:color w:val="auto"/>
                <w:highlight w:val="none"/>
              </w:rPr>
              <w:t>～</w:t>
            </w:r>
            <w:r>
              <w:rPr>
                <w:rFonts w:hint="eastAsia"/>
                <w:color w:val="auto"/>
                <w:highlight w:val="none"/>
                <w:lang w:val="en-US" w:eastAsia="zh-CN"/>
              </w:rPr>
              <w:t>1</w:t>
            </w:r>
            <w:r>
              <w:rPr>
                <w:rFonts w:hint="eastAsia"/>
                <w:color w:val="auto"/>
                <w:highlight w:val="none"/>
              </w:rPr>
              <w:t>分</w:t>
            </w:r>
            <w:r>
              <w:rPr>
                <w:rFonts w:hint="eastAsia"/>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720" w:type="dxa"/>
            <w:gridSpan w:val="2"/>
            <w:vMerge w:val="continue"/>
            <w:vAlign w:val="top"/>
          </w:tcPr>
          <w:p>
            <w:pPr>
              <w:rPr>
                <w:rFonts w:hint="eastAsia"/>
                <w:color w:val="auto"/>
                <w:highlight w:val="none"/>
              </w:rPr>
            </w:pPr>
          </w:p>
        </w:tc>
        <w:tc>
          <w:tcPr>
            <w:tcW w:w="1080" w:type="dxa"/>
            <w:vMerge w:val="continue"/>
            <w:vAlign w:val="top"/>
          </w:tcPr>
          <w:p>
            <w:pPr>
              <w:rPr>
                <w:rFonts w:hint="eastAsia"/>
                <w:color w:val="auto"/>
                <w:highlight w:val="none"/>
              </w:rPr>
            </w:pPr>
          </w:p>
        </w:tc>
        <w:tc>
          <w:tcPr>
            <w:tcW w:w="3055" w:type="dxa"/>
            <w:gridSpan w:val="2"/>
            <w:vAlign w:val="top"/>
          </w:tcPr>
          <w:p>
            <w:pPr>
              <w:rPr>
                <w:rFonts w:hint="eastAsia"/>
                <w:color w:val="auto"/>
                <w:highlight w:val="none"/>
              </w:rPr>
            </w:pPr>
            <w:r>
              <w:rPr>
                <w:rFonts w:hint="eastAsia"/>
                <w:color w:val="auto"/>
                <w:highlight w:val="none"/>
                <w:lang w:val="en-US" w:eastAsia="zh-CN"/>
              </w:rPr>
              <w:t>6、</w:t>
            </w:r>
            <w:r>
              <w:rPr>
                <w:rFonts w:hint="eastAsia"/>
                <w:color w:val="auto"/>
                <w:highlight w:val="none"/>
              </w:rPr>
              <w:t>内容完整性和编制水平</w:t>
            </w:r>
          </w:p>
          <w:p>
            <w:pPr>
              <w:rPr>
                <w:rFonts w:hint="eastAsia"/>
                <w:color w:val="auto"/>
                <w:highlight w:val="none"/>
                <w:lang w:val="en-US" w:eastAsia="zh-CN"/>
              </w:rPr>
            </w:pPr>
            <w:r>
              <w:rPr>
                <w:rFonts w:hint="eastAsia"/>
                <w:color w:val="auto"/>
                <w:highlight w:val="none"/>
                <w:lang w:eastAsia="zh-CN"/>
              </w:rPr>
              <w:t>（</w:t>
            </w:r>
            <w:r>
              <w:rPr>
                <w:rFonts w:hint="eastAsia"/>
                <w:color w:val="auto"/>
                <w:highlight w:val="none"/>
                <w:lang w:val="en-US" w:eastAsia="zh-CN"/>
              </w:rPr>
              <w:t>5分</w:t>
            </w:r>
            <w:r>
              <w:rPr>
                <w:rFonts w:hint="eastAsia"/>
                <w:color w:val="auto"/>
                <w:highlight w:val="none"/>
                <w:lang w:eastAsia="zh-CN"/>
              </w:rPr>
              <w:t>）</w:t>
            </w:r>
          </w:p>
        </w:tc>
        <w:tc>
          <w:tcPr>
            <w:tcW w:w="4609" w:type="dxa"/>
            <w:vAlign w:val="top"/>
          </w:tcPr>
          <w:p>
            <w:pPr>
              <w:rPr>
                <w:rFonts w:hint="eastAsia"/>
                <w:color w:val="auto"/>
                <w:highlight w:val="none"/>
                <w:lang w:eastAsia="zh-CN"/>
              </w:rPr>
            </w:pPr>
            <w:r>
              <w:rPr>
                <w:rFonts w:hint="eastAsia"/>
                <w:color w:val="auto"/>
                <w:highlight w:val="none"/>
              </w:rPr>
              <w:t>能符合招标文件要求的得</w:t>
            </w:r>
            <w:r>
              <w:rPr>
                <w:rFonts w:hint="eastAsia"/>
                <w:color w:val="auto"/>
                <w:highlight w:val="none"/>
                <w:lang w:val="en-US" w:eastAsia="zh-CN"/>
              </w:rPr>
              <w:t>5</w:t>
            </w:r>
            <w:r>
              <w:rPr>
                <w:rFonts w:hint="eastAsia"/>
                <w:color w:val="auto"/>
                <w:highlight w:val="none"/>
              </w:rPr>
              <w:t>～</w:t>
            </w:r>
            <w:r>
              <w:rPr>
                <w:rFonts w:hint="eastAsia"/>
                <w:color w:val="auto"/>
                <w:highlight w:val="none"/>
                <w:lang w:val="en-US" w:eastAsia="zh-CN"/>
              </w:rPr>
              <w:t>4</w:t>
            </w:r>
            <w:r>
              <w:rPr>
                <w:rFonts w:hint="eastAsia"/>
                <w:color w:val="auto"/>
                <w:highlight w:val="none"/>
              </w:rPr>
              <w:t>分；基本符合要求的得</w:t>
            </w:r>
            <w:r>
              <w:rPr>
                <w:rFonts w:hint="eastAsia"/>
                <w:color w:val="auto"/>
                <w:highlight w:val="none"/>
                <w:lang w:val="en-US" w:eastAsia="zh-CN"/>
              </w:rPr>
              <w:t>3</w:t>
            </w:r>
            <w:r>
              <w:rPr>
                <w:rFonts w:hint="eastAsia"/>
                <w:color w:val="auto"/>
                <w:highlight w:val="none"/>
              </w:rPr>
              <w:t>～</w:t>
            </w:r>
            <w:r>
              <w:rPr>
                <w:rFonts w:hint="eastAsia"/>
                <w:color w:val="auto"/>
                <w:highlight w:val="none"/>
                <w:lang w:val="en-US" w:eastAsia="zh-CN"/>
              </w:rPr>
              <w:t>1</w:t>
            </w:r>
            <w:r>
              <w:rPr>
                <w:rFonts w:hint="eastAsia"/>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0" w:type="dxa"/>
            <w:gridSpan w:val="2"/>
            <w:vMerge w:val="continue"/>
            <w:vAlign w:val="top"/>
          </w:tcPr>
          <w:p>
            <w:pPr>
              <w:rPr>
                <w:rFonts w:hint="eastAsia"/>
                <w:color w:val="auto"/>
                <w:highlight w:val="none"/>
              </w:rPr>
            </w:pPr>
          </w:p>
        </w:tc>
        <w:tc>
          <w:tcPr>
            <w:tcW w:w="1080" w:type="dxa"/>
            <w:vMerge w:val="continue"/>
            <w:vAlign w:val="top"/>
          </w:tcPr>
          <w:p>
            <w:pPr>
              <w:rPr>
                <w:rFonts w:hint="eastAsia"/>
                <w:color w:val="auto"/>
                <w:highlight w:val="none"/>
              </w:rPr>
            </w:pPr>
          </w:p>
        </w:tc>
        <w:tc>
          <w:tcPr>
            <w:tcW w:w="3055" w:type="dxa"/>
            <w:gridSpan w:val="2"/>
            <w:vAlign w:val="top"/>
          </w:tcPr>
          <w:p>
            <w:pPr>
              <w:rPr>
                <w:rFonts w:hint="eastAsia"/>
                <w:color w:val="auto"/>
                <w:highlight w:val="none"/>
                <w:lang w:val="en-US" w:eastAsia="zh-CN"/>
              </w:rPr>
            </w:pPr>
            <w:r>
              <w:rPr>
                <w:rFonts w:hint="eastAsia"/>
                <w:color w:val="auto"/>
                <w:highlight w:val="none"/>
                <w:lang w:val="en-US" w:eastAsia="zh-CN"/>
              </w:rPr>
              <w:t>7</w:t>
            </w:r>
            <w:r>
              <w:rPr>
                <w:rFonts w:hint="eastAsia"/>
                <w:color w:val="auto"/>
                <w:highlight w:val="none"/>
                <w:lang w:eastAsia="zh-CN"/>
              </w:rPr>
              <w:t>、</w:t>
            </w:r>
            <w:r>
              <w:rPr>
                <w:rFonts w:hint="eastAsia"/>
                <w:color w:val="auto"/>
                <w:highlight w:val="none"/>
              </w:rPr>
              <w:t>其他主要人员</w:t>
            </w:r>
            <w:r>
              <w:rPr>
                <w:rFonts w:hint="eastAsia"/>
                <w:color w:val="auto"/>
                <w:highlight w:val="none"/>
                <w:lang w:eastAsia="zh-CN"/>
              </w:rPr>
              <w:t>（</w:t>
            </w:r>
            <w:r>
              <w:rPr>
                <w:rFonts w:hint="eastAsia"/>
                <w:color w:val="auto"/>
                <w:highlight w:val="none"/>
                <w:lang w:val="en-US" w:eastAsia="zh-CN"/>
              </w:rPr>
              <w:t>10分</w:t>
            </w:r>
            <w:r>
              <w:rPr>
                <w:rFonts w:hint="eastAsia"/>
                <w:color w:val="auto"/>
                <w:highlight w:val="none"/>
                <w:lang w:eastAsia="zh-CN"/>
              </w:rPr>
              <w:t>）</w:t>
            </w:r>
          </w:p>
        </w:tc>
        <w:tc>
          <w:tcPr>
            <w:tcW w:w="4609" w:type="dxa"/>
            <w:vAlign w:val="top"/>
          </w:tcPr>
          <w:p>
            <w:pPr>
              <w:rPr>
                <w:rFonts w:hint="eastAsia"/>
                <w:color w:val="auto"/>
                <w:highlight w:val="none"/>
                <w:lang w:eastAsia="zh-CN"/>
              </w:rPr>
            </w:pPr>
            <w:r>
              <w:rPr>
                <w:rFonts w:hint="eastAsia"/>
                <w:color w:val="auto"/>
                <w:highlight w:val="none"/>
              </w:rPr>
              <w:t>五大员证件齐全、与投标文件一致且符合要求的得10分；少一证或不符合要求的扣2分，扣完为止</w:t>
            </w:r>
            <w:r>
              <w:rPr>
                <w:rFonts w:hint="eastAsia"/>
                <w:color w:val="auto"/>
                <w:highlight w:val="none"/>
                <w:lang w:eastAsia="zh-CN"/>
              </w:rPr>
              <w:t>。（须</w:t>
            </w:r>
            <w:r>
              <w:rPr>
                <w:rFonts w:hint="eastAsia"/>
                <w:color w:val="auto"/>
                <w:highlight w:val="none"/>
              </w:rPr>
              <w:t>提供</w:t>
            </w:r>
            <w:r>
              <w:rPr>
                <w:rFonts w:hint="eastAsia"/>
                <w:color w:val="auto"/>
                <w:highlight w:val="none"/>
                <w:lang w:eastAsia="zh-CN"/>
              </w:rPr>
              <w:t>证件</w:t>
            </w:r>
            <w:r>
              <w:rPr>
                <w:rFonts w:hint="eastAsia"/>
                <w:color w:val="auto"/>
                <w:highlight w:val="none"/>
              </w:rPr>
              <w:t>原件</w:t>
            </w:r>
            <w:r>
              <w:rPr>
                <w:rFonts w:hint="eastAsia"/>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0" w:type="dxa"/>
            <w:gridSpan w:val="2"/>
            <w:vMerge w:val="continue"/>
            <w:vAlign w:val="top"/>
          </w:tcPr>
          <w:p>
            <w:pPr>
              <w:rPr>
                <w:rFonts w:hint="eastAsia"/>
                <w:color w:val="auto"/>
                <w:highlight w:val="none"/>
              </w:rPr>
            </w:pPr>
          </w:p>
        </w:tc>
        <w:tc>
          <w:tcPr>
            <w:tcW w:w="1080" w:type="dxa"/>
            <w:vMerge w:val="continue"/>
            <w:vAlign w:val="top"/>
          </w:tcPr>
          <w:p>
            <w:pPr>
              <w:rPr>
                <w:rFonts w:hint="eastAsia"/>
                <w:color w:val="auto"/>
                <w:highlight w:val="none"/>
              </w:rPr>
            </w:pPr>
          </w:p>
        </w:tc>
        <w:tc>
          <w:tcPr>
            <w:tcW w:w="3055" w:type="dxa"/>
            <w:gridSpan w:val="2"/>
            <w:vAlign w:val="top"/>
          </w:tcPr>
          <w:p>
            <w:pPr>
              <w:rPr>
                <w:rFonts w:hint="eastAsia"/>
                <w:color w:val="auto"/>
                <w:highlight w:val="none"/>
                <w:lang w:val="en-US" w:eastAsia="zh-CN"/>
              </w:rPr>
            </w:pPr>
            <w:r>
              <w:rPr>
                <w:rFonts w:hint="eastAsia"/>
                <w:color w:val="auto"/>
                <w:highlight w:val="none"/>
                <w:lang w:val="en-US" w:eastAsia="zh-CN"/>
              </w:rPr>
              <w:t>8、投标人业绩（20分）</w:t>
            </w:r>
          </w:p>
        </w:tc>
        <w:tc>
          <w:tcPr>
            <w:tcW w:w="4609" w:type="dxa"/>
            <w:vAlign w:val="top"/>
          </w:tcPr>
          <w:p>
            <w:pPr>
              <w:rPr>
                <w:rFonts w:hint="eastAsia"/>
                <w:color w:val="auto"/>
                <w:highlight w:val="none"/>
                <w:lang w:val="en-US" w:eastAsia="zh-CN"/>
              </w:rPr>
            </w:pPr>
            <w:r>
              <w:rPr>
                <w:rFonts w:hint="eastAsia"/>
                <w:color w:val="auto"/>
                <w:highlight w:val="none"/>
                <w:lang w:eastAsia="zh-CN"/>
              </w:rPr>
              <w:t>近三年内（</w:t>
            </w:r>
            <w:r>
              <w:rPr>
                <w:rFonts w:hint="eastAsia"/>
                <w:color w:val="auto"/>
                <w:highlight w:val="none"/>
                <w:lang w:val="en-US" w:eastAsia="zh-CN"/>
              </w:rPr>
              <w:t>2016年12月31日—2019年12月31日</w:t>
            </w:r>
            <w:r>
              <w:rPr>
                <w:rFonts w:hint="eastAsia"/>
                <w:color w:val="auto"/>
                <w:highlight w:val="none"/>
                <w:lang w:eastAsia="zh-CN"/>
              </w:rPr>
              <w:t>）中标且竣工的业绩：有单项合同额在</w:t>
            </w:r>
            <w:r>
              <w:rPr>
                <w:rFonts w:hint="eastAsia"/>
                <w:color w:val="auto"/>
                <w:highlight w:val="none"/>
                <w:lang w:val="en-US" w:eastAsia="zh-CN"/>
              </w:rPr>
              <w:t>3000万元及以上建筑工程的得20分；有</w:t>
            </w:r>
            <w:r>
              <w:rPr>
                <w:rFonts w:hint="eastAsia"/>
                <w:color w:val="auto"/>
                <w:highlight w:val="none"/>
                <w:lang w:eastAsia="zh-CN"/>
              </w:rPr>
              <w:t>单项合同额在</w:t>
            </w:r>
            <w:r>
              <w:rPr>
                <w:rFonts w:hint="eastAsia"/>
                <w:color w:val="auto"/>
                <w:highlight w:val="none"/>
                <w:lang w:val="en-US" w:eastAsia="zh-CN"/>
              </w:rPr>
              <w:t>2000万元（含）—3000万元建筑工程的得10分；有</w:t>
            </w:r>
            <w:r>
              <w:rPr>
                <w:rFonts w:hint="eastAsia"/>
                <w:color w:val="auto"/>
                <w:highlight w:val="none"/>
                <w:lang w:eastAsia="zh-CN"/>
              </w:rPr>
              <w:t>单项合同额在</w:t>
            </w:r>
            <w:r>
              <w:rPr>
                <w:rFonts w:hint="eastAsia"/>
                <w:color w:val="auto"/>
                <w:highlight w:val="none"/>
                <w:lang w:val="en-US" w:eastAsia="zh-CN"/>
              </w:rPr>
              <w:t>1000万元（含）—2000万元建筑工程的得5分。同一投标人提供多个业绩的，按最高业绩计算得分。</w:t>
            </w:r>
          </w:p>
          <w:p>
            <w:pPr>
              <w:rPr>
                <w:rFonts w:hint="eastAsia"/>
                <w:color w:val="auto"/>
                <w:highlight w:val="none"/>
                <w:lang w:eastAsia="zh-CN"/>
              </w:rPr>
            </w:pPr>
            <w:r>
              <w:rPr>
                <w:rFonts w:hint="eastAsia"/>
                <w:color w:val="auto"/>
                <w:highlight w:val="none"/>
                <w:lang w:val="en-US" w:eastAsia="zh-CN"/>
              </w:rPr>
              <w:t>（须提供中标网页公示截图加盖公章，中标通知书、施工合同、竣工验收报告原件）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0" w:type="dxa"/>
            <w:gridSpan w:val="2"/>
            <w:vMerge w:val="continue"/>
            <w:vAlign w:val="top"/>
          </w:tcPr>
          <w:p>
            <w:pPr>
              <w:rPr>
                <w:rFonts w:hint="eastAsia"/>
                <w:color w:val="auto"/>
                <w:highlight w:val="none"/>
              </w:rPr>
            </w:pPr>
          </w:p>
        </w:tc>
        <w:tc>
          <w:tcPr>
            <w:tcW w:w="1080" w:type="dxa"/>
            <w:vMerge w:val="continue"/>
            <w:vAlign w:val="top"/>
          </w:tcPr>
          <w:p>
            <w:pPr>
              <w:rPr>
                <w:rFonts w:hint="eastAsia"/>
                <w:color w:val="auto"/>
                <w:highlight w:val="none"/>
              </w:rPr>
            </w:pPr>
          </w:p>
        </w:tc>
        <w:tc>
          <w:tcPr>
            <w:tcW w:w="3055" w:type="dxa"/>
            <w:gridSpan w:val="2"/>
            <w:vMerge w:val="restart"/>
            <w:vAlign w:val="top"/>
          </w:tcPr>
          <w:p>
            <w:pPr>
              <w:rPr>
                <w:rFonts w:hint="eastAsia"/>
                <w:color w:val="auto"/>
                <w:highlight w:val="none"/>
                <w:lang w:val="en-US" w:eastAsia="zh-CN"/>
              </w:rPr>
            </w:pPr>
            <w:r>
              <w:rPr>
                <w:rFonts w:hint="eastAsia"/>
                <w:color w:val="auto"/>
                <w:highlight w:val="none"/>
                <w:lang w:val="en-US" w:eastAsia="zh-CN"/>
              </w:rPr>
              <w:t>9、</w:t>
            </w:r>
            <w:r>
              <w:rPr>
                <w:rFonts w:hint="eastAsia"/>
                <w:color w:val="auto"/>
                <w:highlight w:val="none"/>
              </w:rPr>
              <w:t>项目</w:t>
            </w:r>
            <w:r>
              <w:rPr>
                <w:rFonts w:hint="eastAsia"/>
                <w:color w:val="auto"/>
                <w:highlight w:val="none"/>
                <w:lang w:eastAsia="zh-CN"/>
              </w:rPr>
              <w:t>管理（</w:t>
            </w:r>
            <w:r>
              <w:rPr>
                <w:rFonts w:hint="eastAsia"/>
                <w:color w:val="auto"/>
                <w:highlight w:val="none"/>
                <w:lang w:val="en-US" w:eastAsia="zh-CN"/>
              </w:rPr>
              <w:t>20分</w:t>
            </w:r>
            <w:r>
              <w:rPr>
                <w:rFonts w:hint="eastAsia"/>
                <w:color w:val="auto"/>
                <w:highlight w:val="none"/>
                <w:lang w:eastAsia="zh-CN"/>
              </w:rPr>
              <w:t>）</w:t>
            </w:r>
          </w:p>
        </w:tc>
        <w:tc>
          <w:tcPr>
            <w:tcW w:w="4609" w:type="dxa"/>
            <w:vAlign w:val="top"/>
          </w:tcPr>
          <w:p>
            <w:pPr>
              <w:rPr>
                <w:rFonts w:hint="eastAsia"/>
                <w:color w:val="auto"/>
                <w:highlight w:val="none"/>
                <w:lang w:eastAsia="zh-CN"/>
              </w:rPr>
            </w:pPr>
            <w:r>
              <w:rPr>
                <w:rFonts w:hint="eastAsia"/>
                <w:color w:val="auto"/>
                <w:highlight w:val="none"/>
                <w:lang w:eastAsia="zh-CN"/>
              </w:rPr>
              <w:t>工程奖项：投标人建设的建筑工程获得有住建部颁发奖项的得</w:t>
            </w:r>
            <w:r>
              <w:rPr>
                <w:rFonts w:hint="eastAsia"/>
                <w:color w:val="auto"/>
                <w:highlight w:val="none"/>
                <w:lang w:val="en-US" w:eastAsia="zh-CN"/>
              </w:rPr>
              <w:t>10分，近五年内</w:t>
            </w:r>
            <w:r>
              <w:rPr>
                <w:rFonts w:hint="eastAsia"/>
                <w:color w:val="auto"/>
                <w:highlight w:val="none"/>
                <w:lang w:eastAsia="zh-CN"/>
              </w:rPr>
              <w:t>（</w:t>
            </w:r>
            <w:r>
              <w:rPr>
                <w:rFonts w:hint="eastAsia"/>
                <w:color w:val="auto"/>
                <w:highlight w:val="none"/>
                <w:lang w:val="en-US" w:eastAsia="zh-CN"/>
              </w:rPr>
              <w:t>2014年12月31日—2019年12月31日</w:t>
            </w:r>
            <w:r>
              <w:rPr>
                <w:rFonts w:hint="eastAsia"/>
                <w:color w:val="auto"/>
                <w:highlight w:val="none"/>
                <w:lang w:eastAsia="zh-CN"/>
              </w:rPr>
              <w:t>）</w:t>
            </w:r>
            <w:r>
              <w:rPr>
                <w:rFonts w:hint="eastAsia"/>
                <w:color w:val="auto"/>
                <w:highlight w:val="none"/>
                <w:lang w:val="en-US" w:eastAsia="zh-CN"/>
              </w:rPr>
              <w:t>获得有省级住建部门颁发奖项的得5分。同一建筑工程分别获得住建部、省级住建部门颁发奖项的，按住建部颁发奖项得分。（须提供获奖证书原件）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720" w:type="dxa"/>
            <w:gridSpan w:val="2"/>
            <w:vMerge w:val="continue"/>
            <w:vAlign w:val="top"/>
          </w:tcPr>
          <w:p>
            <w:pPr>
              <w:rPr>
                <w:rFonts w:hint="eastAsia"/>
                <w:color w:val="auto"/>
                <w:highlight w:val="none"/>
              </w:rPr>
            </w:pPr>
          </w:p>
        </w:tc>
        <w:tc>
          <w:tcPr>
            <w:tcW w:w="1080" w:type="dxa"/>
            <w:vMerge w:val="continue"/>
            <w:vAlign w:val="top"/>
          </w:tcPr>
          <w:p>
            <w:pPr>
              <w:rPr>
                <w:rFonts w:hint="eastAsia"/>
                <w:color w:val="auto"/>
                <w:highlight w:val="none"/>
              </w:rPr>
            </w:pPr>
          </w:p>
        </w:tc>
        <w:tc>
          <w:tcPr>
            <w:tcW w:w="3055" w:type="dxa"/>
            <w:gridSpan w:val="2"/>
            <w:vMerge w:val="continue"/>
            <w:vAlign w:val="top"/>
          </w:tcPr>
          <w:p>
            <w:pPr>
              <w:rPr>
                <w:rFonts w:hint="eastAsia"/>
                <w:color w:val="auto"/>
                <w:highlight w:val="none"/>
              </w:rPr>
            </w:pPr>
          </w:p>
        </w:tc>
        <w:tc>
          <w:tcPr>
            <w:tcW w:w="4609" w:type="dxa"/>
            <w:vAlign w:val="top"/>
          </w:tcPr>
          <w:p>
            <w:pPr>
              <w:rPr>
                <w:rFonts w:hint="eastAsia"/>
                <w:color w:val="auto"/>
                <w:highlight w:val="none"/>
              </w:rPr>
            </w:pPr>
            <w:r>
              <w:rPr>
                <w:rFonts w:hint="eastAsia"/>
                <w:color w:val="auto"/>
                <w:highlight w:val="none"/>
                <w:lang w:eastAsia="zh-CN"/>
              </w:rPr>
              <w:t>项目经理：拟派项目经理为一级建造师的得</w:t>
            </w:r>
            <w:r>
              <w:rPr>
                <w:rFonts w:hint="eastAsia"/>
                <w:color w:val="auto"/>
                <w:highlight w:val="none"/>
                <w:lang w:val="en-US" w:eastAsia="zh-CN"/>
              </w:rPr>
              <w:t>10分，二级建造师的得5分。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720" w:type="dxa"/>
            <w:gridSpan w:val="2"/>
            <w:vAlign w:val="top"/>
          </w:tcPr>
          <w:p>
            <w:pPr>
              <w:rPr>
                <w:rFonts w:hint="eastAsia"/>
                <w:color w:val="auto"/>
                <w:highlight w:val="none"/>
              </w:rPr>
            </w:pPr>
          </w:p>
        </w:tc>
        <w:tc>
          <w:tcPr>
            <w:tcW w:w="1080" w:type="dxa"/>
            <w:vMerge w:val="continue"/>
            <w:vAlign w:val="top"/>
          </w:tcPr>
          <w:p>
            <w:pPr>
              <w:rPr>
                <w:rFonts w:hint="eastAsia"/>
                <w:color w:val="auto"/>
                <w:highlight w:val="none"/>
              </w:rPr>
            </w:pPr>
          </w:p>
        </w:tc>
        <w:tc>
          <w:tcPr>
            <w:tcW w:w="3055" w:type="dxa"/>
            <w:gridSpan w:val="2"/>
            <w:vAlign w:val="top"/>
          </w:tcPr>
          <w:p>
            <w:pPr>
              <w:rPr>
                <w:rFonts w:hint="eastAsia"/>
                <w:color w:val="auto"/>
                <w:highlight w:val="none"/>
              </w:rPr>
            </w:pPr>
            <w:r>
              <w:rPr>
                <w:rFonts w:hint="eastAsia"/>
                <w:color w:val="auto"/>
                <w:highlight w:val="none"/>
                <w:lang w:val="en-US" w:eastAsia="zh-CN"/>
              </w:rPr>
              <w:t>10、投标人受处罚情况（-60分）</w:t>
            </w:r>
          </w:p>
        </w:tc>
        <w:tc>
          <w:tcPr>
            <w:tcW w:w="4609" w:type="dxa"/>
            <w:vAlign w:val="top"/>
          </w:tcPr>
          <w:p>
            <w:pPr>
              <w:rPr>
                <w:rFonts w:hint="eastAsia"/>
                <w:color w:val="auto"/>
                <w:highlight w:val="none"/>
                <w:lang w:val="en-US" w:eastAsia="zh-CN"/>
              </w:rPr>
            </w:pPr>
            <w:r>
              <w:rPr>
                <w:rFonts w:hint="eastAsia"/>
                <w:color w:val="auto"/>
                <w:highlight w:val="none"/>
                <w:lang w:val="en-US" w:eastAsia="zh-CN"/>
              </w:rPr>
              <w:t>近三年内</w:t>
            </w:r>
            <w:r>
              <w:rPr>
                <w:rFonts w:hint="eastAsia"/>
                <w:color w:val="auto"/>
                <w:highlight w:val="none"/>
                <w:lang w:eastAsia="zh-CN"/>
              </w:rPr>
              <w:t>（</w:t>
            </w:r>
            <w:r>
              <w:rPr>
                <w:rFonts w:hint="eastAsia"/>
                <w:color w:val="auto"/>
                <w:highlight w:val="none"/>
                <w:lang w:val="en-US" w:eastAsia="zh-CN"/>
              </w:rPr>
              <w:t>2016年12月31日—2019年12月31日</w:t>
            </w:r>
            <w:r>
              <w:rPr>
                <w:rFonts w:hint="eastAsia"/>
                <w:color w:val="auto"/>
                <w:highlight w:val="none"/>
                <w:lang w:eastAsia="zh-CN"/>
              </w:rPr>
              <w:t>）</w:t>
            </w:r>
            <w:r>
              <w:rPr>
                <w:rFonts w:hint="eastAsia"/>
                <w:color w:val="auto"/>
                <w:highlight w:val="none"/>
                <w:lang w:val="en-US" w:eastAsia="zh-CN"/>
              </w:rPr>
              <w:t>被法院列入过失信被执行人的扣20分；近三年内</w:t>
            </w:r>
            <w:r>
              <w:rPr>
                <w:rFonts w:hint="eastAsia"/>
                <w:color w:val="auto"/>
                <w:highlight w:val="none"/>
                <w:lang w:eastAsia="zh-CN"/>
              </w:rPr>
              <w:t>（</w:t>
            </w:r>
            <w:r>
              <w:rPr>
                <w:rFonts w:hint="eastAsia"/>
                <w:color w:val="auto"/>
                <w:highlight w:val="none"/>
                <w:lang w:val="en-US" w:eastAsia="zh-CN"/>
              </w:rPr>
              <w:t>2016年12月31日—2019年12月31日</w:t>
            </w:r>
            <w:r>
              <w:rPr>
                <w:rFonts w:hint="eastAsia"/>
                <w:color w:val="auto"/>
                <w:highlight w:val="none"/>
                <w:lang w:eastAsia="zh-CN"/>
              </w:rPr>
              <w:t>）</w:t>
            </w:r>
            <w:r>
              <w:rPr>
                <w:rFonts w:hint="eastAsia"/>
                <w:color w:val="auto"/>
                <w:highlight w:val="none"/>
                <w:lang w:val="en-US" w:eastAsia="zh-CN"/>
              </w:rPr>
              <w:t>因拖欠农民工工资被行政主管部门进行过行政处罚的扣20分；近三年内</w:t>
            </w:r>
            <w:r>
              <w:rPr>
                <w:rFonts w:hint="eastAsia"/>
                <w:color w:val="auto"/>
                <w:highlight w:val="none"/>
                <w:lang w:eastAsia="zh-CN"/>
              </w:rPr>
              <w:t>（</w:t>
            </w:r>
            <w:r>
              <w:rPr>
                <w:rFonts w:hint="eastAsia"/>
                <w:color w:val="auto"/>
                <w:highlight w:val="none"/>
                <w:lang w:val="en-US" w:eastAsia="zh-CN"/>
              </w:rPr>
              <w:t>2016年12月31日—2019年12月31日</w:t>
            </w:r>
            <w:r>
              <w:rPr>
                <w:rFonts w:hint="eastAsia"/>
                <w:color w:val="auto"/>
                <w:highlight w:val="none"/>
                <w:lang w:eastAsia="zh-CN"/>
              </w:rPr>
              <w:t>）</w:t>
            </w:r>
            <w:r>
              <w:rPr>
                <w:rFonts w:hint="eastAsia"/>
                <w:color w:val="auto"/>
                <w:highlight w:val="none"/>
                <w:lang w:val="en-US" w:eastAsia="zh-CN"/>
              </w:rPr>
              <w:t>因围标串标被行政主管部门进行过行政处罚的扣20分。</w:t>
            </w:r>
          </w:p>
          <w:p>
            <w:pPr>
              <w:rPr>
                <w:rFonts w:hint="eastAsia"/>
                <w:color w:val="auto"/>
                <w:highlight w:val="none"/>
                <w:lang w:eastAsia="zh-CN"/>
              </w:rPr>
            </w:pPr>
            <w:r>
              <w:rPr>
                <w:rFonts w:hint="eastAsia"/>
                <w:color w:val="auto"/>
                <w:highlight w:val="none"/>
                <w:lang w:val="en-US" w:eastAsia="zh-CN"/>
              </w:rPr>
              <w:t>（具体情况见投标文件中的承诺及情况说明）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trPr>
        <w:tc>
          <w:tcPr>
            <w:tcW w:w="9464" w:type="dxa"/>
            <w:gridSpan w:val="6"/>
            <w:vAlign w:val="top"/>
          </w:tcPr>
          <w:p>
            <w:pPr>
              <w:ind w:firstLine="420" w:firstLineChars="200"/>
              <w:rPr>
                <w:rFonts w:hint="eastAsia"/>
                <w:color w:val="auto"/>
                <w:highlight w:val="none"/>
              </w:rPr>
            </w:pPr>
            <w:r>
              <w:rPr>
                <w:rFonts w:hint="eastAsia"/>
                <w:color w:val="auto"/>
                <w:highlight w:val="none"/>
              </w:rPr>
              <w:t>评委可以根据各投标文件编制的内容是否齐全、适用、符合招标文件要求等，在各分项区间进行打分；以上项目</w:t>
            </w:r>
            <w:r>
              <w:rPr>
                <w:rFonts w:hint="eastAsia"/>
                <w:color w:val="auto"/>
                <w:highlight w:val="none"/>
                <w:lang w:val="en-US" w:eastAsia="zh-CN"/>
              </w:rPr>
              <w:t>1-6项</w:t>
            </w:r>
            <w:r>
              <w:rPr>
                <w:rFonts w:hint="eastAsia"/>
                <w:color w:val="auto"/>
                <w:highlight w:val="none"/>
              </w:rPr>
              <w:t>若有缺项或不能满足施工要求或与该工程要求不相符，该项为0分。</w:t>
            </w:r>
          </w:p>
          <w:p>
            <w:pPr>
              <w:ind w:firstLine="420" w:firstLineChars="200"/>
              <w:rPr>
                <w:rFonts w:hint="eastAsia"/>
                <w:color w:val="auto"/>
                <w:highlight w:val="none"/>
              </w:rPr>
            </w:pPr>
            <w:r>
              <w:rPr>
                <w:rFonts w:hint="eastAsia"/>
                <w:color w:val="auto"/>
                <w:highlight w:val="none"/>
              </w:rPr>
              <w:t>技术</w:t>
            </w:r>
            <w:r>
              <w:rPr>
                <w:rFonts w:hint="eastAsia"/>
                <w:color w:val="auto"/>
                <w:highlight w:val="none"/>
                <w:lang w:eastAsia="zh-CN"/>
              </w:rPr>
              <w:t>部分</w:t>
            </w:r>
            <w:r>
              <w:rPr>
                <w:rFonts w:hint="eastAsia"/>
                <w:color w:val="auto"/>
                <w:highlight w:val="none"/>
              </w:rPr>
              <w:t>评审得分：评标委员会由7人以下组成时，去掉一个最高分和一个最低分取平均值；评标委员会由9人及以上组成时，去掉两个最高分和两个最低分取平均值。</w:t>
            </w:r>
          </w:p>
          <w:p>
            <w:pPr>
              <w:pStyle w:val="18"/>
              <w:rPr>
                <w:rFonts w:hint="eastAsia"/>
                <w:color w:val="auto"/>
                <w:highlight w:val="none"/>
              </w:rPr>
            </w:pPr>
          </w:p>
          <w:p>
            <w:pPr>
              <w:pStyle w:val="19"/>
              <w:rPr>
                <w:rFonts w:hint="eastAsia"/>
                <w:color w:val="auto"/>
                <w:highlight w:val="none"/>
              </w:rPr>
            </w:pPr>
          </w:p>
          <w:p>
            <w:pPr>
              <w:pStyle w:val="19"/>
              <w:rPr>
                <w:rFonts w:hint="eastAsia"/>
                <w:color w:val="auto"/>
                <w:highlight w:val="none"/>
              </w:rPr>
            </w:pPr>
          </w:p>
          <w:p>
            <w:pPr>
              <w:pStyle w:val="19"/>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800" w:type="dxa"/>
            <w:gridSpan w:val="3"/>
            <w:vAlign w:val="center"/>
          </w:tcPr>
          <w:p>
            <w:pPr>
              <w:rPr>
                <w:rFonts w:hint="eastAsia"/>
                <w:color w:val="auto"/>
                <w:highlight w:val="none"/>
              </w:rPr>
            </w:pPr>
            <w:r>
              <w:rPr>
                <w:rFonts w:hint="eastAsia"/>
                <w:color w:val="auto"/>
                <w:highlight w:val="none"/>
              </w:rPr>
              <w:t>条款号</w:t>
            </w:r>
          </w:p>
        </w:tc>
        <w:tc>
          <w:tcPr>
            <w:tcW w:w="2970" w:type="dxa"/>
            <w:vAlign w:val="top"/>
          </w:tcPr>
          <w:p>
            <w:pPr>
              <w:rPr>
                <w:rFonts w:hint="eastAsia"/>
                <w:color w:val="auto"/>
                <w:highlight w:val="none"/>
              </w:rPr>
            </w:pPr>
            <w:r>
              <w:rPr>
                <w:rFonts w:hint="eastAsia"/>
                <w:color w:val="auto"/>
                <w:highlight w:val="none"/>
              </w:rPr>
              <w:t>量化因素</w:t>
            </w:r>
          </w:p>
        </w:tc>
        <w:tc>
          <w:tcPr>
            <w:tcW w:w="4694" w:type="dxa"/>
            <w:gridSpan w:val="2"/>
            <w:vAlign w:val="top"/>
          </w:tcPr>
          <w:p>
            <w:pPr>
              <w:rPr>
                <w:rFonts w:hint="eastAsia"/>
                <w:color w:val="auto"/>
                <w:highlight w:val="none"/>
              </w:rPr>
            </w:pPr>
            <w:r>
              <w:rPr>
                <w:rFonts w:hint="eastAsia"/>
                <w:color w:val="auto"/>
                <w:highlight w:val="none"/>
              </w:rPr>
              <w:t>量化标准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10" w:type="dxa"/>
            <w:vMerge w:val="restart"/>
            <w:vAlign w:val="center"/>
          </w:tcPr>
          <w:p>
            <w:pPr>
              <w:rPr>
                <w:rFonts w:hint="eastAsia"/>
                <w:color w:val="auto"/>
                <w:highlight w:val="none"/>
              </w:rPr>
            </w:pPr>
            <w:r>
              <w:rPr>
                <w:rFonts w:hint="eastAsia"/>
                <w:color w:val="auto"/>
                <w:highlight w:val="none"/>
              </w:rPr>
              <w:t>2.2</w:t>
            </w:r>
          </w:p>
        </w:tc>
        <w:tc>
          <w:tcPr>
            <w:tcW w:w="1190" w:type="dxa"/>
            <w:gridSpan w:val="2"/>
            <w:vMerge w:val="restart"/>
            <w:vAlign w:val="center"/>
          </w:tcPr>
          <w:p>
            <w:pPr>
              <w:rPr>
                <w:rFonts w:hint="eastAsia"/>
                <w:color w:val="auto"/>
                <w:highlight w:val="none"/>
              </w:rPr>
            </w:pPr>
            <w:r>
              <w:rPr>
                <w:rFonts w:hint="eastAsia"/>
                <w:color w:val="auto"/>
                <w:highlight w:val="none"/>
                <w:lang w:eastAsia="zh-CN"/>
              </w:rPr>
              <w:t>商务部分</w:t>
            </w:r>
            <w:r>
              <w:rPr>
                <w:rFonts w:hint="eastAsia"/>
                <w:color w:val="auto"/>
                <w:highlight w:val="none"/>
              </w:rPr>
              <w:t>评审标准</w:t>
            </w:r>
          </w:p>
          <w:p>
            <w:pPr>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120分</w:t>
            </w:r>
            <w:r>
              <w:rPr>
                <w:rFonts w:hint="eastAsia"/>
                <w:color w:val="auto"/>
                <w:highlight w:val="none"/>
                <w:lang w:eastAsia="zh-CN"/>
              </w:rPr>
              <w:t>）</w:t>
            </w:r>
          </w:p>
        </w:tc>
        <w:tc>
          <w:tcPr>
            <w:tcW w:w="2970" w:type="dxa"/>
            <w:vAlign w:val="center"/>
          </w:tcPr>
          <w:p>
            <w:pPr>
              <w:rPr>
                <w:rFonts w:hint="eastAsia"/>
                <w:color w:val="auto"/>
                <w:highlight w:val="none"/>
                <w:lang w:eastAsia="zh-CN"/>
              </w:rPr>
            </w:pPr>
            <w:r>
              <w:rPr>
                <w:rFonts w:hint="eastAsia"/>
                <w:color w:val="auto"/>
                <w:highlight w:val="none"/>
                <w:lang w:eastAsia="zh-CN"/>
              </w:rPr>
              <w:t>工程量清单总报价</w:t>
            </w:r>
          </w:p>
          <w:p>
            <w:pPr>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100分</w:t>
            </w:r>
            <w:r>
              <w:rPr>
                <w:rFonts w:hint="eastAsia"/>
                <w:color w:val="auto"/>
                <w:highlight w:val="none"/>
                <w:lang w:eastAsia="zh-CN"/>
              </w:rPr>
              <w:t>）</w:t>
            </w:r>
          </w:p>
        </w:tc>
        <w:tc>
          <w:tcPr>
            <w:tcW w:w="4694" w:type="dxa"/>
            <w:gridSpan w:val="2"/>
            <w:vAlign w:val="top"/>
          </w:tcPr>
          <w:p>
            <w:pPr>
              <w:rPr>
                <w:rFonts w:hint="eastAsia"/>
                <w:color w:val="auto"/>
                <w:highlight w:val="none"/>
                <w:lang w:val="en-US" w:eastAsia="zh-CN"/>
              </w:rPr>
            </w:pPr>
            <w:r>
              <w:rPr>
                <w:rFonts w:hint="eastAsia"/>
                <w:color w:val="auto"/>
                <w:highlight w:val="none"/>
                <w:lang w:val="en-US" w:eastAsia="zh-CN"/>
              </w:rPr>
              <w:t>1、投标报价在招标控制价的93%（含）—97%（含）之间为有效报价。</w:t>
            </w:r>
          </w:p>
          <w:p>
            <w:pPr>
              <w:rPr>
                <w:rFonts w:hint="eastAsia"/>
                <w:color w:val="auto"/>
                <w:highlight w:val="none"/>
                <w:lang w:eastAsia="zh-CN"/>
              </w:rPr>
            </w:pPr>
            <w:r>
              <w:rPr>
                <w:rFonts w:hint="eastAsia"/>
                <w:color w:val="auto"/>
                <w:highlight w:val="none"/>
              </w:rPr>
              <w:t>2、投标报价得分按下列方法计算</w:t>
            </w:r>
            <w:r>
              <w:rPr>
                <w:rFonts w:hint="eastAsia"/>
                <w:color w:val="auto"/>
                <w:highlight w:val="none"/>
                <w:lang w:eastAsia="zh-CN"/>
              </w:rPr>
              <w:t>：</w:t>
            </w:r>
          </w:p>
          <w:p>
            <w:pPr>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以有效报价的算术平均值作为基准价</w:t>
            </w:r>
            <w:r>
              <w:rPr>
                <w:rFonts w:hint="eastAsia"/>
                <w:color w:val="auto"/>
                <w:highlight w:val="none"/>
                <w:lang w:val="en-US" w:eastAsia="zh-CN"/>
              </w:rPr>
              <w:t>，</w:t>
            </w:r>
            <w:r>
              <w:rPr>
                <w:rFonts w:hint="eastAsia"/>
                <w:color w:val="auto"/>
                <w:highlight w:val="none"/>
                <w:lang w:eastAsia="zh-CN"/>
              </w:rPr>
              <w:t>基准价报价计</w:t>
            </w:r>
            <w:r>
              <w:rPr>
                <w:rFonts w:hint="eastAsia"/>
                <w:color w:val="auto"/>
                <w:highlight w:val="none"/>
                <w:lang w:val="en-US" w:eastAsia="zh-CN"/>
              </w:rPr>
              <w:t>90分</w:t>
            </w:r>
            <w:r>
              <w:rPr>
                <w:rFonts w:hint="eastAsia"/>
                <w:color w:val="auto"/>
                <w:highlight w:val="none"/>
                <w:lang w:eastAsia="zh-CN"/>
              </w:rPr>
              <w:t>；</w:t>
            </w:r>
          </w:p>
          <w:p>
            <w:pPr>
              <w:rPr>
                <w:rFonts w:hint="eastAsia"/>
                <w:color w:val="auto"/>
                <w:highlight w:val="none"/>
                <w:lang w:val="en-US" w:eastAsia="zh-CN"/>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）报价低于基准价</w:t>
            </w:r>
            <w:r>
              <w:rPr>
                <w:rFonts w:hint="eastAsia"/>
                <w:color w:val="auto"/>
                <w:highlight w:val="none"/>
                <w:lang w:val="en-US" w:eastAsia="zh-CN"/>
              </w:rPr>
              <w:t>2%以内的（含2%），</w:t>
            </w:r>
            <w:r>
              <w:rPr>
                <w:rFonts w:hint="eastAsia"/>
                <w:color w:val="auto"/>
                <w:highlight w:val="none"/>
                <w:lang w:eastAsia="zh-CN"/>
              </w:rPr>
              <w:t>每低</w:t>
            </w:r>
            <w:r>
              <w:rPr>
                <w:rFonts w:hint="eastAsia"/>
                <w:color w:val="auto"/>
                <w:highlight w:val="none"/>
                <w:lang w:val="en-US" w:eastAsia="zh-CN"/>
              </w:rPr>
              <w:t>0.2%在90分的基础上加1分；</w:t>
            </w:r>
          </w:p>
          <w:p>
            <w:pPr>
              <w:rPr>
                <w:rFonts w:hint="eastAsia"/>
                <w:color w:val="auto"/>
                <w:highlight w:val="none"/>
                <w:lang w:val="en-US" w:eastAsia="zh-CN"/>
              </w:rPr>
            </w:pPr>
            <w:r>
              <w:rPr>
                <w:rFonts w:hint="eastAsia"/>
                <w:color w:val="auto"/>
                <w:highlight w:val="none"/>
                <w:lang w:val="en-US" w:eastAsia="zh-CN"/>
              </w:rPr>
              <w:t>（3）报价低于基准价2%的（不含2%），每再低0.2%，在90分的基础上扣1分；</w:t>
            </w:r>
          </w:p>
          <w:p>
            <w:pPr>
              <w:rPr>
                <w:rFonts w:hint="eastAsia"/>
                <w:color w:val="auto"/>
                <w:highlight w:val="none"/>
                <w:lang w:val="en-US" w:eastAsia="zh-CN"/>
              </w:rPr>
            </w:pPr>
            <w:r>
              <w:rPr>
                <w:rFonts w:hint="eastAsia"/>
                <w:color w:val="auto"/>
                <w:highlight w:val="none"/>
                <w:lang w:val="en-US" w:eastAsia="zh-CN"/>
              </w:rPr>
              <w:t>（4）报价高于基准价的，每高0.2%在90分的基础上扣1分。</w:t>
            </w:r>
          </w:p>
          <w:p>
            <w:pPr>
              <w:rPr>
                <w:rFonts w:hint="eastAsia"/>
                <w:color w:val="auto"/>
                <w:highlight w:val="none"/>
                <w:lang w:val="en-US" w:eastAsia="zh-CN"/>
              </w:rPr>
            </w:pPr>
            <w:r>
              <w:rPr>
                <w:rFonts w:hint="eastAsia"/>
                <w:color w:val="auto"/>
                <w:highlight w:val="none"/>
                <w:lang w:val="en-US" w:eastAsia="zh-CN"/>
              </w:rPr>
              <w:t xml:space="preserve">    报价浮动计分只计算0.2%的整倍数，不足0.2%的部分，不再计算增减分数。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9" w:hRule="atLeast"/>
        </w:trPr>
        <w:tc>
          <w:tcPr>
            <w:tcW w:w="610" w:type="dxa"/>
            <w:vMerge w:val="continue"/>
            <w:vAlign w:val="center"/>
          </w:tcPr>
          <w:p>
            <w:pPr>
              <w:rPr>
                <w:rFonts w:hint="eastAsia"/>
                <w:color w:val="auto"/>
                <w:highlight w:val="none"/>
              </w:rPr>
            </w:pPr>
          </w:p>
        </w:tc>
        <w:tc>
          <w:tcPr>
            <w:tcW w:w="1190" w:type="dxa"/>
            <w:gridSpan w:val="2"/>
            <w:vMerge w:val="continue"/>
            <w:vAlign w:val="center"/>
          </w:tcPr>
          <w:p>
            <w:pPr>
              <w:rPr>
                <w:rFonts w:hint="eastAsia"/>
                <w:color w:val="auto"/>
                <w:highlight w:val="none"/>
                <w:lang w:eastAsia="zh-CN"/>
              </w:rPr>
            </w:pPr>
          </w:p>
        </w:tc>
        <w:tc>
          <w:tcPr>
            <w:tcW w:w="2970" w:type="dxa"/>
            <w:vAlign w:val="center"/>
          </w:tcPr>
          <w:p>
            <w:pPr>
              <w:rPr>
                <w:rFonts w:hint="eastAsia"/>
                <w:color w:val="auto"/>
                <w:highlight w:val="none"/>
                <w:lang w:eastAsia="zh-CN"/>
              </w:rPr>
            </w:pPr>
            <w:r>
              <w:rPr>
                <w:rFonts w:hint="eastAsia"/>
                <w:color w:val="auto"/>
                <w:highlight w:val="none"/>
                <w:lang w:eastAsia="zh-CN"/>
              </w:rPr>
              <w:t>（二）分部分项工程量清单项目综合单价（</w:t>
            </w:r>
            <w:r>
              <w:rPr>
                <w:rFonts w:hint="eastAsia"/>
                <w:color w:val="auto"/>
                <w:highlight w:val="none"/>
                <w:lang w:val="en-US" w:eastAsia="zh-CN"/>
              </w:rPr>
              <w:t>20分</w:t>
            </w:r>
            <w:r>
              <w:rPr>
                <w:rFonts w:hint="eastAsia"/>
                <w:color w:val="auto"/>
                <w:highlight w:val="none"/>
                <w:lang w:eastAsia="zh-CN"/>
              </w:rPr>
              <w:t>）</w:t>
            </w:r>
          </w:p>
        </w:tc>
        <w:tc>
          <w:tcPr>
            <w:tcW w:w="4694" w:type="dxa"/>
            <w:gridSpan w:val="2"/>
            <w:vAlign w:val="top"/>
          </w:tcPr>
          <w:p>
            <w:pPr>
              <w:rPr>
                <w:rFonts w:hint="eastAsia"/>
                <w:color w:val="auto"/>
                <w:highlight w:val="none"/>
                <w:lang w:val="en-US" w:eastAsia="zh-CN"/>
              </w:rPr>
            </w:pPr>
            <w:r>
              <w:rPr>
                <w:rFonts w:hint="eastAsia"/>
                <w:color w:val="auto"/>
                <w:highlight w:val="none"/>
              </w:rPr>
              <w:t>依据次低报价的有效投标人《分部分项工程量清单与计价表》中的合价，由高到低的顺序抽取</w:t>
            </w:r>
            <w:r>
              <w:rPr>
                <w:color w:val="auto"/>
                <w:highlight w:val="none"/>
              </w:rPr>
              <w:t>10</w:t>
            </w:r>
            <w:r>
              <w:rPr>
                <w:rFonts w:hint="eastAsia"/>
                <w:color w:val="auto"/>
                <w:highlight w:val="none"/>
              </w:rPr>
              <w:t>项综合单价。清单项目综合单价以各有效投标报价的清单项目综合单价的算术平均值作为基准价，在基准价 </w:t>
            </w:r>
            <w:r>
              <w:rPr>
                <w:color w:val="auto"/>
                <w:highlight w:val="none"/>
              </w:rPr>
              <w:t>+5% </w:t>
            </w:r>
            <w:r>
              <w:rPr>
                <w:rFonts w:hint="eastAsia"/>
                <w:color w:val="auto"/>
                <w:highlight w:val="none"/>
              </w:rPr>
              <w:t>～－ </w:t>
            </w:r>
            <w:r>
              <w:rPr>
                <w:color w:val="auto"/>
                <w:highlight w:val="none"/>
              </w:rPr>
              <w:t>12% </w:t>
            </w:r>
            <w:r>
              <w:rPr>
                <w:rFonts w:hint="eastAsia"/>
                <w:color w:val="auto"/>
                <w:highlight w:val="none"/>
              </w:rPr>
              <w:t>范围内的综合单价，每项得</w:t>
            </w:r>
            <w:r>
              <w:rPr>
                <w:rFonts w:hint="eastAsia"/>
                <w:color w:val="auto"/>
                <w:highlight w:val="none"/>
                <w:lang w:val="en-US" w:eastAsia="zh-CN"/>
              </w:rPr>
              <w:t>2分</w:t>
            </w:r>
            <w:r>
              <w:rPr>
                <w:rFonts w:hint="eastAsia"/>
                <w:color w:val="auto"/>
                <w:highlight w:val="none"/>
              </w:rPr>
              <w:t>，共计</w:t>
            </w:r>
            <w:r>
              <w:rPr>
                <w:rFonts w:hint="eastAsia"/>
                <w:color w:val="auto"/>
                <w:highlight w:val="none"/>
                <w:lang w:val="en-US" w:eastAsia="zh-CN"/>
              </w:rPr>
              <w:t>20</w:t>
            </w:r>
            <w:r>
              <w:rPr>
                <w:rFonts w:hint="eastAsia"/>
                <w:color w:val="auto"/>
                <w:highlight w:val="none"/>
              </w:rPr>
              <w:t>分。超出该范围的不得分。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6" w:hRule="atLeast"/>
        </w:trPr>
        <w:tc>
          <w:tcPr>
            <w:tcW w:w="9464" w:type="dxa"/>
            <w:gridSpan w:val="6"/>
            <w:vAlign w:val="top"/>
          </w:tcPr>
          <w:p>
            <w:pPr>
              <w:rPr>
                <w:rFonts w:hint="eastAsia"/>
                <w:color w:val="auto"/>
                <w:highlight w:val="none"/>
                <w:lang w:val="en-US" w:eastAsia="zh-CN"/>
              </w:rPr>
            </w:pPr>
            <w:r>
              <w:rPr>
                <w:rFonts w:hint="eastAsia"/>
                <w:color w:val="auto"/>
                <w:highlight w:val="none"/>
                <w:lang w:val="en-US" w:eastAsia="zh-CN"/>
              </w:rPr>
              <w:t>投标人最终得分=技术部分得分+商务部分得分</w:t>
            </w:r>
          </w:p>
          <w:p>
            <w:pPr>
              <w:rPr>
                <w:rFonts w:hint="eastAsia"/>
                <w:color w:val="auto"/>
                <w:highlight w:val="none"/>
              </w:rPr>
            </w:pPr>
            <w:r>
              <w:rPr>
                <w:rFonts w:hint="eastAsia"/>
                <w:color w:val="auto"/>
                <w:highlight w:val="none"/>
              </w:rPr>
              <w:t>本评标办法在计算数据过程中，均保留两位小数，按四舍五入计算。</w:t>
            </w:r>
          </w:p>
          <w:p>
            <w:pPr>
              <w:rPr>
                <w:rFonts w:hint="eastAsia"/>
                <w:color w:val="auto"/>
                <w:highlight w:val="none"/>
              </w:rPr>
            </w:pPr>
            <w:r>
              <w:rPr>
                <w:rFonts w:hint="eastAsia"/>
                <w:color w:val="auto"/>
                <w:highlight w:val="none"/>
              </w:rPr>
              <w:t>评标委员会按</w:t>
            </w:r>
            <w:r>
              <w:rPr>
                <w:rFonts w:hint="eastAsia"/>
                <w:color w:val="auto"/>
                <w:highlight w:val="none"/>
                <w:lang w:eastAsia="zh-CN"/>
              </w:rPr>
              <w:t>投标人</w:t>
            </w:r>
            <w:r>
              <w:rPr>
                <w:rFonts w:hint="eastAsia"/>
                <w:color w:val="auto"/>
                <w:highlight w:val="none"/>
              </w:rPr>
              <w:t>最终得分从高到低的顺序推荐1～3名中标候选人，并形成评标报告。当投标人最终得分相同时，技术</w:t>
            </w:r>
            <w:r>
              <w:rPr>
                <w:rFonts w:hint="eastAsia"/>
                <w:color w:val="auto"/>
                <w:highlight w:val="none"/>
                <w:lang w:eastAsia="zh-CN"/>
              </w:rPr>
              <w:t>部分</w:t>
            </w:r>
            <w:r>
              <w:rPr>
                <w:rFonts w:hint="eastAsia"/>
                <w:color w:val="auto"/>
                <w:highlight w:val="none"/>
              </w:rPr>
              <w:t>得分高者优先；当投标人最终得分相同，技术</w:t>
            </w:r>
            <w:r>
              <w:rPr>
                <w:rFonts w:hint="eastAsia"/>
                <w:color w:val="auto"/>
                <w:highlight w:val="none"/>
                <w:lang w:eastAsia="zh-CN"/>
              </w:rPr>
              <w:t>部分</w:t>
            </w:r>
            <w:r>
              <w:rPr>
                <w:rFonts w:hint="eastAsia"/>
                <w:color w:val="auto"/>
                <w:highlight w:val="none"/>
              </w:rPr>
              <w:t>得分也相同时，资质等级高者优先；当投标人最终得分相同，技术</w:t>
            </w:r>
            <w:r>
              <w:rPr>
                <w:rFonts w:hint="eastAsia"/>
                <w:color w:val="auto"/>
                <w:highlight w:val="none"/>
                <w:lang w:eastAsia="zh-CN"/>
              </w:rPr>
              <w:t>部分</w:t>
            </w:r>
            <w:r>
              <w:rPr>
                <w:rFonts w:hint="eastAsia"/>
                <w:color w:val="auto"/>
                <w:highlight w:val="none"/>
              </w:rPr>
              <w:t>得分也相同，资质等级也相同时，选择</w:t>
            </w:r>
            <w:r>
              <w:rPr>
                <w:rFonts w:hint="eastAsia"/>
                <w:color w:val="auto"/>
                <w:highlight w:val="none"/>
                <w:lang w:eastAsia="zh-CN"/>
              </w:rPr>
              <w:t>商务部分</w:t>
            </w:r>
            <w:r>
              <w:rPr>
                <w:rFonts w:hint="eastAsia"/>
                <w:color w:val="auto"/>
                <w:highlight w:val="none"/>
              </w:rPr>
              <w:t>中</w:t>
            </w:r>
            <w:r>
              <w:rPr>
                <w:rFonts w:hint="eastAsia"/>
                <w:color w:val="auto"/>
                <w:highlight w:val="none"/>
                <w:lang w:eastAsia="zh-CN"/>
              </w:rPr>
              <w:t>第</w:t>
            </w:r>
            <w:r>
              <w:rPr>
                <w:rFonts w:hint="eastAsia"/>
                <w:color w:val="auto"/>
                <w:highlight w:val="none"/>
                <w:lang w:val="en-US" w:eastAsia="zh-CN"/>
              </w:rPr>
              <w:t>（一）项（工程量清单总报价</w:t>
            </w:r>
            <w:r>
              <w:rPr>
                <w:rFonts w:hint="eastAsia"/>
                <w:color w:val="auto"/>
                <w:highlight w:val="none"/>
              </w:rPr>
              <w:t>）得分高者优先。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9464" w:type="dxa"/>
            <w:gridSpan w:val="6"/>
            <w:vAlign w:val="top"/>
          </w:tcPr>
          <w:p>
            <w:pPr>
              <w:rPr>
                <w:rFonts w:hint="eastAsia"/>
                <w:color w:val="auto"/>
                <w:highlight w:val="none"/>
              </w:rPr>
            </w:pPr>
            <w:r>
              <w:rPr>
                <w:rFonts w:hint="eastAsia"/>
                <w:color w:val="auto"/>
                <w:highlight w:val="none"/>
              </w:rPr>
              <w:t>有下列情况时，其投标报价为无效投标报价，不再进行商务标的评审。</w:t>
            </w:r>
          </w:p>
          <w:p>
            <w:pPr>
              <w:rPr>
                <w:rFonts w:hint="eastAsia"/>
                <w:color w:val="auto"/>
                <w:highlight w:val="none"/>
              </w:rPr>
            </w:pPr>
            <w:r>
              <w:rPr>
                <w:rFonts w:hint="eastAsia"/>
                <w:color w:val="auto"/>
                <w:highlight w:val="none"/>
              </w:rPr>
              <w:t>1.当投标报价</w:t>
            </w:r>
            <w:r>
              <w:rPr>
                <w:rFonts w:hint="eastAsia"/>
                <w:color w:val="auto"/>
                <w:highlight w:val="none"/>
                <w:lang w:eastAsia="zh-CN"/>
              </w:rPr>
              <w:t>在</w:t>
            </w:r>
            <w:r>
              <w:rPr>
                <w:rFonts w:hint="eastAsia"/>
                <w:color w:val="auto"/>
                <w:highlight w:val="none"/>
                <w:lang w:val="en-US" w:eastAsia="zh-CN"/>
              </w:rPr>
              <w:t>招标控制价的93%（含）—97%（含）范围之外的</w:t>
            </w:r>
            <w:r>
              <w:rPr>
                <w:rFonts w:hint="eastAsia"/>
                <w:color w:val="auto"/>
                <w:highlight w:val="none"/>
              </w:rPr>
              <w:t>；</w:t>
            </w:r>
          </w:p>
          <w:p>
            <w:pPr>
              <w:rPr>
                <w:rFonts w:hint="eastAsia"/>
                <w:color w:val="auto"/>
                <w:highlight w:val="none"/>
              </w:rPr>
            </w:pPr>
            <w:r>
              <w:rPr>
                <w:rFonts w:hint="eastAsia"/>
                <w:color w:val="auto"/>
                <w:highlight w:val="none"/>
              </w:rPr>
              <w:t>2.安全文明施工措施费及规费、税金未按规定计取的。</w:t>
            </w:r>
          </w:p>
        </w:tc>
      </w:tr>
      <w:bookmarkEnd w:id="405"/>
      <w:bookmarkEnd w:id="406"/>
    </w:tbl>
    <w:p>
      <w:pPr>
        <w:rPr>
          <w:color w:val="auto"/>
          <w:highlight w:val="none"/>
          <w:lang w:val="en-US"/>
        </w:rPr>
      </w:pPr>
    </w:p>
    <w:p>
      <w:pPr>
        <w:spacing w:line="420" w:lineRule="exact"/>
        <w:rPr>
          <w:rFonts w:ascii="宋体" w:hAnsi="宋体" w:cs="宋体"/>
          <w:color w:val="auto"/>
          <w:highlight w:val="none"/>
        </w:rPr>
      </w:pPr>
      <w:r>
        <w:rPr>
          <w:rFonts w:hint="eastAsia" w:ascii="宋体" w:hAnsi="宋体" w:cs="宋体"/>
          <w:color w:val="auto"/>
          <w:highlight w:val="none"/>
        </w:rPr>
        <w:br w:type="page"/>
      </w:r>
      <w:bookmarkStart w:id="407" w:name="_Toc246996232"/>
      <w:bookmarkStart w:id="408" w:name="_Toc246996975"/>
      <w:bookmarkStart w:id="409" w:name="_Toc179632607"/>
      <w:bookmarkStart w:id="410" w:name="_Toc152042366"/>
      <w:bookmarkStart w:id="411" w:name="_Toc152045589"/>
      <w:bookmarkStart w:id="412" w:name="_Toc247085747"/>
      <w:bookmarkStart w:id="413" w:name="_Toc144974556"/>
      <w:r>
        <w:rPr>
          <w:rFonts w:hint="eastAsia" w:ascii="宋体" w:hAnsi="宋体" w:cs="宋体"/>
          <w:b/>
          <w:bCs/>
          <w:color w:val="auto"/>
          <w:sz w:val="32"/>
          <w:szCs w:val="32"/>
          <w:highlight w:val="none"/>
        </w:rPr>
        <w:t>1. 评标方法</w:t>
      </w:r>
      <w:bookmarkEnd w:id="407"/>
      <w:bookmarkEnd w:id="408"/>
      <w:bookmarkEnd w:id="409"/>
      <w:bookmarkEnd w:id="410"/>
      <w:bookmarkEnd w:id="411"/>
      <w:bookmarkEnd w:id="412"/>
      <w:bookmarkEnd w:id="413"/>
    </w:p>
    <w:p>
      <w:pPr>
        <w:spacing w:line="420" w:lineRule="exact"/>
        <w:ind w:firstLine="420" w:firstLineChars="200"/>
        <w:rPr>
          <w:rFonts w:ascii="宋体" w:hAnsi="宋体" w:cs="宋体"/>
          <w:color w:val="auto"/>
          <w:szCs w:val="21"/>
          <w:highlight w:val="none"/>
        </w:rPr>
      </w:pPr>
      <w:bookmarkStart w:id="414" w:name="_Toc152042367"/>
      <w:bookmarkStart w:id="415" w:name="_Toc246996976"/>
      <w:bookmarkStart w:id="416" w:name="_Toc179632608"/>
      <w:bookmarkStart w:id="417" w:name="_Toc152045590"/>
      <w:bookmarkStart w:id="418" w:name="_Toc144974557"/>
      <w:bookmarkStart w:id="419" w:name="_Toc246996233"/>
      <w:bookmarkStart w:id="420" w:name="_Toc247085748"/>
      <w:r>
        <w:rPr>
          <w:rFonts w:hint="eastAsia" w:ascii="宋体" w:hAnsi="宋体" w:cs="宋体"/>
          <w:color w:val="auto"/>
          <w:szCs w:val="21"/>
          <w:highlight w:val="none"/>
        </w:rPr>
        <w:t>评标委员会对满足招标文件实质要求的投标文件，根据本章规定的量化因素及量化标准进行价格折算，按照经评审的最终得分由高到低的顺序推荐中标候选人，或根据招标人授权直接确定中标人，但投标报价低于其成本的除外。</w:t>
      </w:r>
    </w:p>
    <w:p>
      <w:pPr>
        <w:pStyle w:val="4"/>
        <w:spacing w:line="420" w:lineRule="exact"/>
        <w:rPr>
          <w:rFonts w:ascii="宋体" w:hAnsi="宋体" w:eastAsia="宋体" w:cs="宋体"/>
          <w:color w:val="auto"/>
          <w:highlight w:val="none"/>
        </w:rPr>
      </w:pPr>
      <w:bookmarkStart w:id="421" w:name="_Toc466470794"/>
      <w:bookmarkStart w:id="422" w:name="_Toc466470924"/>
      <w:r>
        <w:rPr>
          <w:rFonts w:hint="eastAsia" w:ascii="宋体" w:hAnsi="宋体" w:eastAsia="宋体" w:cs="宋体"/>
          <w:color w:val="auto"/>
          <w:highlight w:val="none"/>
        </w:rPr>
        <w:t>2. 评审标准</w:t>
      </w:r>
      <w:bookmarkEnd w:id="414"/>
      <w:bookmarkEnd w:id="415"/>
      <w:bookmarkEnd w:id="416"/>
      <w:bookmarkEnd w:id="417"/>
      <w:bookmarkEnd w:id="418"/>
      <w:bookmarkEnd w:id="419"/>
      <w:bookmarkEnd w:id="420"/>
      <w:bookmarkEnd w:id="421"/>
      <w:bookmarkEnd w:id="422"/>
    </w:p>
    <w:p>
      <w:pPr>
        <w:spacing w:line="400" w:lineRule="exact"/>
        <w:ind w:firstLine="422" w:firstLineChars="200"/>
        <w:rPr>
          <w:rFonts w:ascii="宋体" w:hAnsi="宋体" w:cs="宋体"/>
          <w:b/>
          <w:bCs/>
          <w:color w:val="auto"/>
          <w:highlight w:val="none"/>
        </w:rPr>
      </w:pPr>
      <w:bookmarkStart w:id="423" w:name="_Toc246996977"/>
      <w:bookmarkStart w:id="424" w:name="_Toc144974558"/>
      <w:bookmarkStart w:id="425" w:name="_Toc179632609"/>
      <w:bookmarkStart w:id="426" w:name="_Toc247085749"/>
      <w:bookmarkStart w:id="427" w:name="_Toc246996234"/>
      <w:bookmarkStart w:id="428" w:name="_Toc152045591"/>
      <w:bookmarkStart w:id="429" w:name="_Toc152042368"/>
      <w:r>
        <w:rPr>
          <w:rFonts w:hint="eastAsia" w:ascii="宋体" w:hAnsi="宋体" w:cs="宋体"/>
          <w:b/>
          <w:bCs/>
          <w:color w:val="auto"/>
          <w:highlight w:val="none"/>
        </w:rPr>
        <w:t>2.1 初步评审标准</w:t>
      </w:r>
      <w:bookmarkEnd w:id="423"/>
      <w:bookmarkEnd w:id="424"/>
      <w:bookmarkEnd w:id="425"/>
      <w:bookmarkEnd w:id="426"/>
      <w:bookmarkEnd w:id="427"/>
      <w:bookmarkEnd w:id="428"/>
      <w:bookmarkEnd w:id="429"/>
    </w:p>
    <w:p>
      <w:pPr>
        <w:spacing w:line="420" w:lineRule="exact"/>
        <w:ind w:firstLine="420" w:firstLineChars="200"/>
        <w:rPr>
          <w:rFonts w:ascii="宋体" w:hAnsi="宋体" w:cs="宋体"/>
          <w:color w:val="auto"/>
          <w:szCs w:val="21"/>
          <w:highlight w:val="none"/>
        </w:rPr>
      </w:pPr>
      <w:bookmarkStart w:id="430" w:name="_Toc246996978"/>
      <w:bookmarkStart w:id="431" w:name="_Toc247085750"/>
      <w:bookmarkStart w:id="432" w:name="_Toc152042369"/>
      <w:bookmarkStart w:id="433" w:name="_Toc246996235"/>
      <w:bookmarkStart w:id="434" w:name="_Toc144974559"/>
      <w:bookmarkStart w:id="435" w:name="_Toc152045592"/>
      <w:bookmarkStart w:id="436" w:name="_Toc179632610"/>
      <w:r>
        <w:rPr>
          <w:rFonts w:hint="eastAsia" w:ascii="宋体" w:hAnsi="宋体" w:cs="宋体"/>
          <w:color w:val="auto"/>
          <w:szCs w:val="21"/>
          <w:highlight w:val="none"/>
        </w:rPr>
        <w:t>2.1.1 形式评审标准：见评标办法前附表。</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2.1.2 资格评审标准：见评标办法前附表。</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2.1.3 响应性评审标准：见评标办法前附表。</w:t>
      </w:r>
    </w:p>
    <w:p>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2.2 详细评审标准</w:t>
      </w:r>
      <w:bookmarkEnd w:id="430"/>
      <w:bookmarkEnd w:id="431"/>
      <w:bookmarkEnd w:id="432"/>
      <w:bookmarkEnd w:id="433"/>
      <w:bookmarkEnd w:id="434"/>
      <w:bookmarkEnd w:id="435"/>
      <w:bookmarkEnd w:id="436"/>
    </w:p>
    <w:p>
      <w:pPr>
        <w:spacing w:line="420" w:lineRule="exact"/>
        <w:ind w:firstLine="420" w:firstLineChars="200"/>
        <w:rPr>
          <w:rFonts w:ascii="宋体" w:hAnsi="宋体" w:cs="宋体"/>
          <w:color w:val="auto"/>
          <w:highlight w:val="none"/>
        </w:rPr>
      </w:pPr>
      <w:r>
        <w:rPr>
          <w:rFonts w:hint="eastAsia" w:ascii="宋体" w:hAnsi="宋体" w:cs="宋体"/>
          <w:color w:val="auto"/>
          <w:highlight w:val="none"/>
        </w:rPr>
        <w:t>详细评审标准：见评标办法前附表。</w:t>
      </w:r>
    </w:p>
    <w:p>
      <w:pPr>
        <w:pStyle w:val="4"/>
        <w:spacing w:line="420" w:lineRule="exact"/>
        <w:rPr>
          <w:rFonts w:ascii="宋体" w:hAnsi="宋体" w:eastAsia="宋体" w:cs="宋体"/>
          <w:color w:val="auto"/>
          <w:highlight w:val="none"/>
        </w:rPr>
      </w:pPr>
      <w:bookmarkStart w:id="437" w:name="_Toc247085751"/>
      <w:bookmarkStart w:id="438" w:name="_Toc466470795"/>
      <w:bookmarkStart w:id="439" w:name="_Toc144974560"/>
      <w:bookmarkStart w:id="440" w:name="_Toc246996236"/>
      <w:bookmarkStart w:id="441" w:name="_Toc179632611"/>
      <w:bookmarkStart w:id="442" w:name="_Toc466470925"/>
      <w:bookmarkStart w:id="443" w:name="_Toc246996979"/>
      <w:bookmarkStart w:id="444" w:name="_Toc152045593"/>
      <w:bookmarkStart w:id="445" w:name="_Toc152042370"/>
      <w:r>
        <w:rPr>
          <w:rFonts w:hint="eastAsia" w:ascii="宋体" w:hAnsi="宋体" w:eastAsia="宋体" w:cs="宋体"/>
          <w:color w:val="auto"/>
          <w:highlight w:val="none"/>
        </w:rPr>
        <w:t>3. 评标程序</w:t>
      </w:r>
      <w:bookmarkEnd w:id="437"/>
      <w:bookmarkEnd w:id="438"/>
      <w:bookmarkEnd w:id="439"/>
      <w:bookmarkEnd w:id="440"/>
      <w:bookmarkEnd w:id="441"/>
      <w:bookmarkEnd w:id="442"/>
      <w:bookmarkEnd w:id="443"/>
      <w:bookmarkEnd w:id="444"/>
      <w:bookmarkEnd w:id="445"/>
    </w:p>
    <w:p>
      <w:pPr>
        <w:spacing w:line="400" w:lineRule="exact"/>
        <w:ind w:firstLine="422" w:firstLineChars="200"/>
        <w:rPr>
          <w:rFonts w:ascii="宋体" w:hAnsi="宋体" w:cs="宋体"/>
          <w:b/>
          <w:bCs/>
          <w:color w:val="auto"/>
          <w:highlight w:val="none"/>
        </w:rPr>
      </w:pPr>
      <w:bookmarkStart w:id="446" w:name="_Toc152045594"/>
      <w:bookmarkStart w:id="447" w:name="_Toc144974561"/>
      <w:bookmarkStart w:id="448" w:name="_Toc247085752"/>
      <w:bookmarkStart w:id="449" w:name="_Toc246996237"/>
      <w:bookmarkStart w:id="450" w:name="_Toc179632612"/>
      <w:bookmarkStart w:id="451" w:name="_Toc152042371"/>
      <w:bookmarkStart w:id="452" w:name="_Toc246996980"/>
      <w:r>
        <w:rPr>
          <w:rFonts w:hint="eastAsia" w:ascii="宋体" w:hAnsi="宋体" w:cs="宋体"/>
          <w:b/>
          <w:bCs/>
          <w:color w:val="auto"/>
          <w:highlight w:val="none"/>
        </w:rPr>
        <w:t>3.1 初步评审</w:t>
      </w:r>
      <w:bookmarkEnd w:id="446"/>
      <w:bookmarkEnd w:id="447"/>
      <w:bookmarkEnd w:id="448"/>
      <w:bookmarkEnd w:id="449"/>
      <w:bookmarkEnd w:id="450"/>
      <w:bookmarkEnd w:id="451"/>
      <w:bookmarkEnd w:id="452"/>
    </w:p>
    <w:p>
      <w:pPr>
        <w:spacing w:line="420" w:lineRule="exact"/>
        <w:ind w:firstLine="420" w:firstLineChars="200"/>
        <w:rPr>
          <w:rFonts w:ascii="宋体" w:hAnsi="宋体" w:cs="宋体"/>
          <w:color w:val="auto"/>
          <w:szCs w:val="21"/>
          <w:highlight w:val="none"/>
        </w:rPr>
      </w:pPr>
      <w:bookmarkStart w:id="453" w:name="_Toc179632613"/>
      <w:bookmarkStart w:id="454" w:name="_Toc152045595"/>
      <w:bookmarkStart w:id="455" w:name="_Toc144974562"/>
      <w:bookmarkStart w:id="456" w:name="_Toc246996238"/>
      <w:bookmarkStart w:id="457" w:name="_Toc152042372"/>
      <w:bookmarkStart w:id="458" w:name="_Toc246996981"/>
      <w:bookmarkStart w:id="459" w:name="_Toc247085753"/>
      <w:r>
        <w:rPr>
          <w:rFonts w:hint="eastAsia" w:ascii="宋体" w:hAnsi="宋体" w:cs="宋体"/>
          <w:color w:val="auto"/>
          <w:szCs w:val="21"/>
          <w:highlight w:val="none"/>
        </w:rPr>
        <w:t>3.1.1 评标委员会可以要求投标人提交第二章“投标人须知”第3.5.1 项至第3.5.4 项规定的有关证明和证件的原件，以便核验。评标委员会依据本章第2.1 款规定的标准对投标文件进行初步评审。有一项不符合评审标准的，作废标处理。</w:t>
      </w:r>
    </w:p>
    <w:p>
      <w:pPr>
        <w:spacing w:line="420" w:lineRule="exact"/>
        <w:ind w:firstLine="422" w:firstLineChars="200"/>
        <w:rPr>
          <w:rFonts w:ascii="宋体" w:hAnsi="宋体" w:cs="宋体"/>
          <w:color w:val="auto"/>
          <w:szCs w:val="21"/>
          <w:highlight w:val="none"/>
        </w:rPr>
      </w:pPr>
      <w:r>
        <w:rPr>
          <w:rFonts w:hint="eastAsia" w:ascii="宋体" w:hAnsi="宋体" w:cs="宋体"/>
          <w:b/>
          <w:color w:val="auto"/>
          <w:highlight w:val="none"/>
        </w:rPr>
        <w:t>（注：资质证书提供原件或复印件加盖公章，可通过“全国建筑市场监管与诚信信息发布平台”、“河南省建筑市场监管信息系统暨一体化工作平台”以及资质证书二维码标识查阅企业相关信息。）</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3.1.2 投标人有以下情形之一的，其投标作废标处理：</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(l）第二章“投标人须知”第1.4.2 项、第1.4.3 项规定的任何一种情形的；</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(2）串通投标或弄虚作假或有其他违法行为的；</w:t>
      </w:r>
    </w:p>
    <w:p>
      <w:pPr>
        <w:spacing w:line="420" w:lineRule="exact"/>
        <w:rPr>
          <w:rFonts w:ascii="宋体" w:hAnsi="宋体" w:cs="宋体"/>
          <w:color w:val="auto"/>
          <w:szCs w:val="21"/>
          <w:highlight w:val="none"/>
        </w:rPr>
      </w:pPr>
      <w:r>
        <w:rPr>
          <w:rFonts w:hint="eastAsia" w:ascii="宋体" w:hAnsi="宋体" w:cs="宋体"/>
          <w:color w:val="auto"/>
          <w:szCs w:val="21"/>
          <w:highlight w:val="none"/>
        </w:rPr>
        <w:t xml:space="preserve">   （3）不按评标委员会要求澄清、说明或补正的。</w:t>
      </w:r>
    </w:p>
    <w:p>
      <w:pPr>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3.1.3 投标报价有算术错误的，评标委员会按以下原则对投标报价进行修正，修正的价格经投标人书面确认后具有约束力。投标人不接受修正价格的，其投标作废标处理。</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(1）投标文件中的大写金额与小写金额不一致的，以大写金额为准；</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(2）总价金额与依据单价计算出的结果不一致的，以单价金额为准修正总价，但单价金额小数点有明显错误的除外。</w:t>
      </w:r>
    </w:p>
    <w:p>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3.2 详细评审</w:t>
      </w:r>
      <w:bookmarkEnd w:id="453"/>
      <w:bookmarkEnd w:id="454"/>
      <w:bookmarkEnd w:id="455"/>
      <w:bookmarkEnd w:id="456"/>
      <w:bookmarkEnd w:id="457"/>
      <w:bookmarkEnd w:id="458"/>
      <w:bookmarkEnd w:id="459"/>
    </w:p>
    <w:p>
      <w:pPr>
        <w:spacing w:line="440" w:lineRule="exact"/>
        <w:ind w:firstLine="420" w:firstLineChars="200"/>
        <w:rPr>
          <w:rFonts w:ascii="宋体" w:hAnsi="宋体" w:cs="宋体"/>
          <w:color w:val="auto"/>
          <w:szCs w:val="21"/>
          <w:highlight w:val="none"/>
        </w:rPr>
      </w:pPr>
      <w:bookmarkStart w:id="460" w:name="_Toc144974563"/>
      <w:bookmarkStart w:id="461" w:name="_Toc246996982"/>
      <w:bookmarkStart w:id="462" w:name="_Toc152042373"/>
      <w:bookmarkStart w:id="463" w:name="_Toc179632614"/>
      <w:bookmarkStart w:id="464" w:name="_Toc152045596"/>
      <w:bookmarkStart w:id="465" w:name="_Toc247085754"/>
      <w:bookmarkStart w:id="466" w:name="_Toc246996239"/>
      <w:r>
        <w:rPr>
          <w:rFonts w:hint="eastAsia" w:ascii="宋体" w:hAnsi="宋体" w:cs="宋体"/>
          <w:color w:val="auto"/>
          <w:szCs w:val="21"/>
          <w:highlight w:val="none"/>
        </w:rPr>
        <w:t>3.2.1 评标委员会按本章规定的量化因素和标准进行价格折算，计算出评标价，并编制价格比较一览表。</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3.2.2 评标委员会发现投标人的报价明显低于其他投标报价，或者在设有标底时明显低于标底，使得其投标报价可能低于其成本的，应当要求该投标人作出书面说明并提供相应的证明材料。投标人不能合理说明或者不能提供相应证明材料的，由评标委员会认定该投标人以低于成本报价竞标，其投标作废标处理。</w:t>
      </w:r>
    </w:p>
    <w:p>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3.3 投标文件的澄清</w:t>
      </w:r>
      <w:bookmarkEnd w:id="460"/>
      <w:r>
        <w:rPr>
          <w:rFonts w:hint="eastAsia" w:ascii="宋体" w:hAnsi="宋体" w:cs="宋体"/>
          <w:b/>
          <w:bCs/>
          <w:color w:val="auto"/>
          <w:highlight w:val="none"/>
        </w:rPr>
        <w:t>和补正</w:t>
      </w:r>
      <w:bookmarkEnd w:id="461"/>
      <w:bookmarkEnd w:id="462"/>
      <w:bookmarkEnd w:id="463"/>
      <w:bookmarkEnd w:id="464"/>
      <w:bookmarkEnd w:id="465"/>
      <w:bookmarkEnd w:id="466"/>
    </w:p>
    <w:p>
      <w:pPr>
        <w:spacing w:line="440" w:lineRule="exact"/>
        <w:ind w:firstLine="420" w:firstLineChars="200"/>
        <w:rPr>
          <w:rFonts w:ascii="宋体" w:hAnsi="宋体" w:cs="宋体"/>
          <w:color w:val="auto"/>
          <w:szCs w:val="21"/>
          <w:highlight w:val="none"/>
        </w:rPr>
      </w:pPr>
      <w:bookmarkStart w:id="467" w:name="_Toc246996983"/>
      <w:bookmarkStart w:id="468" w:name="_Toc246996240"/>
      <w:bookmarkStart w:id="469" w:name="_Toc179632615"/>
      <w:bookmarkStart w:id="470" w:name="_Toc152045597"/>
      <w:bookmarkStart w:id="471" w:name="_Toc152042374"/>
      <w:bookmarkStart w:id="472" w:name="_Toc247085755"/>
      <w:bookmarkStart w:id="473" w:name="_Toc144974564"/>
      <w:r>
        <w:rPr>
          <w:rFonts w:hint="eastAsia" w:ascii="宋体" w:hAnsi="宋体" w:cs="宋体"/>
          <w:color w:val="auto"/>
          <w:szCs w:val="21"/>
          <w:highlight w:val="none"/>
        </w:rPr>
        <w:t>3.3.1 在评标过程中，评标委员会可以书面形式要求投标人对所提交的投标文件中不明确的内容进行书面澄清或说明，或者对细微偏差进行补正。评标委员会不接受投标人主动提出的澄清、说明或补正。</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3.3.2 澄清、说明和补正不得改变投标文件的实质性内容（算术性错误修正的除外）。投标人的书面澄清、说明和补正属于投标文件的组成部分。</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3.3.3 评标委员会对投标人提交的澄清、说明或补正有疑问的，可以要求投标人进一步澄清、说明或补正，直至满足评标委员会的要求。</w:t>
      </w:r>
    </w:p>
    <w:p>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3.4 评标结果</w:t>
      </w:r>
      <w:bookmarkEnd w:id="467"/>
      <w:bookmarkEnd w:id="468"/>
      <w:bookmarkEnd w:id="469"/>
      <w:bookmarkEnd w:id="470"/>
      <w:bookmarkEnd w:id="471"/>
      <w:bookmarkEnd w:id="472"/>
      <w:bookmarkEnd w:id="473"/>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3.4.1 除第二章“投标人须知”前附表授权直接确定中标人外，评标委员会按照经评审的最终得分由高到低的顺序推荐中标候选人。</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3.4.2 评标委员会完成评标后，应当向招标人提交书面评标报告。</w:t>
      </w:r>
    </w:p>
    <w:p>
      <w:pPr>
        <w:spacing w:line="360" w:lineRule="auto"/>
        <w:ind w:firstLine="420" w:firstLineChars="200"/>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p>
    <w:p>
      <w:pPr>
        <w:spacing w:line="400" w:lineRule="exact"/>
        <w:ind w:firstLine="420" w:firstLineChars="200"/>
        <w:rPr>
          <w:rFonts w:ascii="宋体" w:hAnsi="宋体" w:cs="宋体"/>
          <w:color w:val="auto"/>
          <w:szCs w:val="21"/>
          <w:highlight w:val="none"/>
        </w:rPr>
      </w:pPr>
    </w:p>
    <w:p>
      <w:pPr>
        <w:spacing w:line="400" w:lineRule="exact"/>
        <w:ind w:firstLine="420" w:firstLineChars="200"/>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p>
    <w:p>
      <w:pPr>
        <w:pStyle w:val="3"/>
        <w:numPr>
          <w:ilvl w:val="0"/>
          <w:numId w:val="3"/>
        </w:numPr>
        <w:spacing w:before="0" w:after="0"/>
        <w:jc w:val="center"/>
        <w:rPr>
          <w:rFonts w:ascii="宋体" w:hAnsi="宋体" w:cs="宋体"/>
          <w:color w:val="auto"/>
          <w:highlight w:val="none"/>
        </w:rPr>
      </w:pPr>
      <w:bookmarkStart w:id="474" w:name="_Toc179632627"/>
      <w:bookmarkStart w:id="475" w:name="_Toc152042387"/>
      <w:bookmarkStart w:id="476" w:name="_Toc247085767"/>
      <w:bookmarkStart w:id="477" w:name="_Toc152045609"/>
      <w:bookmarkStart w:id="478" w:name="_Toc144974577"/>
      <w:bookmarkStart w:id="479" w:name="_Toc466470796"/>
      <w:bookmarkStart w:id="480" w:name="_Toc246996252"/>
      <w:bookmarkStart w:id="481" w:name="_Toc466470926"/>
      <w:bookmarkStart w:id="482" w:name="_Toc246996995"/>
      <w:r>
        <w:rPr>
          <w:rFonts w:hint="eastAsia" w:ascii="宋体" w:hAnsi="宋体" w:cs="宋体"/>
          <w:color w:val="auto"/>
          <w:highlight w:val="none"/>
        </w:rPr>
        <w:t>合同条款及格式</w:t>
      </w:r>
      <w:bookmarkEnd w:id="474"/>
      <w:bookmarkEnd w:id="475"/>
      <w:bookmarkEnd w:id="476"/>
      <w:bookmarkEnd w:id="477"/>
      <w:bookmarkEnd w:id="478"/>
      <w:bookmarkEnd w:id="479"/>
      <w:bookmarkEnd w:id="480"/>
      <w:bookmarkEnd w:id="481"/>
      <w:bookmarkEnd w:id="482"/>
      <w:bookmarkStart w:id="483" w:name="_Toc152042388"/>
      <w:bookmarkStart w:id="484" w:name="_Toc246996996"/>
      <w:bookmarkStart w:id="485" w:name="_Toc152045610"/>
      <w:bookmarkStart w:id="486" w:name="_Toc247085768"/>
      <w:bookmarkStart w:id="487" w:name="_Toc144974578"/>
      <w:bookmarkStart w:id="488" w:name="_Toc394394647"/>
      <w:bookmarkStart w:id="489" w:name="_Toc179632628"/>
      <w:bookmarkStart w:id="490" w:name="_Toc246996253"/>
    </w:p>
    <w:p>
      <w:pPr>
        <w:pStyle w:val="3"/>
        <w:spacing w:before="0" w:after="0"/>
        <w:jc w:val="center"/>
        <w:rPr>
          <w:rFonts w:ascii="宋体" w:hAnsi="宋体" w:cs="宋体"/>
          <w:color w:val="auto"/>
          <w:highlight w:val="none"/>
        </w:rPr>
      </w:pPr>
      <w:bookmarkStart w:id="491" w:name="_Toc466470927"/>
      <w:bookmarkStart w:id="492" w:name="_Toc466470797"/>
      <w:r>
        <w:rPr>
          <w:rFonts w:hint="eastAsia" w:ascii="宋体" w:hAnsi="宋体" w:cs="宋体"/>
          <w:color w:val="auto"/>
          <w:highlight w:val="none"/>
        </w:rPr>
        <w:t>第一节 通用合同条款</w:t>
      </w:r>
      <w:bookmarkEnd w:id="483"/>
      <w:bookmarkEnd w:id="484"/>
      <w:bookmarkEnd w:id="485"/>
      <w:bookmarkEnd w:id="486"/>
      <w:bookmarkEnd w:id="487"/>
      <w:bookmarkEnd w:id="488"/>
      <w:bookmarkEnd w:id="489"/>
      <w:bookmarkEnd w:id="490"/>
      <w:bookmarkEnd w:id="491"/>
      <w:bookmarkEnd w:id="492"/>
    </w:p>
    <w:p>
      <w:pPr>
        <w:pStyle w:val="4"/>
        <w:spacing w:before="0" w:after="0" w:line="400" w:lineRule="exact"/>
        <w:jc w:val="left"/>
        <w:rPr>
          <w:rFonts w:ascii="宋体" w:hAnsi="宋体" w:eastAsia="宋体" w:cs="宋体"/>
          <w:color w:val="auto"/>
          <w:highlight w:val="none"/>
        </w:rPr>
      </w:pPr>
      <w:bookmarkStart w:id="493" w:name="_Toc28096"/>
      <w:bookmarkStart w:id="494" w:name="_Toc466470798"/>
      <w:bookmarkStart w:id="495" w:name="_Toc466470928"/>
      <w:bookmarkStart w:id="496" w:name="_Toc5389"/>
      <w:bookmarkStart w:id="497" w:name="_Toc26504"/>
      <w:r>
        <w:rPr>
          <w:rFonts w:hint="eastAsia" w:ascii="宋体" w:hAnsi="宋体" w:eastAsia="宋体" w:cs="宋体"/>
          <w:color w:val="auto"/>
          <w:highlight w:val="none"/>
        </w:rPr>
        <w:t>1. 一般约定</w:t>
      </w:r>
      <w:bookmarkEnd w:id="493"/>
      <w:bookmarkEnd w:id="494"/>
      <w:bookmarkEnd w:id="495"/>
      <w:bookmarkEnd w:id="496"/>
      <w:bookmarkEnd w:id="497"/>
    </w:p>
    <w:p>
      <w:pPr>
        <w:spacing w:line="400" w:lineRule="exact"/>
        <w:ind w:firstLine="422" w:firstLineChars="200"/>
        <w:jc w:val="left"/>
        <w:rPr>
          <w:rFonts w:ascii="宋体" w:hAnsi="宋体" w:cs="宋体"/>
          <w:b/>
          <w:bCs/>
          <w:color w:val="auto"/>
          <w:highlight w:val="none"/>
        </w:rPr>
      </w:pPr>
      <w:bookmarkStart w:id="498" w:name="_Toc20911"/>
      <w:bookmarkStart w:id="499" w:name="_Toc246996998"/>
      <w:bookmarkStart w:id="500" w:name="_Toc14264"/>
      <w:bookmarkStart w:id="501" w:name="_Toc246996255"/>
      <w:bookmarkStart w:id="502" w:name="_Toc247085770"/>
      <w:bookmarkStart w:id="503" w:name="_Toc21724"/>
      <w:r>
        <w:rPr>
          <w:rFonts w:hint="eastAsia" w:ascii="宋体" w:hAnsi="宋体" w:cs="宋体"/>
          <w:b/>
          <w:bCs/>
          <w:color w:val="auto"/>
          <w:highlight w:val="none"/>
        </w:rPr>
        <w:t>1.1 词语定义</w:t>
      </w:r>
      <w:bookmarkEnd w:id="498"/>
      <w:bookmarkEnd w:id="499"/>
      <w:bookmarkEnd w:id="500"/>
      <w:bookmarkEnd w:id="501"/>
      <w:bookmarkEnd w:id="502"/>
      <w:bookmarkEnd w:id="503"/>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通用合同条款、专用合同条款中的下列词语应具有本款所赋予的含义。</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1.1.1 合同</w:t>
      </w:r>
    </w:p>
    <w:p>
      <w:pPr>
        <w:spacing w:line="400" w:lineRule="exact"/>
        <w:ind w:firstLine="840" w:firstLineChars="400"/>
        <w:jc w:val="left"/>
        <w:rPr>
          <w:rFonts w:ascii="宋体" w:hAnsi="宋体" w:cs="宋体"/>
          <w:color w:val="auto"/>
          <w:szCs w:val="21"/>
          <w:highlight w:val="none"/>
        </w:rPr>
      </w:pPr>
      <w:r>
        <w:rPr>
          <w:rFonts w:hint="eastAsia" w:ascii="宋体" w:hAnsi="宋体" w:cs="宋体"/>
          <w:color w:val="auto"/>
          <w:szCs w:val="21"/>
          <w:highlight w:val="none"/>
        </w:rPr>
        <w:t>1.1.1.1 合同文件（或称合同）：指合同协议书、中标通知书、投标函及投标函附录、专用合同条款、通用合同条款、技术标准和要求、图纸、已标价工程量清单，以及其他合同文件。</w:t>
      </w:r>
    </w:p>
    <w:p>
      <w:pPr>
        <w:spacing w:line="400" w:lineRule="exact"/>
        <w:ind w:firstLine="840" w:firstLineChars="400"/>
        <w:jc w:val="left"/>
        <w:rPr>
          <w:rFonts w:ascii="宋体" w:hAnsi="宋体" w:cs="宋体"/>
          <w:color w:val="auto"/>
          <w:szCs w:val="21"/>
          <w:highlight w:val="none"/>
        </w:rPr>
      </w:pPr>
      <w:r>
        <w:rPr>
          <w:rFonts w:hint="eastAsia" w:ascii="宋体" w:hAnsi="宋体" w:cs="宋体"/>
          <w:color w:val="auto"/>
          <w:szCs w:val="21"/>
          <w:highlight w:val="none"/>
        </w:rPr>
        <w:t>1.1.1.2 合同协议书：指第1.5 款所指的合同协议书。</w:t>
      </w:r>
    </w:p>
    <w:p>
      <w:pPr>
        <w:spacing w:line="400" w:lineRule="exact"/>
        <w:ind w:firstLine="840" w:firstLineChars="400"/>
        <w:jc w:val="left"/>
        <w:rPr>
          <w:rFonts w:ascii="宋体" w:hAnsi="宋体" w:cs="宋体"/>
          <w:color w:val="auto"/>
          <w:szCs w:val="21"/>
          <w:highlight w:val="none"/>
        </w:rPr>
      </w:pPr>
      <w:r>
        <w:rPr>
          <w:rFonts w:hint="eastAsia" w:ascii="宋体" w:hAnsi="宋体" w:cs="宋体"/>
          <w:color w:val="auto"/>
          <w:szCs w:val="21"/>
          <w:highlight w:val="none"/>
        </w:rPr>
        <w:t>1.1.1.3 中标通知书：指发包人通知承包人中标的函件。中标通知书随附的澄清、说明、补正事项纪要等，是中标通知书的组成部分。</w:t>
      </w:r>
    </w:p>
    <w:p>
      <w:pPr>
        <w:spacing w:line="400" w:lineRule="exact"/>
        <w:ind w:firstLine="840" w:firstLineChars="400"/>
        <w:jc w:val="left"/>
        <w:rPr>
          <w:rFonts w:ascii="宋体" w:hAnsi="宋体" w:cs="宋体"/>
          <w:color w:val="auto"/>
          <w:szCs w:val="21"/>
          <w:highlight w:val="none"/>
        </w:rPr>
      </w:pPr>
      <w:r>
        <w:rPr>
          <w:rFonts w:hint="eastAsia" w:ascii="宋体" w:hAnsi="宋体" w:cs="宋体"/>
          <w:color w:val="auto"/>
          <w:szCs w:val="21"/>
          <w:highlight w:val="none"/>
        </w:rPr>
        <w:t>1.1.1.4 投标函：指构成合同文件组成部分的由承包人填写并签署的投标函。</w:t>
      </w:r>
    </w:p>
    <w:p>
      <w:pPr>
        <w:spacing w:line="400" w:lineRule="exact"/>
        <w:ind w:firstLine="840" w:firstLineChars="400"/>
        <w:jc w:val="left"/>
        <w:rPr>
          <w:rFonts w:ascii="宋体" w:hAnsi="宋体" w:cs="宋体"/>
          <w:color w:val="auto"/>
          <w:szCs w:val="21"/>
          <w:highlight w:val="none"/>
        </w:rPr>
      </w:pPr>
      <w:r>
        <w:rPr>
          <w:rFonts w:hint="eastAsia" w:ascii="宋体" w:hAnsi="宋体" w:cs="宋体"/>
          <w:color w:val="auto"/>
          <w:szCs w:val="21"/>
          <w:highlight w:val="none"/>
        </w:rPr>
        <w:t>1.1.1.5 投标函附录：指附在投标函后构成合同文件的投标函附录。</w:t>
      </w:r>
    </w:p>
    <w:p>
      <w:pPr>
        <w:spacing w:line="400" w:lineRule="exact"/>
        <w:ind w:firstLine="840" w:firstLineChars="400"/>
        <w:jc w:val="left"/>
        <w:rPr>
          <w:rFonts w:ascii="宋体" w:hAnsi="宋体" w:cs="宋体"/>
          <w:color w:val="auto"/>
          <w:szCs w:val="21"/>
          <w:highlight w:val="none"/>
        </w:rPr>
      </w:pPr>
      <w:r>
        <w:rPr>
          <w:rFonts w:hint="eastAsia" w:ascii="宋体" w:hAnsi="宋体" w:cs="宋体"/>
          <w:color w:val="auto"/>
          <w:szCs w:val="21"/>
          <w:highlight w:val="none"/>
        </w:rPr>
        <w:t>1.1.1.6 技术标准和要求：指构成合同文件组成部分的名为技术标准和要求的文件，以及合同双方当事人约定对其所作的修改或补充。</w:t>
      </w:r>
    </w:p>
    <w:p>
      <w:pPr>
        <w:spacing w:line="400" w:lineRule="exact"/>
        <w:ind w:firstLine="840" w:firstLineChars="400"/>
        <w:jc w:val="left"/>
        <w:rPr>
          <w:rFonts w:ascii="宋体" w:hAnsi="宋体" w:cs="宋体"/>
          <w:color w:val="auto"/>
          <w:szCs w:val="21"/>
          <w:highlight w:val="none"/>
        </w:rPr>
      </w:pPr>
      <w:r>
        <w:rPr>
          <w:rFonts w:hint="eastAsia" w:ascii="宋体" w:hAnsi="宋体" w:cs="宋体"/>
          <w:color w:val="auto"/>
          <w:szCs w:val="21"/>
          <w:highlight w:val="none"/>
        </w:rPr>
        <w:t>1.1.1.7 图纸：指包含在合同中的工程图纸，以及由发包人按合同约定提供的任何补充和修改的图纸，包括配套的说明。</w:t>
      </w:r>
    </w:p>
    <w:p>
      <w:pPr>
        <w:spacing w:line="400" w:lineRule="exact"/>
        <w:ind w:firstLine="840" w:firstLineChars="400"/>
        <w:jc w:val="left"/>
        <w:rPr>
          <w:rFonts w:ascii="宋体" w:hAnsi="宋体" w:cs="宋体"/>
          <w:color w:val="auto"/>
          <w:szCs w:val="21"/>
          <w:highlight w:val="none"/>
        </w:rPr>
      </w:pPr>
      <w:r>
        <w:rPr>
          <w:rFonts w:hint="eastAsia" w:ascii="宋体" w:hAnsi="宋体" w:cs="宋体"/>
          <w:color w:val="auto"/>
          <w:szCs w:val="21"/>
          <w:highlight w:val="none"/>
        </w:rPr>
        <w:t>1.1.1.8 已标价工程量清单：指构成合同文件组成部分的由承包人按照规定的格式和要求填写并标明价格的工程量清单。</w:t>
      </w:r>
    </w:p>
    <w:p>
      <w:pPr>
        <w:spacing w:line="400" w:lineRule="exact"/>
        <w:ind w:firstLine="840" w:firstLineChars="400"/>
        <w:jc w:val="left"/>
        <w:rPr>
          <w:rFonts w:ascii="宋体" w:hAnsi="宋体" w:cs="宋体"/>
          <w:color w:val="auto"/>
          <w:szCs w:val="21"/>
          <w:highlight w:val="none"/>
        </w:rPr>
      </w:pPr>
      <w:r>
        <w:rPr>
          <w:rFonts w:hint="eastAsia" w:ascii="宋体" w:hAnsi="宋体" w:cs="宋体"/>
          <w:color w:val="auto"/>
          <w:szCs w:val="21"/>
          <w:highlight w:val="none"/>
        </w:rPr>
        <w:t>1.1.1.9 其他合同文件：指经合同双方当事人确认构成合同文件的其他文件。</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1.1.2 合同当事人和人员</w:t>
      </w:r>
    </w:p>
    <w:p>
      <w:pPr>
        <w:spacing w:line="400" w:lineRule="exact"/>
        <w:ind w:firstLine="840" w:firstLineChars="400"/>
        <w:jc w:val="left"/>
        <w:rPr>
          <w:rFonts w:ascii="宋体" w:hAnsi="宋体" w:cs="宋体"/>
          <w:color w:val="auto"/>
          <w:szCs w:val="21"/>
          <w:highlight w:val="none"/>
        </w:rPr>
      </w:pPr>
      <w:r>
        <w:rPr>
          <w:rFonts w:hint="eastAsia" w:ascii="宋体" w:hAnsi="宋体" w:cs="宋体"/>
          <w:color w:val="auto"/>
          <w:szCs w:val="21"/>
          <w:highlight w:val="none"/>
        </w:rPr>
        <w:t>1.1.2.1 合同当事人：指发包人和（或）承包人。</w:t>
      </w:r>
    </w:p>
    <w:p>
      <w:pPr>
        <w:spacing w:line="400" w:lineRule="exact"/>
        <w:ind w:firstLine="840" w:firstLineChars="400"/>
        <w:jc w:val="left"/>
        <w:rPr>
          <w:rFonts w:ascii="宋体" w:hAnsi="宋体" w:cs="宋体"/>
          <w:color w:val="auto"/>
          <w:szCs w:val="21"/>
          <w:highlight w:val="none"/>
        </w:rPr>
      </w:pPr>
      <w:r>
        <w:rPr>
          <w:rFonts w:hint="eastAsia" w:ascii="宋体" w:hAnsi="宋体" w:cs="宋体"/>
          <w:color w:val="auto"/>
          <w:szCs w:val="21"/>
          <w:highlight w:val="none"/>
        </w:rPr>
        <w:t xml:space="preserve">1.1.2.2 发包人：指专用合同条款中指明并与承包人在合同协议书中签字的当事人。 </w:t>
      </w:r>
    </w:p>
    <w:p>
      <w:pPr>
        <w:spacing w:line="400" w:lineRule="exact"/>
        <w:ind w:firstLine="840" w:firstLineChars="400"/>
        <w:jc w:val="left"/>
        <w:rPr>
          <w:rFonts w:ascii="宋体" w:hAnsi="宋体" w:cs="宋体"/>
          <w:color w:val="auto"/>
          <w:szCs w:val="21"/>
          <w:highlight w:val="none"/>
        </w:rPr>
      </w:pPr>
      <w:r>
        <w:rPr>
          <w:rFonts w:hint="eastAsia" w:ascii="宋体" w:hAnsi="宋体" w:cs="宋体"/>
          <w:color w:val="auto"/>
          <w:szCs w:val="21"/>
          <w:highlight w:val="none"/>
        </w:rPr>
        <w:t>1.1.2.3 承包人：指与发包人签订合同协议书的当事人。</w:t>
      </w:r>
    </w:p>
    <w:p>
      <w:pPr>
        <w:spacing w:line="400" w:lineRule="exact"/>
        <w:ind w:firstLine="840" w:firstLineChars="400"/>
        <w:jc w:val="left"/>
        <w:rPr>
          <w:rFonts w:ascii="宋体" w:hAnsi="宋体" w:cs="宋体"/>
          <w:color w:val="auto"/>
          <w:szCs w:val="21"/>
          <w:highlight w:val="none"/>
        </w:rPr>
      </w:pPr>
      <w:r>
        <w:rPr>
          <w:rFonts w:hint="eastAsia" w:ascii="宋体" w:hAnsi="宋体" w:cs="宋体"/>
          <w:color w:val="auto"/>
          <w:szCs w:val="21"/>
          <w:highlight w:val="none"/>
        </w:rPr>
        <w:t>1.1.2.4 承包人项目经理：指承包人派驻施工场地的全权负责人。</w:t>
      </w:r>
    </w:p>
    <w:p>
      <w:pPr>
        <w:spacing w:line="400" w:lineRule="exact"/>
        <w:ind w:firstLine="840" w:firstLineChars="400"/>
        <w:jc w:val="left"/>
        <w:rPr>
          <w:rFonts w:ascii="宋体" w:hAnsi="宋体" w:cs="宋体"/>
          <w:color w:val="auto"/>
          <w:szCs w:val="21"/>
          <w:highlight w:val="none"/>
        </w:rPr>
      </w:pPr>
      <w:r>
        <w:rPr>
          <w:rFonts w:hint="eastAsia" w:ascii="宋体" w:hAnsi="宋体" w:cs="宋体"/>
          <w:color w:val="auto"/>
          <w:szCs w:val="21"/>
          <w:highlight w:val="none"/>
        </w:rPr>
        <w:t>1.1.2.5 监理人：</w:t>
      </w:r>
      <w:r>
        <w:rPr>
          <w:rFonts w:hint="eastAsia" w:ascii="宋体" w:hAnsi="宋体" w:cs="宋体"/>
          <w:color w:val="auto"/>
          <w:highlight w:val="none"/>
        </w:rPr>
        <w:t>指在专用</w:t>
      </w:r>
      <w:r>
        <w:rPr>
          <w:rFonts w:hint="eastAsia" w:ascii="宋体" w:hAnsi="宋体" w:cs="宋体"/>
          <w:color w:val="auto"/>
          <w:szCs w:val="21"/>
          <w:highlight w:val="none"/>
        </w:rPr>
        <w:t>合同条款中指明的，受发包人委托对合同履行实施管理的法人或其他组织。属于国家强制监理的，监理人应当具有相应的监理资质。</w:t>
      </w:r>
    </w:p>
    <w:p>
      <w:pPr>
        <w:spacing w:line="400" w:lineRule="exact"/>
        <w:ind w:firstLine="840" w:firstLineChars="400"/>
        <w:jc w:val="left"/>
        <w:rPr>
          <w:rFonts w:ascii="宋体" w:hAnsi="宋体" w:cs="宋体"/>
          <w:color w:val="auto"/>
          <w:szCs w:val="21"/>
          <w:highlight w:val="none"/>
        </w:rPr>
      </w:pPr>
      <w:r>
        <w:rPr>
          <w:rFonts w:hint="eastAsia" w:ascii="宋体" w:hAnsi="宋体" w:cs="宋体"/>
          <w:color w:val="auto"/>
          <w:szCs w:val="21"/>
          <w:highlight w:val="none"/>
        </w:rPr>
        <w:t>1.1.2.6 总监理工程师（总监）：指由监理人委派常驻施工场地对合同履行实施管理的全权负责人。</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1.1.3 工程和设备</w:t>
      </w:r>
    </w:p>
    <w:p>
      <w:pPr>
        <w:spacing w:line="400" w:lineRule="exact"/>
        <w:ind w:firstLine="840" w:firstLineChars="400"/>
        <w:jc w:val="left"/>
        <w:rPr>
          <w:rFonts w:ascii="宋体" w:hAnsi="宋体" w:cs="宋体"/>
          <w:color w:val="auto"/>
          <w:szCs w:val="21"/>
          <w:highlight w:val="none"/>
        </w:rPr>
      </w:pPr>
      <w:r>
        <w:rPr>
          <w:rFonts w:hint="eastAsia" w:ascii="宋体" w:hAnsi="宋体" w:cs="宋体"/>
          <w:color w:val="auto"/>
          <w:szCs w:val="21"/>
          <w:highlight w:val="none"/>
        </w:rPr>
        <w:t>1.1.3.1 工程：指永久工程和（或）临时工程。</w:t>
      </w:r>
    </w:p>
    <w:p>
      <w:pPr>
        <w:spacing w:line="400" w:lineRule="exact"/>
        <w:ind w:firstLine="840" w:firstLineChars="400"/>
        <w:jc w:val="left"/>
        <w:rPr>
          <w:rFonts w:ascii="宋体" w:hAnsi="宋体" w:cs="宋体"/>
          <w:color w:val="auto"/>
          <w:szCs w:val="21"/>
          <w:highlight w:val="none"/>
        </w:rPr>
      </w:pPr>
      <w:r>
        <w:rPr>
          <w:rFonts w:hint="eastAsia" w:ascii="宋体" w:hAnsi="宋体" w:cs="宋体"/>
          <w:color w:val="auto"/>
          <w:szCs w:val="21"/>
          <w:highlight w:val="none"/>
        </w:rPr>
        <w:t>1.1.3.2 工程设备：指构成或计划构成永久工程一部分的机电设备、仪器装置、运载工具及其他类似的设备和装置。</w:t>
      </w:r>
    </w:p>
    <w:p>
      <w:pPr>
        <w:spacing w:line="400" w:lineRule="exact"/>
        <w:ind w:firstLine="840" w:firstLineChars="400"/>
        <w:jc w:val="left"/>
        <w:rPr>
          <w:rFonts w:ascii="宋体" w:hAnsi="宋体" w:cs="宋体"/>
          <w:color w:val="auto"/>
          <w:szCs w:val="21"/>
          <w:highlight w:val="none"/>
        </w:rPr>
      </w:pPr>
      <w:r>
        <w:rPr>
          <w:rFonts w:hint="eastAsia" w:ascii="宋体" w:hAnsi="宋体" w:cs="宋体"/>
          <w:color w:val="auto"/>
          <w:szCs w:val="21"/>
          <w:highlight w:val="none"/>
        </w:rPr>
        <w:t>1.1.3.3 施工场地（或称工地、现场）：指用于合同工程施工的场所，以及在合同中指定作为施工场地组成部分的其他场所，包括永久占地和临时占地。</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1.1.4 日期</w:t>
      </w:r>
    </w:p>
    <w:p>
      <w:pPr>
        <w:spacing w:line="400" w:lineRule="exact"/>
        <w:ind w:firstLine="840" w:firstLineChars="400"/>
        <w:jc w:val="left"/>
        <w:rPr>
          <w:rFonts w:ascii="宋体" w:hAnsi="宋体" w:cs="宋体"/>
          <w:color w:val="auto"/>
          <w:szCs w:val="21"/>
          <w:highlight w:val="none"/>
        </w:rPr>
      </w:pPr>
      <w:r>
        <w:rPr>
          <w:rFonts w:hint="eastAsia" w:ascii="宋体" w:hAnsi="宋体" w:cs="宋体"/>
          <w:color w:val="auto"/>
          <w:szCs w:val="21"/>
          <w:highlight w:val="none"/>
        </w:rPr>
        <w:t>1.1.4.1 开工通知：指监理人按第6.2款通知承包人开工的函件。</w:t>
      </w:r>
    </w:p>
    <w:p>
      <w:pPr>
        <w:spacing w:line="400" w:lineRule="exact"/>
        <w:ind w:firstLine="840" w:firstLineChars="400"/>
        <w:jc w:val="left"/>
        <w:rPr>
          <w:rFonts w:ascii="宋体" w:hAnsi="宋体" w:cs="宋体"/>
          <w:color w:val="auto"/>
          <w:szCs w:val="21"/>
          <w:highlight w:val="none"/>
        </w:rPr>
      </w:pPr>
      <w:r>
        <w:rPr>
          <w:rFonts w:hint="eastAsia" w:ascii="宋体" w:hAnsi="宋体" w:cs="宋体"/>
          <w:color w:val="auto"/>
          <w:szCs w:val="21"/>
          <w:highlight w:val="none"/>
        </w:rPr>
        <w:t>1.1.4.2 开工日期：指监理人按第6.2款发出的开工通知中写明的开工日期。</w:t>
      </w:r>
    </w:p>
    <w:p>
      <w:pPr>
        <w:spacing w:line="400" w:lineRule="exact"/>
        <w:ind w:firstLine="840" w:firstLineChars="400"/>
        <w:jc w:val="left"/>
        <w:rPr>
          <w:rFonts w:ascii="宋体" w:hAnsi="宋体" w:cs="宋体"/>
          <w:color w:val="auto"/>
          <w:szCs w:val="21"/>
          <w:highlight w:val="none"/>
        </w:rPr>
      </w:pPr>
      <w:r>
        <w:rPr>
          <w:rFonts w:hint="eastAsia" w:ascii="宋体" w:hAnsi="宋体" w:cs="宋体"/>
          <w:color w:val="auto"/>
          <w:szCs w:val="21"/>
          <w:highlight w:val="none"/>
        </w:rPr>
        <w:t>1.1.4.3 工期：指承包人在投标函中承诺的完成合同工程所需的期限，包括按第6.3款、第6.4款约定所作的变更。</w:t>
      </w:r>
    </w:p>
    <w:p>
      <w:pPr>
        <w:spacing w:line="400" w:lineRule="exact"/>
        <w:ind w:firstLine="840" w:firstLineChars="400"/>
        <w:jc w:val="left"/>
        <w:rPr>
          <w:rFonts w:ascii="宋体" w:hAnsi="宋体" w:cs="宋体"/>
          <w:color w:val="auto"/>
          <w:szCs w:val="21"/>
          <w:highlight w:val="none"/>
        </w:rPr>
      </w:pPr>
      <w:r>
        <w:rPr>
          <w:rFonts w:hint="eastAsia" w:ascii="宋体" w:hAnsi="宋体" w:cs="宋体"/>
          <w:color w:val="auto"/>
          <w:szCs w:val="21"/>
          <w:highlight w:val="none"/>
        </w:rPr>
        <w:t>1.1.4.4 竣工日期：指第1.1.4.3目约定工期届满时的日期。实际竣工日期以工程接收证书中写明的日期为准。</w:t>
      </w:r>
    </w:p>
    <w:p>
      <w:pPr>
        <w:spacing w:line="400" w:lineRule="exact"/>
        <w:ind w:firstLine="840" w:firstLineChars="400"/>
        <w:jc w:val="left"/>
        <w:rPr>
          <w:rFonts w:ascii="宋体" w:hAnsi="宋体" w:cs="宋体"/>
          <w:color w:val="auto"/>
          <w:szCs w:val="21"/>
          <w:highlight w:val="none"/>
        </w:rPr>
      </w:pPr>
      <w:r>
        <w:rPr>
          <w:rFonts w:hint="eastAsia" w:ascii="宋体" w:hAnsi="宋体" w:cs="宋体"/>
          <w:color w:val="auto"/>
          <w:szCs w:val="21"/>
          <w:highlight w:val="none"/>
        </w:rPr>
        <w:t>1.1.4.5 缺陷责任期：指履行第12.1款约定的缺陷责任的期限，具体期限由专用合同条款约定。</w:t>
      </w:r>
    </w:p>
    <w:p>
      <w:pPr>
        <w:spacing w:line="400" w:lineRule="exact"/>
        <w:ind w:firstLine="840" w:firstLineChars="400"/>
        <w:jc w:val="left"/>
        <w:rPr>
          <w:rFonts w:ascii="宋体" w:hAnsi="宋体" w:cs="宋体"/>
          <w:color w:val="auto"/>
          <w:szCs w:val="21"/>
          <w:highlight w:val="none"/>
        </w:rPr>
      </w:pPr>
      <w:r>
        <w:rPr>
          <w:rFonts w:hint="eastAsia" w:ascii="宋体" w:hAnsi="宋体" w:cs="宋体"/>
          <w:color w:val="auto"/>
          <w:szCs w:val="21"/>
          <w:highlight w:val="none"/>
        </w:rPr>
        <w:t>1.1.4.6 天：除特别指明外，指日历天。合同中按天计算时间的，开始当天不计入，从次日开始计算。期限最后一天的截止时间为当天24:00。</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1.1.5 合同价格和费用</w:t>
      </w:r>
    </w:p>
    <w:p>
      <w:pPr>
        <w:spacing w:line="400" w:lineRule="exact"/>
        <w:ind w:firstLine="840" w:firstLineChars="400"/>
        <w:jc w:val="left"/>
        <w:rPr>
          <w:rFonts w:ascii="宋体" w:hAnsi="宋体" w:cs="宋体"/>
          <w:color w:val="auto"/>
          <w:szCs w:val="21"/>
          <w:highlight w:val="none"/>
        </w:rPr>
      </w:pPr>
      <w:r>
        <w:rPr>
          <w:rFonts w:hint="eastAsia" w:ascii="宋体" w:hAnsi="宋体" w:cs="宋体"/>
          <w:color w:val="auto"/>
          <w:szCs w:val="21"/>
          <w:highlight w:val="none"/>
        </w:rPr>
        <w:t>1.1.5.1 签约合同价：指签定合同时合同协议书中写明的，包括了暂列金额的合同总金额。</w:t>
      </w:r>
    </w:p>
    <w:p>
      <w:pPr>
        <w:spacing w:line="400" w:lineRule="exact"/>
        <w:ind w:firstLine="840" w:firstLineChars="400"/>
        <w:jc w:val="left"/>
        <w:rPr>
          <w:rFonts w:ascii="宋体" w:hAnsi="宋体" w:cs="宋体"/>
          <w:color w:val="auto"/>
          <w:szCs w:val="21"/>
          <w:highlight w:val="none"/>
        </w:rPr>
      </w:pPr>
      <w:r>
        <w:rPr>
          <w:rFonts w:hint="eastAsia" w:ascii="宋体" w:hAnsi="宋体" w:cs="宋体"/>
          <w:color w:val="auto"/>
          <w:szCs w:val="21"/>
          <w:highlight w:val="none"/>
        </w:rPr>
        <w:t>1.1.5.2 合同价格：指承包人按合同约定完成了包括缺陷责任期内的全部承包工作后，发包人应付给承包人的金额，包括在履行合同过程中按合同约定进行的变更和调整。</w:t>
      </w:r>
    </w:p>
    <w:p>
      <w:pPr>
        <w:spacing w:line="400" w:lineRule="exact"/>
        <w:ind w:firstLine="840" w:firstLineChars="400"/>
        <w:jc w:val="left"/>
        <w:rPr>
          <w:rFonts w:ascii="宋体" w:hAnsi="宋体" w:cs="宋体"/>
          <w:color w:val="auto"/>
          <w:szCs w:val="21"/>
          <w:highlight w:val="none"/>
        </w:rPr>
      </w:pPr>
      <w:r>
        <w:rPr>
          <w:rFonts w:hint="eastAsia" w:ascii="宋体" w:hAnsi="宋体" w:cs="宋体"/>
          <w:color w:val="auto"/>
          <w:szCs w:val="21"/>
          <w:highlight w:val="none"/>
        </w:rPr>
        <w:t>1.1.5.3 费用：指为履行合同所发生的或将要发生的所有合理开支，包括管理费和应分摊的其他费用，但不包括利润。</w:t>
      </w:r>
    </w:p>
    <w:p>
      <w:pPr>
        <w:spacing w:line="400" w:lineRule="exact"/>
        <w:ind w:firstLine="840" w:firstLineChars="400"/>
        <w:jc w:val="left"/>
        <w:rPr>
          <w:rFonts w:ascii="宋体" w:hAnsi="宋体" w:cs="宋体"/>
          <w:color w:val="auto"/>
          <w:szCs w:val="21"/>
          <w:highlight w:val="none"/>
        </w:rPr>
      </w:pPr>
      <w:r>
        <w:rPr>
          <w:rFonts w:hint="eastAsia" w:ascii="宋体" w:hAnsi="宋体" w:cs="宋体"/>
          <w:color w:val="auto"/>
          <w:szCs w:val="21"/>
          <w:highlight w:val="none"/>
        </w:rPr>
        <w:t>1.1.5.4 暂列金额：指已标价工程量清单中所列的暂列金额，用于在签订协议书时尚未确定或不可预见变更的施工及其所需材料、工程设备、服务等的金额，包括以计日工方式支付的金额。</w:t>
      </w:r>
    </w:p>
    <w:p>
      <w:pPr>
        <w:spacing w:line="400" w:lineRule="exact"/>
        <w:ind w:firstLine="840" w:firstLineChars="400"/>
        <w:jc w:val="left"/>
        <w:rPr>
          <w:rFonts w:ascii="宋体" w:hAnsi="宋体" w:cs="宋体"/>
          <w:color w:val="auto"/>
          <w:szCs w:val="21"/>
          <w:highlight w:val="none"/>
        </w:rPr>
      </w:pPr>
      <w:r>
        <w:rPr>
          <w:rFonts w:hint="eastAsia" w:ascii="宋体" w:hAnsi="宋体" w:cs="宋体"/>
          <w:color w:val="auto"/>
          <w:szCs w:val="21"/>
          <w:highlight w:val="none"/>
        </w:rPr>
        <w:t>1.1.5.5 计日工：指对零星工作采取的一种计价方式，按合同中的计日工子目及其单价计价付款。</w:t>
      </w:r>
    </w:p>
    <w:p>
      <w:pPr>
        <w:spacing w:line="400" w:lineRule="exact"/>
        <w:ind w:firstLine="840" w:firstLineChars="400"/>
        <w:jc w:val="left"/>
        <w:rPr>
          <w:rFonts w:ascii="宋体" w:hAnsi="宋体" w:cs="宋体"/>
          <w:color w:val="auto"/>
          <w:szCs w:val="21"/>
          <w:highlight w:val="none"/>
        </w:rPr>
      </w:pPr>
      <w:r>
        <w:rPr>
          <w:rFonts w:hint="eastAsia" w:ascii="宋体" w:hAnsi="宋体" w:cs="宋体"/>
          <w:color w:val="auto"/>
          <w:szCs w:val="21"/>
          <w:highlight w:val="none"/>
        </w:rPr>
        <w:t>1.1.5.6 质量保证金（或称保留金）：指按第10.4款约定用于保证在缺陷责任期内履行缺陷修复义务的金额。</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1.1.6 其他</w:t>
      </w:r>
    </w:p>
    <w:p>
      <w:pPr>
        <w:spacing w:line="400" w:lineRule="exact"/>
        <w:ind w:firstLine="840" w:firstLineChars="400"/>
        <w:jc w:val="left"/>
        <w:rPr>
          <w:rFonts w:ascii="宋体" w:hAnsi="宋体" w:cs="宋体"/>
          <w:color w:val="auto"/>
          <w:szCs w:val="21"/>
          <w:highlight w:val="none"/>
        </w:rPr>
      </w:pPr>
      <w:r>
        <w:rPr>
          <w:rFonts w:hint="eastAsia" w:ascii="宋体" w:hAnsi="宋体" w:cs="宋体"/>
          <w:color w:val="auto"/>
          <w:szCs w:val="21"/>
          <w:highlight w:val="none"/>
        </w:rPr>
        <w:t>1.1.6.1 书面形式：指合同文件、信函、电报、传真、电子数据交换和电子邮件等可以有形地表现所载内容的形式。</w:t>
      </w:r>
    </w:p>
    <w:p>
      <w:pPr>
        <w:spacing w:line="400" w:lineRule="exact"/>
        <w:ind w:firstLine="422" w:firstLineChars="200"/>
        <w:jc w:val="left"/>
        <w:rPr>
          <w:rFonts w:ascii="宋体" w:hAnsi="宋体" w:cs="宋体"/>
          <w:b/>
          <w:bCs/>
          <w:color w:val="auto"/>
          <w:highlight w:val="none"/>
        </w:rPr>
      </w:pPr>
      <w:bookmarkStart w:id="504" w:name="_Toc246996999"/>
      <w:bookmarkStart w:id="505" w:name="_Toc4966"/>
      <w:bookmarkStart w:id="506" w:name="_Toc29001"/>
      <w:bookmarkStart w:id="507" w:name="_Toc246996256"/>
      <w:bookmarkStart w:id="508" w:name="_Toc19800"/>
      <w:bookmarkStart w:id="509" w:name="_Toc247085771"/>
      <w:r>
        <w:rPr>
          <w:rFonts w:hint="eastAsia" w:ascii="宋体" w:hAnsi="宋体" w:cs="宋体"/>
          <w:b/>
          <w:bCs/>
          <w:color w:val="auto"/>
          <w:highlight w:val="none"/>
        </w:rPr>
        <w:t>1.2 语言文字</w:t>
      </w:r>
      <w:bookmarkEnd w:id="504"/>
      <w:bookmarkEnd w:id="505"/>
      <w:bookmarkEnd w:id="506"/>
      <w:bookmarkEnd w:id="507"/>
      <w:bookmarkEnd w:id="508"/>
      <w:bookmarkEnd w:id="509"/>
    </w:p>
    <w:p>
      <w:pPr>
        <w:spacing w:line="400" w:lineRule="exact"/>
        <w:ind w:firstLine="420" w:firstLineChars="200"/>
        <w:jc w:val="left"/>
        <w:rPr>
          <w:rFonts w:ascii="宋体" w:hAnsi="宋体" w:cs="宋体"/>
          <w:color w:val="auto"/>
          <w:szCs w:val="21"/>
          <w:highlight w:val="none"/>
        </w:rPr>
      </w:pPr>
      <w:bookmarkStart w:id="510" w:name="_Toc246996257"/>
      <w:bookmarkStart w:id="511" w:name="_Toc246997000"/>
      <w:bookmarkStart w:id="512" w:name="_Toc247085772"/>
      <w:r>
        <w:rPr>
          <w:rFonts w:hint="eastAsia" w:ascii="宋体" w:hAnsi="宋体" w:cs="宋体"/>
          <w:color w:val="auto"/>
          <w:szCs w:val="21"/>
          <w:highlight w:val="none"/>
        </w:rPr>
        <w:t>合同使用的语言文字为中文。专用术语使用外文的，应附有中文注释。</w:t>
      </w:r>
    </w:p>
    <w:p>
      <w:pPr>
        <w:spacing w:line="400" w:lineRule="exact"/>
        <w:ind w:firstLine="422" w:firstLineChars="200"/>
        <w:jc w:val="left"/>
        <w:rPr>
          <w:rFonts w:ascii="宋体" w:hAnsi="宋体" w:cs="宋体"/>
          <w:b/>
          <w:bCs/>
          <w:color w:val="auto"/>
          <w:highlight w:val="none"/>
        </w:rPr>
      </w:pPr>
      <w:bookmarkStart w:id="513" w:name="_Toc25966"/>
      <w:bookmarkStart w:id="514" w:name="_Toc14106"/>
      <w:bookmarkStart w:id="515" w:name="_Toc3094"/>
      <w:r>
        <w:rPr>
          <w:rFonts w:hint="eastAsia" w:ascii="宋体" w:hAnsi="宋体" w:cs="宋体"/>
          <w:b/>
          <w:bCs/>
          <w:color w:val="auto"/>
          <w:highlight w:val="none"/>
        </w:rPr>
        <w:t>1.3 法律</w:t>
      </w:r>
      <w:bookmarkEnd w:id="510"/>
      <w:bookmarkEnd w:id="511"/>
      <w:bookmarkEnd w:id="512"/>
      <w:bookmarkEnd w:id="513"/>
      <w:bookmarkEnd w:id="514"/>
      <w:bookmarkEnd w:id="515"/>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适用于合同的法律包括中华人民共和国法律、行政法规、部门规章，以及工程所在地的地方法规、自治条例、单行条例和地方政府规章。</w:t>
      </w:r>
    </w:p>
    <w:p>
      <w:pPr>
        <w:spacing w:line="400" w:lineRule="exact"/>
        <w:ind w:firstLine="422" w:firstLineChars="200"/>
        <w:jc w:val="left"/>
        <w:rPr>
          <w:rFonts w:ascii="宋体" w:hAnsi="宋体" w:cs="宋体"/>
          <w:b/>
          <w:bCs/>
          <w:color w:val="auto"/>
          <w:highlight w:val="none"/>
        </w:rPr>
      </w:pPr>
      <w:bookmarkStart w:id="516" w:name="_Toc246996258"/>
      <w:bookmarkStart w:id="517" w:name="_Toc4011"/>
      <w:bookmarkStart w:id="518" w:name="_Toc246997001"/>
      <w:bookmarkStart w:id="519" w:name="_Toc14986"/>
      <w:bookmarkStart w:id="520" w:name="_Toc9036"/>
      <w:bookmarkStart w:id="521" w:name="_Toc247085773"/>
      <w:r>
        <w:rPr>
          <w:rFonts w:hint="eastAsia" w:ascii="宋体" w:hAnsi="宋体" w:cs="宋体"/>
          <w:b/>
          <w:bCs/>
          <w:color w:val="auto"/>
          <w:highlight w:val="none"/>
        </w:rPr>
        <w:t>1.4 合同文件的优先顺序</w:t>
      </w:r>
      <w:bookmarkEnd w:id="516"/>
      <w:bookmarkEnd w:id="517"/>
      <w:bookmarkEnd w:id="518"/>
      <w:bookmarkEnd w:id="519"/>
      <w:bookmarkEnd w:id="520"/>
      <w:bookmarkEnd w:id="521"/>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组成合同的各项文件应互相解释，互为说明。除专用合同条款另有约定外，解释合同文件的优先顺序如下：</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（1）合同协议书；</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（2）中标通知书；</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（3）投标函及投标函附录；</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（4）通用合同条款；</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（5）技术标准和要求；</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（6）图纸；</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（7）已标价工程量清单；</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（8）其他合同文件。</w:t>
      </w:r>
    </w:p>
    <w:p>
      <w:pPr>
        <w:spacing w:line="400" w:lineRule="exact"/>
        <w:ind w:firstLine="422" w:firstLineChars="200"/>
        <w:jc w:val="left"/>
        <w:rPr>
          <w:rFonts w:ascii="宋体" w:hAnsi="宋体" w:cs="宋体"/>
          <w:b/>
          <w:bCs/>
          <w:color w:val="auto"/>
          <w:highlight w:val="none"/>
        </w:rPr>
      </w:pPr>
      <w:bookmarkStart w:id="522" w:name="_Toc15982"/>
      <w:bookmarkStart w:id="523" w:name="_Toc247085774"/>
      <w:bookmarkStart w:id="524" w:name="_Toc246996259"/>
      <w:bookmarkStart w:id="525" w:name="_Toc246997002"/>
      <w:bookmarkStart w:id="526" w:name="_Toc9782"/>
      <w:bookmarkStart w:id="527" w:name="_Toc1362"/>
      <w:r>
        <w:rPr>
          <w:rFonts w:hint="eastAsia" w:ascii="宋体" w:hAnsi="宋体" w:cs="宋体"/>
          <w:b/>
          <w:bCs/>
          <w:color w:val="auto"/>
          <w:highlight w:val="none"/>
        </w:rPr>
        <w:t>1.5 合同协议书</w:t>
      </w:r>
      <w:bookmarkEnd w:id="522"/>
      <w:bookmarkEnd w:id="523"/>
      <w:bookmarkEnd w:id="524"/>
      <w:bookmarkEnd w:id="525"/>
      <w:bookmarkEnd w:id="526"/>
      <w:bookmarkEnd w:id="527"/>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承包人按中标通知书规定的时间与发包人签订合同协议书。除法律另有规定或合同另有约定外，发包人和承包人的法定代表人或其委托代理人在合同协议书上签字并盖单位章后，合同生效。</w:t>
      </w:r>
    </w:p>
    <w:p>
      <w:pPr>
        <w:spacing w:line="400" w:lineRule="exact"/>
        <w:ind w:firstLine="422" w:firstLineChars="200"/>
        <w:jc w:val="left"/>
        <w:rPr>
          <w:rFonts w:ascii="宋体" w:hAnsi="宋体" w:cs="宋体"/>
          <w:b/>
          <w:bCs/>
          <w:color w:val="auto"/>
          <w:highlight w:val="none"/>
        </w:rPr>
      </w:pPr>
      <w:bookmarkStart w:id="528" w:name="_Toc247085775"/>
      <w:bookmarkStart w:id="529" w:name="_Toc1449"/>
      <w:bookmarkStart w:id="530" w:name="_Toc23269"/>
      <w:bookmarkStart w:id="531" w:name="_Toc246997003"/>
      <w:bookmarkStart w:id="532" w:name="_Toc896"/>
      <w:bookmarkStart w:id="533" w:name="_Toc246996260"/>
      <w:r>
        <w:rPr>
          <w:rFonts w:hint="eastAsia" w:ascii="宋体" w:hAnsi="宋体" w:cs="宋体"/>
          <w:b/>
          <w:bCs/>
          <w:color w:val="auto"/>
          <w:highlight w:val="none"/>
        </w:rPr>
        <w:t>1.6 图纸和承包人文件</w:t>
      </w:r>
      <w:bookmarkEnd w:id="528"/>
      <w:bookmarkEnd w:id="529"/>
      <w:bookmarkEnd w:id="530"/>
      <w:bookmarkEnd w:id="531"/>
      <w:bookmarkEnd w:id="532"/>
      <w:bookmarkEnd w:id="533"/>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1.6.1 发包人提供的图纸</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除专用合同条款另有约定外，图纸应在合理的期限内按照合同约定的数量提供给承包人。</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1.6.2 承包人提供的文件</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按专用合同条款约定由承包人提供的文件，包括部分工程的大样图、加工图等，承包人应按约定的数量和期限报送监理人。监理人应在专用合同条款约定的期限内批复。</w:t>
      </w:r>
    </w:p>
    <w:p>
      <w:pPr>
        <w:spacing w:line="400" w:lineRule="exact"/>
        <w:ind w:firstLine="422" w:firstLineChars="200"/>
        <w:jc w:val="left"/>
        <w:rPr>
          <w:rFonts w:ascii="宋体" w:hAnsi="宋体" w:cs="宋体"/>
          <w:b/>
          <w:bCs/>
          <w:color w:val="auto"/>
          <w:highlight w:val="none"/>
        </w:rPr>
      </w:pPr>
      <w:bookmarkStart w:id="534" w:name="_Toc247085776"/>
      <w:bookmarkStart w:id="535" w:name="_Toc246996261"/>
      <w:bookmarkStart w:id="536" w:name="_Toc12973"/>
      <w:bookmarkStart w:id="537" w:name="_Toc246997004"/>
      <w:bookmarkStart w:id="538" w:name="_Toc14255"/>
      <w:bookmarkStart w:id="539" w:name="_Toc2710"/>
      <w:r>
        <w:rPr>
          <w:rFonts w:hint="eastAsia" w:ascii="宋体" w:hAnsi="宋体" w:cs="宋体"/>
          <w:b/>
          <w:bCs/>
          <w:color w:val="auto"/>
          <w:highlight w:val="none"/>
        </w:rPr>
        <w:t>1.7 联络</w:t>
      </w:r>
      <w:bookmarkEnd w:id="534"/>
      <w:bookmarkEnd w:id="535"/>
      <w:bookmarkEnd w:id="536"/>
      <w:bookmarkEnd w:id="537"/>
      <w:bookmarkEnd w:id="538"/>
      <w:bookmarkEnd w:id="539"/>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与合同有关的通知、批准、证明、证书、指示、要求、请求、同意、意见、确定和决定等重要文件，均应采用书面形式。</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按合同约定应当由监理人审核、批准、确认或者提出修改意见的承包人的要求、请求、申请和报批等，监理人在合同约定的期限内未回复的，视同认可，合同中未明确约定回复期限的，其相应期限均为收到相关文件后7天。</w:t>
      </w:r>
    </w:p>
    <w:p>
      <w:pPr>
        <w:pStyle w:val="4"/>
        <w:spacing w:before="0" w:after="0" w:line="400" w:lineRule="exact"/>
        <w:jc w:val="left"/>
        <w:rPr>
          <w:rFonts w:ascii="宋体" w:hAnsi="宋体" w:eastAsia="宋体" w:cs="宋体"/>
          <w:color w:val="auto"/>
          <w:highlight w:val="none"/>
        </w:rPr>
      </w:pPr>
      <w:bookmarkStart w:id="540" w:name="_Toc32180"/>
      <w:bookmarkStart w:id="541" w:name="_Toc184635099"/>
      <w:bookmarkStart w:id="542" w:name="_Toc247085778"/>
      <w:bookmarkStart w:id="543" w:name="_Toc466470799"/>
      <w:bookmarkStart w:id="544" w:name="_Toc466470929"/>
      <w:bookmarkStart w:id="545" w:name="_Toc17780"/>
      <w:bookmarkStart w:id="546" w:name="_Toc246996263"/>
      <w:bookmarkStart w:id="547" w:name="_Toc246997006"/>
      <w:bookmarkStart w:id="548" w:name="_Toc22758"/>
      <w:r>
        <w:rPr>
          <w:rFonts w:hint="eastAsia" w:ascii="宋体" w:hAnsi="宋体" w:eastAsia="宋体" w:cs="宋体"/>
          <w:color w:val="auto"/>
          <w:highlight w:val="none"/>
        </w:rPr>
        <w:t>2. 发包人义务</w:t>
      </w:r>
      <w:bookmarkEnd w:id="540"/>
      <w:bookmarkEnd w:id="541"/>
      <w:bookmarkEnd w:id="542"/>
      <w:bookmarkEnd w:id="543"/>
      <w:bookmarkEnd w:id="544"/>
      <w:bookmarkEnd w:id="545"/>
      <w:bookmarkEnd w:id="546"/>
      <w:bookmarkEnd w:id="547"/>
      <w:bookmarkEnd w:id="548"/>
    </w:p>
    <w:p>
      <w:pPr>
        <w:spacing w:line="400" w:lineRule="exact"/>
        <w:ind w:firstLine="422" w:firstLineChars="200"/>
        <w:jc w:val="left"/>
        <w:rPr>
          <w:rFonts w:ascii="宋体" w:hAnsi="宋体" w:cs="宋体"/>
          <w:b/>
          <w:bCs/>
          <w:color w:val="auto"/>
          <w:highlight w:val="none"/>
        </w:rPr>
      </w:pPr>
      <w:bookmarkStart w:id="549" w:name="_Toc18905"/>
      <w:bookmarkStart w:id="550" w:name="_Toc246997007"/>
      <w:bookmarkStart w:id="551" w:name="_Toc247085779"/>
      <w:bookmarkStart w:id="552" w:name="_Toc16298"/>
      <w:bookmarkStart w:id="553" w:name="_Toc18928"/>
      <w:bookmarkStart w:id="554" w:name="_Toc246996264"/>
      <w:r>
        <w:rPr>
          <w:rFonts w:hint="eastAsia" w:ascii="宋体" w:hAnsi="宋体" w:cs="宋体"/>
          <w:b/>
          <w:bCs/>
          <w:color w:val="auto"/>
          <w:highlight w:val="none"/>
        </w:rPr>
        <w:t>2.1 遵守法律</w:t>
      </w:r>
      <w:bookmarkEnd w:id="549"/>
      <w:bookmarkEnd w:id="550"/>
      <w:bookmarkEnd w:id="551"/>
      <w:bookmarkEnd w:id="552"/>
      <w:bookmarkEnd w:id="553"/>
      <w:bookmarkEnd w:id="554"/>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发包人在履行合同过程中应遵守法律，并保证承包人免于承担因发包人违反法律而引起的任何责任。</w:t>
      </w:r>
    </w:p>
    <w:p>
      <w:pPr>
        <w:spacing w:line="400" w:lineRule="exact"/>
        <w:ind w:firstLine="422" w:firstLineChars="200"/>
        <w:jc w:val="left"/>
        <w:rPr>
          <w:rFonts w:ascii="宋体" w:hAnsi="宋体" w:cs="宋体"/>
          <w:b/>
          <w:bCs/>
          <w:color w:val="auto"/>
          <w:highlight w:val="none"/>
        </w:rPr>
      </w:pPr>
      <w:bookmarkStart w:id="555" w:name="_Toc3794"/>
      <w:bookmarkStart w:id="556" w:name="_Toc246996265"/>
      <w:bookmarkStart w:id="557" w:name="_Toc246997008"/>
      <w:bookmarkStart w:id="558" w:name="_Toc13164"/>
      <w:bookmarkStart w:id="559" w:name="_Toc30375"/>
      <w:bookmarkStart w:id="560" w:name="_Toc247085780"/>
      <w:r>
        <w:rPr>
          <w:rFonts w:hint="eastAsia" w:ascii="宋体" w:hAnsi="宋体" w:cs="宋体"/>
          <w:b/>
          <w:bCs/>
          <w:color w:val="auto"/>
          <w:highlight w:val="none"/>
        </w:rPr>
        <w:t>2.2 发出开工通知</w:t>
      </w:r>
      <w:bookmarkEnd w:id="555"/>
      <w:bookmarkEnd w:id="556"/>
      <w:bookmarkEnd w:id="557"/>
      <w:bookmarkEnd w:id="558"/>
      <w:bookmarkEnd w:id="559"/>
      <w:bookmarkEnd w:id="560"/>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发包人应委托监理人按第6.2 款的约定向承包人发出开工通知。</w:t>
      </w:r>
    </w:p>
    <w:p>
      <w:pPr>
        <w:spacing w:line="400" w:lineRule="exact"/>
        <w:ind w:firstLine="422" w:firstLineChars="200"/>
        <w:jc w:val="left"/>
        <w:rPr>
          <w:rFonts w:ascii="宋体" w:hAnsi="宋体" w:cs="宋体"/>
          <w:b/>
          <w:bCs/>
          <w:color w:val="auto"/>
          <w:highlight w:val="none"/>
        </w:rPr>
      </w:pPr>
      <w:bookmarkStart w:id="561" w:name="_Toc246997009"/>
      <w:bookmarkStart w:id="562" w:name="_Toc246996266"/>
      <w:bookmarkStart w:id="563" w:name="_Toc19354"/>
      <w:bookmarkStart w:id="564" w:name="_Toc247085781"/>
      <w:bookmarkStart w:id="565" w:name="_Toc28743"/>
      <w:bookmarkStart w:id="566" w:name="_Toc13401"/>
      <w:r>
        <w:rPr>
          <w:rFonts w:hint="eastAsia" w:ascii="宋体" w:hAnsi="宋体" w:cs="宋体"/>
          <w:b/>
          <w:bCs/>
          <w:color w:val="auto"/>
          <w:highlight w:val="none"/>
        </w:rPr>
        <w:t>2.3 提供施工场地</w:t>
      </w:r>
      <w:bookmarkEnd w:id="561"/>
      <w:bookmarkEnd w:id="562"/>
      <w:bookmarkEnd w:id="563"/>
      <w:bookmarkEnd w:id="564"/>
      <w:bookmarkEnd w:id="565"/>
      <w:bookmarkEnd w:id="566"/>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发包人应按专用合同条款约定向承包人提供施工场地，以及施工场地内地下管线和地下设施等有关资料，并保证资料的真实、准确、完整。</w:t>
      </w:r>
    </w:p>
    <w:p>
      <w:pPr>
        <w:spacing w:line="400" w:lineRule="exact"/>
        <w:ind w:firstLine="422" w:firstLineChars="200"/>
        <w:jc w:val="left"/>
        <w:rPr>
          <w:rFonts w:ascii="宋体" w:hAnsi="宋体" w:cs="宋体"/>
          <w:b/>
          <w:bCs/>
          <w:color w:val="auto"/>
          <w:highlight w:val="none"/>
        </w:rPr>
      </w:pPr>
      <w:bookmarkStart w:id="567" w:name="_Toc14669"/>
      <w:bookmarkStart w:id="568" w:name="_Toc31927"/>
      <w:bookmarkStart w:id="569" w:name="_Toc29358"/>
      <w:bookmarkStart w:id="570" w:name="_Toc246997010"/>
      <w:bookmarkStart w:id="571" w:name="_Toc246996267"/>
      <w:bookmarkStart w:id="572" w:name="_Toc247085782"/>
      <w:r>
        <w:rPr>
          <w:rFonts w:hint="eastAsia" w:ascii="宋体" w:hAnsi="宋体" w:cs="宋体"/>
          <w:b/>
          <w:bCs/>
          <w:color w:val="auto"/>
          <w:highlight w:val="none"/>
        </w:rPr>
        <w:t>2.4 协助承包人办理证件和批件</w:t>
      </w:r>
      <w:bookmarkEnd w:id="567"/>
      <w:bookmarkEnd w:id="568"/>
      <w:bookmarkEnd w:id="569"/>
      <w:bookmarkEnd w:id="570"/>
      <w:bookmarkEnd w:id="571"/>
      <w:bookmarkEnd w:id="572"/>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发包人应协助承包人办理法律规定的有关施工证件和批件。</w:t>
      </w:r>
    </w:p>
    <w:p>
      <w:pPr>
        <w:spacing w:line="400" w:lineRule="exact"/>
        <w:ind w:firstLine="422" w:firstLineChars="200"/>
        <w:jc w:val="left"/>
        <w:rPr>
          <w:rFonts w:ascii="宋体" w:hAnsi="宋体" w:cs="宋体"/>
          <w:b/>
          <w:bCs/>
          <w:color w:val="auto"/>
          <w:highlight w:val="none"/>
        </w:rPr>
      </w:pPr>
      <w:bookmarkStart w:id="573" w:name="_Toc246996268"/>
      <w:bookmarkStart w:id="574" w:name="_Toc18588"/>
      <w:bookmarkStart w:id="575" w:name="_Toc18297"/>
      <w:bookmarkStart w:id="576" w:name="_Toc246997011"/>
      <w:bookmarkStart w:id="577" w:name="_Toc247085783"/>
      <w:bookmarkStart w:id="578" w:name="_Toc16104"/>
      <w:r>
        <w:rPr>
          <w:rFonts w:hint="eastAsia" w:ascii="宋体" w:hAnsi="宋体" w:cs="宋体"/>
          <w:b/>
          <w:bCs/>
          <w:color w:val="auto"/>
          <w:highlight w:val="none"/>
        </w:rPr>
        <w:t>2.5 组织设计交底</w:t>
      </w:r>
      <w:bookmarkEnd w:id="573"/>
      <w:bookmarkEnd w:id="574"/>
      <w:bookmarkEnd w:id="575"/>
      <w:bookmarkEnd w:id="576"/>
      <w:bookmarkEnd w:id="577"/>
      <w:bookmarkEnd w:id="578"/>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发包人应根据合同进度计划，组织设计单位向承包人进行设计交底。</w:t>
      </w:r>
    </w:p>
    <w:p>
      <w:pPr>
        <w:spacing w:line="400" w:lineRule="exact"/>
        <w:ind w:firstLine="422" w:firstLineChars="200"/>
        <w:jc w:val="left"/>
        <w:rPr>
          <w:rFonts w:ascii="宋体" w:hAnsi="宋体" w:cs="宋体"/>
          <w:b/>
          <w:bCs/>
          <w:color w:val="auto"/>
          <w:highlight w:val="none"/>
        </w:rPr>
      </w:pPr>
      <w:bookmarkStart w:id="579" w:name="_Toc246996269"/>
      <w:bookmarkStart w:id="580" w:name="_Toc31483"/>
      <w:bookmarkStart w:id="581" w:name="_Toc246997012"/>
      <w:bookmarkStart w:id="582" w:name="_Toc247085784"/>
      <w:bookmarkStart w:id="583" w:name="_Toc109"/>
      <w:bookmarkStart w:id="584" w:name="_Toc32047"/>
      <w:r>
        <w:rPr>
          <w:rFonts w:hint="eastAsia" w:ascii="宋体" w:hAnsi="宋体" w:cs="宋体"/>
          <w:b/>
          <w:bCs/>
          <w:color w:val="auto"/>
          <w:highlight w:val="none"/>
        </w:rPr>
        <w:t>2.6 支付合同价款</w:t>
      </w:r>
      <w:bookmarkEnd w:id="579"/>
      <w:bookmarkEnd w:id="580"/>
      <w:bookmarkEnd w:id="581"/>
      <w:bookmarkEnd w:id="582"/>
      <w:bookmarkEnd w:id="583"/>
      <w:bookmarkEnd w:id="584"/>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发包人应按合同约定向承包人及时支付合同价款。</w:t>
      </w:r>
    </w:p>
    <w:p>
      <w:pPr>
        <w:spacing w:line="400" w:lineRule="exact"/>
        <w:ind w:firstLine="422" w:firstLineChars="200"/>
        <w:jc w:val="left"/>
        <w:rPr>
          <w:rFonts w:ascii="宋体" w:hAnsi="宋体" w:cs="宋体"/>
          <w:b/>
          <w:bCs/>
          <w:color w:val="auto"/>
          <w:highlight w:val="none"/>
        </w:rPr>
      </w:pPr>
      <w:bookmarkStart w:id="585" w:name="_Toc246996270"/>
      <w:bookmarkStart w:id="586" w:name="_Toc3487"/>
      <w:bookmarkStart w:id="587" w:name="_Toc247085785"/>
      <w:bookmarkStart w:id="588" w:name="_Toc21139"/>
      <w:bookmarkStart w:id="589" w:name="_Toc13816"/>
      <w:bookmarkStart w:id="590" w:name="_Toc246997013"/>
      <w:r>
        <w:rPr>
          <w:rFonts w:hint="eastAsia" w:ascii="宋体" w:hAnsi="宋体" w:cs="宋体"/>
          <w:b/>
          <w:bCs/>
          <w:color w:val="auto"/>
          <w:highlight w:val="none"/>
        </w:rPr>
        <w:t>2.7 组织竣工验收</w:t>
      </w:r>
      <w:bookmarkEnd w:id="585"/>
      <w:bookmarkEnd w:id="586"/>
      <w:bookmarkEnd w:id="587"/>
      <w:bookmarkEnd w:id="588"/>
      <w:bookmarkEnd w:id="589"/>
      <w:bookmarkEnd w:id="590"/>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发包人应按合同约定及时组织竣工验收。</w:t>
      </w:r>
    </w:p>
    <w:p>
      <w:pPr>
        <w:spacing w:line="400" w:lineRule="exact"/>
        <w:ind w:firstLine="422" w:firstLineChars="200"/>
        <w:jc w:val="left"/>
        <w:rPr>
          <w:rFonts w:ascii="宋体" w:hAnsi="宋体" w:cs="宋体"/>
          <w:b/>
          <w:bCs/>
          <w:color w:val="auto"/>
          <w:highlight w:val="none"/>
        </w:rPr>
      </w:pPr>
      <w:bookmarkStart w:id="591" w:name="_Toc7710"/>
      <w:bookmarkStart w:id="592" w:name="_Toc27184"/>
      <w:bookmarkStart w:id="593" w:name="_Toc247085786"/>
      <w:bookmarkStart w:id="594" w:name="_Toc22156"/>
      <w:bookmarkStart w:id="595" w:name="_Toc246997014"/>
      <w:bookmarkStart w:id="596" w:name="_Toc246996271"/>
      <w:r>
        <w:rPr>
          <w:rFonts w:hint="eastAsia" w:ascii="宋体" w:hAnsi="宋体" w:cs="宋体"/>
          <w:b/>
          <w:bCs/>
          <w:color w:val="auto"/>
          <w:highlight w:val="none"/>
        </w:rPr>
        <w:t>2.8 其他义务</w:t>
      </w:r>
      <w:bookmarkEnd w:id="591"/>
      <w:bookmarkEnd w:id="592"/>
      <w:bookmarkEnd w:id="593"/>
      <w:bookmarkEnd w:id="594"/>
      <w:bookmarkEnd w:id="595"/>
      <w:bookmarkEnd w:id="596"/>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发包人应履行合同约定的其他义务。</w:t>
      </w:r>
    </w:p>
    <w:p>
      <w:pPr>
        <w:pStyle w:val="4"/>
        <w:spacing w:before="0" w:after="0" w:line="400" w:lineRule="exact"/>
        <w:jc w:val="left"/>
        <w:rPr>
          <w:rFonts w:ascii="宋体" w:hAnsi="宋体" w:eastAsia="宋体" w:cs="宋体"/>
          <w:color w:val="auto"/>
          <w:highlight w:val="none"/>
        </w:rPr>
      </w:pPr>
      <w:bookmarkStart w:id="597" w:name="_Toc466470930"/>
      <w:bookmarkStart w:id="598" w:name="_Toc246997015"/>
      <w:bookmarkStart w:id="599" w:name="_Toc466470800"/>
      <w:bookmarkStart w:id="600" w:name="_Toc8230"/>
      <w:bookmarkStart w:id="601" w:name="_Toc17795"/>
      <w:bookmarkStart w:id="602" w:name="_Toc247085787"/>
      <w:bookmarkStart w:id="603" w:name="_Toc246996272"/>
      <w:bookmarkStart w:id="604" w:name="_Toc184635100"/>
      <w:bookmarkStart w:id="605" w:name="_Toc10554"/>
      <w:r>
        <w:rPr>
          <w:rFonts w:hint="eastAsia" w:ascii="宋体" w:hAnsi="宋体" w:eastAsia="宋体" w:cs="宋体"/>
          <w:color w:val="auto"/>
          <w:highlight w:val="none"/>
        </w:rPr>
        <w:t>3. 监理人</w:t>
      </w:r>
      <w:bookmarkEnd w:id="597"/>
      <w:bookmarkEnd w:id="598"/>
      <w:bookmarkEnd w:id="599"/>
      <w:bookmarkEnd w:id="600"/>
      <w:bookmarkEnd w:id="601"/>
      <w:bookmarkEnd w:id="602"/>
      <w:bookmarkEnd w:id="603"/>
      <w:bookmarkEnd w:id="604"/>
      <w:bookmarkEnd w:id="605"/>
    </w:p>
    <w:p>
      <w:pPr>
        <w:spacing w:line="400" w:lineRule="exact"/>
        <w:ind w:firstLine="422" w:firstLineChars="200"/>
        <w:jc w:val="left"/>
        <w:rPr>
          <w:rFonts w:ascii="宋体" w:hAnsi="宋体" w:cs="宋体"/>
          <w:b/>
          <w:bCs/>
          <w:color w:val="auto"/>
          <w:highlight w:val="none"/>
        </w:rPr>
      </w:pPr>
      <w:bookmarkStart w:id="606" w:name="_Toc13411"/>
      <w:bookmarkStart w:id="607" w:name="_Toc20613"/>
      <w:bookmarkStart w:id="608" w:name="_Toc246996273"/>
      <w:bookmarkStart w:id="609" w:name="_Toc20641"/>
      <w:bookmarkStart w:id="610" w:name="_Toc247085788"/>
      <w:bookmarkStart w:id="611" w:name="_Toc246997016"/>
      <w:r>
        <w:rPr>
          <w:rFonts w:hint="eastAsia" w:ascii="宋体" w:hAnsi="宋体" w:cs="宋体"/>
          <w:b/>
          <w:bCs/>
          <w:color w:val="auto"/>
          <w:highlight w:val="none"/>
        </w:rPr>
        <w:t>3.1 监理人的职责和权力</w:t>
      </w:r>
      <w:bookmarkEnd w:id="606"/>
      <w:bookmarkEnd w:id="607"/>
      <w:bookmarkEnd w:id="608"/>
      <w:bookmarkEnd w:id="609"/>
      <w:bookmarkEnd w:id="610"/>
      <w:bookmarkEnd w:id="611"/>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3.1.1 监理人受发包人委托，享有合同约定的权力，其所发出的任何指示应视为已得到发包人的批准。监理人在行使某项权力前需要经发包人事先批准而通用合同条款没有指明的，应在专用合同条款中指明。未经发包人批准，监理人无权修改合同。</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3.1.2 合同约定应由承包人承担的义务和责任，不因监理人对承包人文件的审查或批准，对工程、材料和工程设备的检查和检验，以及为实施监理作出的指示等职务行为而减轻或解除。</w:t>
      </w:r>
    </w:p>
    <w:p>
      <w:pPr>
        <w:spacing w:line="400" w:lineRule="exact"/>
        <w:ind w:firstLine="422" w:firstLineChars="200"/>
        <w:jc w:val="left"/>
        <w:rPr>
          <w:rFonts w:ascii="宋体" w:hAnsi="宋体" w:cs="宋体"/>
          <w:b/>
          <w:bCs/>
          <w:color w:val="auto"/>
          <w:highlight w:val="none"/>
        </w:rPr>
      </w:pPr>
      <w:bookmarkStart w:id="612" w:name="_Toc246997017"/>
      <w:bookmarkStart w:id="613" w:name="_Toc2661"/>
      <w:bookmarkStart w:id="614" w:name="_Toc18942"/>
      <w:bookmarkStart w:id="615" w:name="_Toc2496"/>
      <w:bookmarkStart w:id="616" w:name="_Toc246996274"/>
      <w:bookmarkStart w:id="617" w:name="_Toc247085789"/>
      <w:r>
        <w:rPr>
          <w:rFonts w:hint="eastAsia" w:ascii="宋体" w:hAnsi="宋体" w:cs="宋体"/>
          <w:b/>
          <w:bCs/>
          <w:color w:val="auto"/>
          <w:highlight w:val="none"/>
        </w:rPr>
        <w:t>3.2 总监理工程师</w:t>
      </w:r>
      <w:bookmarkEnd w:id="612"/>
      <w:bookmarkEnd w:id="613"/>
      <w:bookmarkEnd w:id="614"/>
      <w:bookmarkEnd w:id="615"/>
      <w:bookmarkEnd w:id="616"/>
      <w:bookmarkEnd w:id="617"/>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发包人应在发出开工通知前将总监理工程师的任命通知承包人。</w:t>
      </w:r>
    </w:p>
    <w:p>
      <w:pPr>
        <w:spacing w:line="400" w:lineRule="exact"/>
        <w:ind w:firstLine="422" w:firstLineChars="200"/>
        <w:jc w:val="left"/>
        <w:rPr>
          <w:rFonts w:ascii="宋体" w:hAnsi="宋体" w:cs="宋体"/>
          <w:b/>
          <w:bCs/>
          <w:color w:val="auto"/>
          <w:highlight w:val="none"/>
        </w:rPr>
      </w:pPr>
      <w:bookmarkStart w:id="618" w:name="_Toc247085790"/>
      <w:bookmarkStart w:id="619" w:name="_Toc246997018"/>
      <w:bookmarkStart w:id="620" w:name="_Toc246996275"/>
      <w:bookmarkStart w:id="621" w:name="_Toc31676"/>
      <w:bookmarkStart w:id="622" w:name="_Toc28316"/>
      <w:bookmarkStart w:id="623" w:name="_Toc25066"/>
      <w:r>
        <w:rPr>
          <w:rFonts w:hint="eastAsia" w:ascii="宋体" w:hAnsi="宋体" w:cs="宋体"/>
          <w:b/>
          <w:bCs/>
          <w:color w:val="auto"/>
          <w:highlight w:val="none"/>
        </w:rPr>
        <w:t>3.3 监理人员</w:t>
      </w:r>
      <w:bookmarkEnd w:id="618"/>
      <w:bookmarkEnd w:id="619"/>
      <w:bookmarkEnd w:id="620"/>
      <w:bookmarkEnd w:id="621"/>
      <w:bookmarkEnd w:id="622"/>
      <w:bookmarkEnd w:id="623"/>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发包人和承包人。</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3.3.2监理人员对承包人文件、工程或其采用的材料和工程设备未在约定的或合理的期限内提出否定意见的，视为已获批准，但不影响监理人在以后拒绝该项工作、工程、材料或工程设备的权利，监理人的拒绝应当符合法律规定和合同约定。</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3.3.3 承包人对总监理工程师授权的监理人员发出的指示有疑问的，可在该指示发出的48小时内向总监理工程师提出书面异议，总监理工程师应在48小时内对该指示予以确认、更改或撤销。</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3.3.4 除专用合同条款另有约定外，总监理工程师不应将第3.5 款约定应由总监理工程师作出确定的权力授权或委托给其他监理人员。</w:t>
      </w:r>
    </w:p>
    <w:p>
      <w:pPr>
        <w:spacing w:line="400" w:lineRule="exact"/>
        <w:ind w:firstLine="422" w:firstLineChars="200"/>
        <w:jc w:val="left"/>
        <w:rPr>
          <w:rFonts w:ascii="宋体" w:hAnsi="宋体" w:cs="宋体"/>
          <w:b/>
          <w:bCs/>
          <w:color w:val="auto"/>
          <w:highlight w:val="none"/>
        </w:rPr>
      </w:pPr>
      <w:bookmarkStart w:id="624" w:name="_Toc26911"/>
      <w:bookmarkStart w:id="625" w:name="_Toc24792"/>
      <w:bookmarkStart w:id="626" w:name="_Toc246996276"/>
      <w:bookmarkStart w:id="627" w:name="_Toc246997019"/>
      <w:bookmarkStart w:id="628" w:name="_Toc247085791"/>
      <w:bookmarkStart w:id="629" w:name="_Toc1901"/>
      <w:r>
        <w:rPr>
          <w:rFonts w:hint="eastAsia" w:ascii="宋体" w:hAnsi="宋体" w:cs="宋体"/>
          <w:b/>
          <w:bCs/>
          <w:color w:val="auto"/>
          <w:highlight w:val="none"/>
        </w:rPr>
        <w:t>3.4 监理人的指示</w:t>
      </w:r>
      <w:bookmarkEnd w:id="624"/>
      <w:bookmarkEnd w:id="625"/>
      <w:bookmarkEnd w:id="626"/>
      <w:bookmarkEnd w:id="627"/>
      <w:bookmarkEnd w:id="628"/>
      <w:bookmarkEnd w:id="629"/>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3.4.1 监理人应按第3.1 款的约定向承包人发出指示，监理人的指示应盖有监理人授权的施工场地机构章，并由总监理工程师或总监理工程师按第3.3.1 项约定授权的监理人员签字。</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3.4.2 承包人收到监理人按第3.4.1 项作出的指示后应遵照执行。指示构成变更的，应按第9条处理。</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3.4.3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确认函应被视为监理人的正式指示。</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3.4.4 除合同另有约定外，承包人只从总监理工程师或按第3.3.1 项被授权的监理人员处取得指示。</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3.4.5 由于监理人未能按合同约定发出指示、指示延误或指示错误而导致承包人费用增加和（或）工期延误的，由发包人承担赔偿责任。</w:t>
      </w:r>
    </w:p>
    <w:p>
      <w:pPr>
        <w:spacing w:line="400" w:lineRule="exact"/>
        <w:ind w:firstLine="422" w:firstLineChars="200"/>
        <w:jc w:val="left"/>
        <w:rPr>
          <w:rFonts w:ascii="宋体" w:hAnsi="宋体" w:cs="宋体"/>
          <w:b/>
          <w:bCs/>
          <w:color w:val="auto"/>
          <w:highlight w:val="none"/>
        </w:rPr>
      </w:pPr>
      <w:bookmarkStart w:id="630" w:name="_Toc246996277"/>
      <w:bookmarkStart w:id="631" w:name="_Toc20319"/>
      <w:bookmarkStart w:id="632" w:name="_Toc246997020"/>
      <w:bookmarkStart w:id="633" w:name="_Toc247085792"/>
      <w:bookmarkStart w:id="634" w:name="_Toc12561"/>
      <w:bookmarkStart w:id="635" w:name="_Toc23851"/>
      <w:r>
        <w:rPr>
          <w:rFonts w:hint="eastAsia" w:ascii="宋体" w:hAnsi="宋体" w:cs="宋体"/>
          <w:b/>
          <w:bCs/>
          <w:color w:val="auto"/>
          <w:highlight w:val="none"/>
        </w:rPr>
        <w:t>3.5 商定或确定</w:t>
      </w:r>
      <w:bookmarkEnd w:id="630"/>
      <w:bookmarkEnd w:id="631"/>
      <w:bookmarkEnd w:id="632"/>
      <w:bookmarkEnd w:id="633"/>
      <w:bookmarkEnd w:id="634"/>
      <w:bookmarkEnd w:id="635"/>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3.5.1 合同约定总监理工程师应按照本款对任何事项进行商定或确定时，总监理工程师应与合同当事人协商，尽量达成一致。不能达成一致的，总监理工程师应认真研究后审慎确定。</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3.5.2 总监理工程师应将商定或确定的事项通知合同当事人，并附详细依据。对总监理工程师的确定有异议的，构成争议，按照第17条的约定处理。在争议解决前，双方应暂按总监理工程师的确定执行，按照第17 条的约定对总监理工程师的确定作出修改的，按修改后的结果执行。</w:t>
      </w:r>
    </w:p>
    <w:p>
      <w:pPr>
        <w:pStyle w:val="4"/>
        <w:spacing w:before="0" w:after="0" w:line="400" w:lineRule="exact"/>
        <w:jc w:val="left"/>
        <w:rPr>
          <w:rFonts w:ascii="宋体" w:hAnsi="宋体" w:eastAsia="宋体" w:cs="宋体"/>
          <w:color w:val="auto"/>
          <w:highlight w:val="none"/>
        </w:rPr>
      </w:pPr>
      <w:bookmarkStart w:id="636" w:name="_Toc21840"/>
      <w:bookmarkStart w:id="637" w:name="_Toc18087"/>
      <w:bookmarkStart w:id="638" w:name="_Toc27639"/>
      <w:bookmarkStart w:id="639" w:name="_Toc247085793"/>
      <w:bookmarkStart w:id="640" w:name="_Toc246997021"/>
      <w:bookmarkStart w:id="641" w:name="_Toc466470801"/>
      <w:bookmarkStart w:id="642" w:name="_Toc466470931"/>
      <w:bookmarkStart w:id="643" w:name="_Toc184635101"/>
      <w:bookmarkStart w:id="644" w:name="_Toc246996278"/>
      <w:r>
        <w:rPr>
          <w:rFonts w:hint="eastAsia" w:ascii="宋体" w:hAnsi="宋体" w:eastAsia="宋体" w:cs="宋体"/>
          <w:color w:val="auto"/>
          <w:highlight w:val="none"/>
        </w:rPr>
        <w:t>4. 承包人</w:t>
      </w:r>
      <w:bookmarkEnd w:id="636"/>
      <w:bookmarkEnd w:id="637"/>
      <w:bookmarkEnd w:id="638"/>
      <w:bookmarkEnd w:id="639"/>
      <w:bookmarkEnd w:id="640"/>
      <w:bookmarkEnd w:id="641"/>
      <w:bookmarkEnd w:id="642"/>
      <w:bookmarkEnd w:id="643"/>
      <w:bookmarkEnd w:id="644"/>
    </w:p>
    <w:p>
      <w:pPr>
        <w:spacing w:line="400" w:lineRule="exact"/>
        <w:ind w:firstLine="422" w:firstLineChars="200"/>
        <w:jc w:val="left"/>
        <w:rPr>
          <w:rFonts w:ascii="宋体" w:hAnsi="宋体" w:cs="宋体"/>
          <w:b/>
          <w:bCs/>
          <w:color w:val="auto"/>
          <w:highlight w:val="none"/>
        </w:rPr>
      </w:pPr>
      <w:bookmarkStart w:id="645" w:name="_Toc246997022"/>
      <w:bookmarkStart w:id="646" w:name="_Toc247085794"/>
      <w:bookmarkStart w:id="647" w:name="_Toc246996279"/>
      <w:bookmarkStart w:id="648" w:name="_Toc6021"/>
      <w:bookmarkStart w:id="649" w:name="_Toc743"/>
      <w:bookmarkStart w:id="650" w:name="_Toc23607"/>
      <w:r>
        <w:rPr>
          <w:rFonts w:hint="eastAsia" w:ascii="宋体" w:hAnsi="宋体" w:cs="宋体"/>
          <w:b/>
          <w:bCs/>
          <w:color w:val="auto"/>
          <w:highlight w:val="none"/>
        </w:rPr>
        <w:t>4.1 承包人的一般义务</w:t>
      </w:r>
      <w:bookmarkEnd w:id="645"/>
      <w:bookmarkEnd w:id="646"/>
      <w:bookmarkEnd w:id="647"/>
      <w:bookmarkEnd w:id="648"/>
      <w:bookmarkEnd w:id="649"/>
      <w:bookmarkEnd w:id="650"/>
    </w:p>
    <w:p>
      <w:pPr>
        <w:spacing w:line="400" w:lineRule="exact"/>
        <w:ind w:firstLine="420"/>
        <w:jc w:val="left"/>
        <w:rPr>
          <w:rFonts w:ascii="宋体" w:hAnsi="宋体" w:cs="宋体"/>
          <w:color w:val="auto"/>
          <w:szCs w:val="21"/>
          <w:highlight w:val="none"/>
        </w:rPr>
      </w:pPr>
      <w:r>
        <w:rPr>
          <w:rFonts w:hint="eastAsia" w:ascii="宋体" w:hAnsi="宋体" w:cs="宋体"/>
          <w:color w:val="auto"/>
          <w:szCs w:val="21"/>
          <w:highlight w:val="none"/>
        </w:rPr>
        <w:t>4.1.1 承包人应按合同约定以及监理人根据第3.4 款作出的指示，实施、完成全部工程，并修补工程中的任何缺陷。</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4.1.2 除合同另有约定外，承包人应提供为按照合同完成工程所需的劳务、材料、施工设备、工程设备和其他物品，以及按合同约定的临时设施等。</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4.1.3 承包人应对所有现场作业、所有施工方法和全部工程的完备性、稳定性和安全性负责。</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4.1.4 承包人应按照法律规定和合同约定，负责施工场地及其周边环境与生态的保护工作。</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4.1.5 工程接收证书颁发前，承包人应负责照管和维护工程。工程接收证书颁发时尚有部分未竣工工程的，承包人还应负责该未竣工工程的照管和维护工作，直至竣工后移交给发包人为止。</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4.1.6 承包人应履行合同约定的其他义务。</w:t>
      </w:r>
    </w:p>
    <w:p>
      <w:pPr>
        <w:spacing w:line="400" w:lineRule="exact"/>
        <w:ind w:firstLine="422" w:firstLineChars="200"/>
        <w:jc w:val="left"/>
        <w:rPr>
          <w:rFonts w:ascii="宋体" w:hAnsi="宋体" w:cs="宋体"/>
          <w:b/>
          <w:bCs/>
          <w:color w:val="auto"/>
          <w:highlight w:val="none"/>
        </w:rPr>
      </w:pPr>
      <w:bookmarkStart w:id="651" w:name="_Toc247085795"/>
      <w:bookmarkStart w:id="652" w:name="_Toc246997023"/>
      <w:bookmarkStart w:id="653" w:name="_Toc713"/>
      <w:bookmarkStart w:id="654" w:name="_Toc246996280"/>
      <w:bookmarkStart w:id="655" w:name="_Toc5487"/>
      <w:bookmarkStart w:id="656" w:name="_Toc31119"/>
      <w:r>
        <w:rPr>
          <w:rFonts w:hint="eastAsia" w:ascii="宋体" w:hAnsi="宋体" w:cs="宋体"/>
          <w:b/>
          <w:bCs/>
          <w:color w:val="auto"/>
          <w:highlight w:val="none"/>
        </w:rPr>
        <w:t>4.2 履约担保</w:t>
      </w:r>
      <w:bookmarkEnd w:id="651"/>
      <w:bookmarkEnd w:id="652"/>
      <w:bookmarkEnd w:id="653"/>
      <w:bookmarkEnd w:id="654"/>
      <w:bookmarkEnd w:id="655"/>
      <w:bookmarkEnd w:id="656"/>
    </w:p>
    <w:p>
      <w:pPr>
        <w:spacing w:line="400" w:lineRule="exact"/>
        <w:ind w:firstLine="420"/>
        <w:jc w:val="left"/>
        <w:rPr>
          <w:rFonts w:ascii="宋体" w:hAnsi="宋体" w:cs="宋体"/>
          <w:color w:val="auto"/>
          <w:szCs w:val="21"/>
          <w:highlight w:val="none"/>
        </w:rPr>
      </w:pPr>
      <w:r>
        <w:rPr>
          <w:rFonts w:hint="eastAsia" w:ascii="宋体" w:hAnsi="宋体" w:cs="宋体"/>
          <w:color w:val="auto"/>
          <w:szCs w:val="21"/>
          <w:highlight w:val="none"/>
        </w:rPr>
        <w:t>4.2.1承包人应保证其履约担保在发包人颁发工程接收证书前一直有效。发包人应在工程接收证书颁发后28 天内把履约担保退还给承包人。</w:t>
      </w:r>
    </w:p>
    <w:p>
      <w:pPr>
        <w:spacing w:line="400" w:lineRule="exact"/>
        <w:ind w:firstLine="420"/>
        <w:jc w:val="left"/>
        <w:rPr>
          <w:rFonts w:ascii="宋体" w:hAnsi="宋体" w:cs="宋体"/>
          <w:color w:val="auto"/>
          <w:szCs w:val="21"/>
          <w:highlight w:val="none"/>
        </w:rPr>
      </w:pPr>
      <w:r>
        <w:rPr>
          <w:rFonts w:hint="eastAsia" w:ascii="宋体" w:hAnsi="宋体" w:cs="宋体"/>
          <w:color w:val="auto"/>
          <w:szCs w:val="21"/>
          <w:highlight w:val="none"/>
        </w:rPr>
        <w:t>4.2.2如工程延期，承包人有义务继续提供履约担保。由于发包人原因导致延期的，继续提供履约担保所需的费用由发包人承担；由于承包人原因导致延期的，继续提供履约担保所需费用由承包人承担。</w:t>
      </w:r>
    </w:p>
    <w:p>
      <w:pPr>
        <w:spacing w:line="400" w:lineRule="exact"/>
        <w:ind w:firstLine="422" w:firstLineChars="200"/>
        <w:jc w:val="left"/>
        <w:rPr>
          <w:rFonts w:ascii="宋体" w:hAnsi="宋体" w:cs="宋体"/>
          <w:b/>
          <w:bCs/>
          <w:color w:val="auto"/>
          <w:highlight w:val="none"/>
        </w:rPr>
      </w:pPr>
      <w:bookmarkStart w:id="657" w:name="_Toc246996282"/>
      <w:bookmarkStart w:id="658" w:name="_Toc246997025"/>
      <w:bookmarkStart w:id="659" w:name="_Toc247085797"/>
      <w:bookmarkStart w:id="660" w:name="_Toc27695"/>
      <w:bookmarkStart w:id="661" w:name="_Toc7764"/>
      <w:bookmarkStart w:id="662" w:name="_Toc12069"/>
      <w:r>
        <w:rPr>
          <w:rFonts w:hint="eastAsia" w:ascii="宋体" w:hAnsi="宋体" w:cs="宋体"/>
          <w:b/>
          <w:bCs/>
          <w:color w:val="auto"/>
          <w:highlight w:val="none"/>
        </w:rPr>
        <w:t>4.3 承包人项目经理</w:t>
      </w:r>
      <w:bookmarkEnd w:id="657"/>
      <w:bookmarkEnd w:id="658"/>
      <w:bookmarkEnd w:id="659"/>
      <w:bookmarkEnd w:id="660"/>
      <w:bookmarkEnd w:id="661"/>
      <w:bookmarkEnd w:id="662"/>
    </w:p>
    <w:p>
      <w:pPr>
        <w:spacing w:line="400" w:lineRule="exact"/>
        <w:ind w:firstLine="420"/>
        <w:jc w:val="left"/>
        <w:rPr>
          <w:rFonts w:ascii="宋体" w:hAnsi="宋体" w:cs="宋体"/>
          <w:color w:val="auto"/>
          <w:szCs w:val="21"/>
          <w:highlight w:val="none"/>
        </w:rPr>
      </w:pPr>
      <w:r>
        <w:rPr>
          <w:rFonts w:hint="eastAsia" w:ascii="宋体" w:hAnsi="宋体" w:cs="宋体"/>
          <w:color w:val="auto"/>
          <w:szCs w:val="21"/>
          <w:highlight w:val="none"/>
        </w:rPr>
        <w:t>承包人应按合同约定指派项目经理，并在约定的期限内到职。承包人项目经理应按合同约定以及监理人按第3.4款作出的指示，负责组织合同工程的实施。承包人为履行合同发出的一切函件均应盖有承包人授权的施工场地管理机构章，并由承包人项目经理或其授权代表签字。</w:t>
      </w:r>
    </w:p>
    <w:p>
      <w:pPr>
        <w:spacing w:line="400" w:lineRule="exact"/>
        <w:ind w:firstLine="422" w:firstLineChars="200"/>
        <w:jc w:val="left"/>
        <w:rPr>
          <w:rFonts w:ascii="宋体" w:hAnsi="宋体" w:cs="宋体"/>
          <w:b/>
          <w:bCs/>
          <w:color w:val="auto"/>
          <w:highlight w:val="none"/>
        </w:rPr>
      </w:pPr>
      <w:bookmarkStart w:id="663" w:name="_Toc247085798"/>
      <w:bookmarkStart w:id="664" w:name="_Toc246997026"/>
      <w:bookmarkStart w:id="665" w:name="_Toc23590"/>
      <w:bookmarkStart w:id="666" w:name="_Toc30663"/>
      <w:bookmarkStart w:id="667" w:name="_Toc246996283"/>
      <w:bookmarkStart w:id="668" w:name="_Toc13561"/>
      <w:r>
        <w:rPr>
          <w:rFonts w:hint="eastAsia" w:ascii="宋体" w:hAnsi="宋体" w:cs="宋体"/>
          <w:b/>
          <w:bCs/>
          <w:color w:val="auto"/>
          <w:highlight w:val="none"/>
        </w:rPr>
        <w:t>4.4 工程价款应专款专用</w:t>
      </w:r>
      <w:bookmarkEnd w:id="663"/>
      <w:bookmarkEnd w:id="664"/>
      <w:bookmarkEnd w:id="665"/>
      <w:bookmarkEnd w:id="666"/>
      <w:bookmarkEnd w:id="667"/>
      <w:bookmarkEnd w:id="668"/>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发包人按合同约定支付给承包人的各项价款应专用于合同工程。</w:t>
      </w:r>
      <w:bookmarkStart w:id="669" w:name="_Toc246997027"/>
      <w:bookmarkStart w:id="670" w:name="_Toc247085799"/>
      <w:bookmarkStart w:id="671" w:name="_Toc246996284"/>
    </w:p>
    <w:p>
      <w:pPr>
        <w:spacing w:line="400" w:lineRule="exact"/>
        <w:ind w:firstLine="422" w:firstLineChars="200"/>
        <w:jc w:val="left"/>
        <w:rPr>
          <w:rFonts w:ascii="宋体" w:hAnsi="宋体" w:cs="宋体"/>
          <w:b/>
          <w:bCs/>
          <w:color w:val="auto"/>
          <w:highlight w:val="none"/>
        </w:rPr>
      </w:pPr>
      <w:bookmarkStart w:id="672" w:name="_Toc144974618"/>
      <w:bookmarkStart w:id="673" w:name="_Toc7599"/>
      <w:bookmarkStart w:id="674" w:name="_Toc11308"/>
      <w:bookmarkStart w:id="675" w:name="_Toc152042428"/>
      <w:bookmarkStart w:id="676" w:name="_Toc152045650"/>
      <w:bookmarkStart w:id="677" w:name="_Toc179632668"/>
      <w:bookmarkStart w:id="678" w:name="_Toc17561"/>
      <w:r>
        <w:rPr>
          <w:rFonts w:hint="eastAsia" w:ascii="宋体" w:hAnsi="宋体" w:cs="宋体"/>
          <w:b/>
          <w:bCs/>
          <w:color w:val="auto"/>
          <w:highlight w:val="none"/>
        </w:rPr>
        <w:t>4.5 不利物质条件</w:t>
      </w:r>
      <w:bookmarkEnd w:id="672"/>
      <w:bookmarkEnd w:id="673"/>
      <w:bookmarkEnd w:id="674"/>
      <w:bookmarkEnd w:id="675"/>
      <w:bookmarkEnd w:id="676"/>
      <w:bookmarkEnd w:id="677"/>
      <w:bookmarkEnd w:id="678"/>
    </w:p>
    <w:p>
      <w:pPr>
        <w:spacing w:line="400" w:lineRule="exact"/>
        <w:ind w:firstLine="420"/>
        <w:jc w:val="left"/>
        <w:rPr>
          <w:rFonts w:ascii="宋体" w:hAnsi="宋体" w:cs="宋体"/>
          <w:color w:val="auto"/>
          <w:szCs w:val="21"/>
          <w:highlight w:val="none"/>
        </w:rPr>
      </w:pPr>
      <w:r>
        <w:rPr>
          <w:rFonts w:hint="eastAsia" w:ascii="宋体" w:hAnsi="宋体" w:cs="宋体"/>
          <w:color w:val="auto"/>
          <w:szCs w:val="21"/>
          <w:highlight w:val="none"/>
        </w:rPr>
        <w:t>4.5.1 不利物质条件，除专用合同条款另有约定外，是指承包人在施工场地遇到的不可预见的自然物质条件、非自然的物质障碍和污染物，包括地下和水文条件，但不包括气候条件。</w:t>
      </w:r>
    </w:p>
    <w:p>
      <w:pPr>
        <w:spacing w:line="400" w:lineRule="exact"/>
        <w:ind w:firstLine="420"/>
        <w:jc w:val="left"/>
        <w:rPr>
          <w:rFonts w:ascii="宋体" w:hAnsi="宋体" w:cs="宋体"/>
          <w:color w:val="auto"/>
          <w:szCs w:val="21"/>
          <w:highlight w:val="none"/>
        </w:rPr>
      </w:pPr>
      <w:r>
        <w:rPr>
          <w:rFonts w:hint="eastAsia" w:ascii="宋体" w:hAnsi="宋体" w:cs="宋体"/>
          <w:color w:val="auto"/>
          <w:szCs w:val="21"/>
          <w:highlight w:val="none"/>
        </w:rPr>
        <w:t>4.5.2 承包人遇到不利物质条件时，应采取适应不利物质条件的合理措施继续施工，并及时通知监理人，通知应载明不利物质条件的内容以及承包人认为不可预见的理由。监理人应当及时发出指示，指示构成变更的，按第9条约定执行。监理人没有发出指示的，承包人因采取合理措施而增加的费用和（或）工期延误，由发包人承担。</w:t>
      </w:r>
    </w:p>
    <w:p>
      <w:pPr>
        <w:spacing w:line="400" w:lineRule="exact"/>
        <w:jc w:val="left"/>
        <w:rPr>
          <w:rFonts w:ascii="宋体" w:hAnsi="宋体" w:cs="宋体"/>
          <w:b/>
          <w:bCs/>
          <w:color w:val="auto"/>
          <w:sz w:val="32"/>
          <w:szCs w:val="32"/>
          <w:highlight w:val="none"/>
        </w:rPr>
      </w:pPr>
      <w:bookmarkStart w:id="679" w:name="_Toc152042446"/>
      <w:bookmarkStart w:id="680" w:name="_Toc144974636"/>
      <w:bookmarkStart w:id="681" w:name="_Toc152045668"/>
      <w:bookmarkStart w:id="682" w:name="_Toc179632686"/>
      <w:bookmarkStart w:id="683" w:name="_Toc13246"/>
      <w:bookmarkStart w:id="684" w:name="_Toc15821"/>
      <w:bookmarkStart w:id="685" w:name="_Toc27702"/>
      <w:r>
        <w:rPr>
          <w:rFonts w:hint="eastAsia" w:ascii="宋体" w:hAnsi="宋体" w:cs="宋体"/>
          <w:b/>
          <w:bCs/>
          <w:color w:val="auto"/>
          <w:sz w:val="32"/>
          <w:szCs w:val="32"/>
          <w:highlight w:val="none"/>
        </w:rPr>
        <w:t xml:space="preserve">5. </w:t>
      </w:r>
      <w:bookmarkEnd w:id="679"/>
      <w:bookmarkEnd w:id="680"/>
      <w:bookmarkEnd w:id="681"/>
      <w:bookmarkEnd w:id="682"/>
      <w:bookmarkStart w:id="686" w:name="_Toc144974637"/>
      <w:bookmarkStart w:id="687" w:name="_Toc152045669"/>
      <w:bookmarkStart w:id="688" w:name="_Toc152042447"/>
      <w:bookmarkStart w:id="689" w:name="_Toc179632687"/>
      <w:r>
        <w:rPr>
          <w:rFonts w:hint="eastAsia" w:ascii="宋体" w:hAnsi="宋体" w:cs="宋体"/>
          <w:b/>
          <w:bCs/>
          <w:color w:val="auto"/>
          <w:sz w:val="32"/>
          <w:szCs w:val="32"/>
          <w:highlight w:val="none"/>
        </w:rPr>
        <w:t>施工控制网</w:t>
      </w:r>
      <w:bookmarkEnd w:id="683"/>
      <w:bookmarkEnd w:id="684"/>
      <w:bookmarkEnd w:id="685"/>
      <w:bookmarkEnd w:id="686"/>
      <w:bookmarkEnd w:id="687"/>
      <w:bookmarkEnd w:id="688"/>
      <w:bookmarkEnd w:id="689"/>
    </w:p>
    <w:p>
      <w:pPr>
        <w:spacing w:line="400" w:lineRule="exact"/>
        <w:ind w:firstLine="420" w:firstLineChars="200"/>
        <w:jc w:val="left"/>
        <w:rPr>
          <w:rFonts w:ascii="宋体" w:hAnsi="宋体" w:cs="宋体"/>
          <w:color w:val="auto"/>
          <w:highlight w:val="none"/>
        </w:rPr>
      </w:pPr>
      <w:r>
        <w:rPr>
          <w:rFonts w:hint="eastAsia" w:ascii="宋体" w:hAnsi="宋体" w:cs="宋体"/>
          <w:color w:val="auto"/>
          <w:szCs w:val="21"/>
          <w:highlight w:val="none"/>
        </w:rPr>
        <w:t>5.1 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w:t>
      </w:r>
      <w:r>
        <w:rPr>
          <w:rFonts w:hint="eastAsia" w:ascii="宋体" w:hAnsi="宋体" w:cs="宋体"/>
          <w:color w:val="auto"/>
          <w:highlight w:val="none"/>
        </w:rPr>
        <w:t>并在专用合同条款约定的期限内，将施工控制网资料报送监理人审批。</w:t>
      </w:r>
    </w:p>
    <w:p>
      <w:pPr>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5.2 承包人应负责管理施工控制网点。施工控制网点丢失或损坏的，承包人应及时修复。承包人应承担施工控制网点的管理与修复费用，并在工程竣工后将施工控制网点移交发包人。</w:t>
      </w:r>
    </w:p>
    <w:p>
      <w:pPr>
        <w:pStyle w:val="4"/>
        <w:spacing w:before="0" w:after="0" w:line="400" w:lineRule="exact"/>
        <w:jc w:val="left"/>
        <w:rPr>
          <w:rFonts w:ascii="宋体" w:hAnsi="宋体" w:eastAsia="宋体" w:cs="宋体"/>
          <w:color w:val="auto"/>
          <w:highlight w:val="none"/>
        </w:rPr>
      </w:pPr>
      <w:bookmarkStart w:id="690" w:name="_Toc144974647"/>
      <w:bookmarkStart w:id="691" w:name="_Toc152042457"/>
      <w:bookmarkStart w:id="692" w:name="_Toc152045679"/>
      <w:bookmarkStart w:id="693" w:name="_Toc179632697"/>
      <w:bookmarkStart w:id="694" w:name="_Toc466470802"/>
      <w:bookmarkStart w:id="695" w:name="_Toc32765"/>
      <w:bookmarkStart w:id="696" w:name="_Toc561"/>
      <w:bookmarkStart w:id="697" w:name="_Toc466470932"/>
      <w:bookmarkStart w:id="698" w:name="_Toc12139"/>
      <w:r>
        <w:rPr>
          <w:rFonts w:hint="eastAsia" w:ascii="宋体" w:hAnsi="宋体" w:eastAsia="宋体" w:cs="宋体"/>
          <w:color w:val="auto"/>
          <w:highlight w:val="none"/>
        </w:rPr>
        <w:t xml:space="preserve">6. </w:t>
      </w:r>
      <w:bookmarkEnd w:id="690"/>
      <w:bookmarkEnd w:id="691"/>
      <w:bookmarkEnd w:id="692"/>
      <w:bookmarkEnd w:id="693"/>
      <w:r>
        <w:rPr>
          <w:rFonts w:hint="eastAsia" w:ascii="宋体" w:hAnsi="宋体" w:eastAsia="宋体" w:cs="宋体"/>
          <w:color w:val="auto"/>
          <w:highlight w:val="none"/>
        </w:rPr>
        <w:t>工期</w:t>
      </w:r>
      <w:bookmarkEnd w:id="694"/>
      <w:bookmarkEnd w:id="695"/>
      <w:bookmarkEnd w:id="696"/>
      <w:bookmarkEnd w:id="697"/>
      <w:bookmarkEnd w:id="698"/>
    </w:p>
    <w:p>
      <w:pPr>
        <w:spacing w:line="400" w:lineRule="exact"/>
        <w:ind w:firstLine="422" w:firstLineChars="200"/>
        <w:jc w:val="left"/>
        <w:rPr>
          <w:rFonts w:ascii="宋体" w:hAnsi="宋体" w:cs="宋体"/>
          <w:b/>
          <w:bCs/>
          <w:color w:val="auto"/>
          <w:highlight w:val="none"/>
        </w:rPr>
      </w:pPr>
      <w:bookmarkStart w:id="699" w:name="_Toc3649"/>
      <w:bookmarkStart w:id="700" w:name="_Toc8548"/>
      <w:bookmarkStart w:id="701" w:name="_Toc23360"/>
      <w:bookmarkStart w:id="702" w:name="_Toc179632700"/>
      <w:bookmarkStart w:id="703" w:name="_Toc152045682"/>
      <w:bookmarkStart w:id="704" w:name="_Toc144974650"/>
      <w:bookmarkStart w:id="705" w:name="_Toc152042460"/>
      <w:r>
        <w:rPr>
          <w:rFonts w:hint="eastAsia" w:ascii="宋体" w:hAnsi="宋体" w:cs="宋体"/>
          <w:b/>
          <w:bCs/>
          <w:color w:val="auto"/>
          <w:highlight w:val="none"/>
        </w:rPr>
        <w:t>6.1 进度计划</w:t>
      </w:r>
      <w:bookmarkEnd w:id="699"/>
      <w:bookmarkEnd w:id="700"/>
      <w:bookmarkEnd w:id="701"/>
    </w:p>
    <w:p>
      <w:pPr>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承包人应按照专用合同条款约定的时间，向监理人提交进度计划。经监理人审批后的进度计划具有合同约束力，承包人应当严格执行。实际进度与进度计划不符时，监理人应当指示承包人对进度计划进行修订，重新提交给监理人审批。</w:t>
      </w:r>
      <w:bookmarkEnd w:id="702"/>
      <w:bookmarkEnd w:id="703"/>
      <w:bookmarkEnd w:id="704"/>
      <w:bookmarkEnd w:id="705"/>
    </w:p>
    <w:p>
      <w:pPr>
        <w:spacing w:line="400" w:lineRule="exact"/>
        <w:ind w:firstLine="422" w:firstLineChars="200"/>
        <w:jc w:val="left"/>
        <w:rPr>
          <w:rFonts w:ascii="宋体" w:hAnsi="宋体" w:cs="宋体"/>
          <w:b/>
          <w:bCs/>
          <w:color w:val="auto"/>
          <w:highlight w:val="none"/>
        </w:rPr>
      </w:pPr>
      <w:bookmarkStart w:id="706" w:name="_Toc18843"/>
      <w:bookmarkStart w:id="707" w:name="_Toc8480"/>
      <w:bookmarkStart w:id="708" w:name="_Toc1952"/>
      <w:r>
        <w:rPr>
          <w:rFonts w:hint="eastAsia" w:ascii="宋体" w:hAnsi="宋体" w:cs="宋体"/>
          <w:b/>
          <w:bCs/>
          <w:color w:val="auto"/>
          <w:highlight w:val="none"/>
        </w:rPr>
        <w:t>6.2 工程实施</w:t>
      </w:r>
      <w:bookmarkEnd w:id="706"/>
      <w:bookmarkEnd w:id="707"/>
      <w:bookmarkEnd w:id="708"/>
    </w:p>
    <w:p>
      <w:pPr>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监理人应在开工日期7天前向承包人发出开工通知。承包人应在第1.1.4.3目约定的期限内完成合同工程。实际竣工日期在接收证书中写明。</w:t>
      </w:r>
    </w:p>
    <w:p>
      <w:pPr>
        <w:spacing w:line="400" w:lineRule="exact"/>
        <w:ind w:firstLine="422" w:firstLineChars="200"/>
        <w:jc w:val="left"/>
        <w:rPr>
          <w:rFonts w:ascii="宋体" w:hAnsi="宋体" w:cs="宋体"/>
          <w:b/>
          <w:bCs/>
          <w:color w:val="auto"/>
          <w:highlight w:val="none"/>
        </w:rPr>
      </w:pPr>
      <w:bookmarkStart w:id="709" w:name="_Toc566"/>
      <w:bookmarkStart w:id="710" w:name="_Toc179632703"/>
      <w:bookmarkStart w:id="711" w:name="_Toc144974653"/>
      <w:bookmarkStart w:id="712" w:name="_Toc15120"/>
      <w:bookmarkStart w:id="713" w:name="_Toc152045685"/>
      <w:bookmarkStart w:id="714" w:name="_Toc152042463"/>
      <w:bookmarkStart w:id="715" w:name="_Toc3893"/>
      <w:r>
        <w:rPr>
          <w:rFonts w:hint="eastAsia" w:ascii="宋体" w:hAnsi="宋体" w:cs="宋体"/>
          <w:b/>
          <w:bCs/>
          <w:color w:val="auto"/>
          <w:highlight w:val="none"/>
        </w:rPr>
        <w:t>6.3 发包人引起的工期延误</w:t>
      </w:r>
      <w:bookmarkEnd w:id="709"/>
      <w:bookmarkEnd w:id="710"/>
      <w:bookmarkEnd w:id="711"/>
      <w:bookmarkEnd w:id="712"/>
      <w:bookmarkEnd w:id="713"/>
      <w:bookmarkEnd w:id="714"/>
      <w:bookmarkEnd w:id="715"/>
    </w:p>
    <w:p>
      <w:pPr>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在履行合同过程中，由于发包人的下列原因造成工期延误的，承包人有权要求发包人延长工期和（或）增加费用，并支付合理利润。需要修订合同进度计划的，按照第6.1款的约定执行。</w:t>
      </w:r>
    </w:p>
    <w:p>
      <w:pPr>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（1）增加合同工作内容；</w:t>
      </w:r>
    </w:p>
    <w:p>
      <w:pPr>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（2）改变合同中任何一项工作的质量要求或其他特性；</w:t>
      </w:r>
    </w:p>
    <w:p>
      <w:pPr>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（3）发包人迟延提供材料、工程设备或变更交货地点；</w:t>
      </w:r>
    </w:p>
    <w:p>
      <w:pPr>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（4）因发包人原因导致的暂停施工；</w:t>
      </w:r>
    </w:p>
    <w:p>
      <w:pPr>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（5）提供图纸延误；</w:t>
      </w:r>
    </w:p>
    <w:p>
      <w:pPr>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（6）未按合同约定及时支付预付款、进度款；</w:t>
      </w:r>
    </w:p>
    <w:p>
      <w:pPr>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（7）发包人造成工期延误的其他原因。</w:t>
      </w:r>
    </w:p>
    <w:p>
      <w:pPr>
        <w:spacing w:line="400" w:lineRule="exact"/>
        <w:ind w:firstLine="422" w:firstLineChars="200"/>
        <w:jc w:val="left"/>
        <w:rPr>
          <w:rFonts w:ascii="宋体" w:hAnsi="宋体" w:cs="宋体"/>
          <w:b/>
          <w:bCs/>
          <w:color w:val="auto"/>
          <w:highlight w:val="none"/>
        </w:rPr>
      </w:pPr>
      <w:bookmarkStart w:id="716" w:name="_Toc9411"/>
      <w:bookmarkStart w:id="717" w:name="_Toc179632704"/>
      <w:bookmarkStart w:id="718" w:name="_Toc21657"/>
      <w:bookmarkStart w:id="719" w:name="_Toc152042464"/>
      <w:bookmarkStart w:id="720" w:name="_Toc152045686"/>
      <w:bookmarkStart w:id="721" w:name="_Toc144974654"/>
      <w:bookmarkStart w:id="722" w:name="_Toc4995"/>
      <w:r>
        <w:rPr>
          <w:rFonts w:hint="eastAsia" w:ascii="宋体" w:hAnsi="宋体" w:cs="宋体"/>
          <w:b/>
          <w:bCs/>
          <w:color w:val="auto"/>
          <w:highlight w:val="none"/>
        </w:rPr>
        <w:t>6.4 异常恶劣的气候条件</w:t>
      </w:r>
      <w:bookmarkEnd w:id="716"/>
      <w:bookmarkEnd w:id="717"/>
      <w:bookmarkEnd w:id="718"/>
      <w:bookmarkEnd w:id="719"/>
      <w:bookmarkEnd w:id="720"/>
      <w:bookmarkEnd w:id="721"/>
      <w:bookmarkEnd w:id="722"/>
    </w:p>
    <w:p>
      <w:pPr>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由于出现专用合同条款约定的异常恶劣气候导致工期延误的，承包人有权要求发包人延长工期。</w:t>
      </w:r>
    </w:p>
    <w:p>
      <w:pPr>
        <w:spacing w:line="400" w:lineRule="exact"/>
        <w:ind w:firstLine="422" w:firstLineChars="200"/>
        <w:jc w:val="left"/>
        <w:rPr>
          <w:rFonts w:ascii="宋体" w:hAnsi="宋体" w:cs="宋体"/>
          <w:b/>
          <w:bCs/>
          <w:color w:val="auto"/>
          <w:highlight w:val="none"/>
        </w:rPr>
      </w:pPr>
      <w:bookmarkStart w:id="723" w:name="_Toc32143"/>
      <w:bookmarkStart w:id="724" w:name="_Toc152045687"/>
      <w:bookmarkStart w:id="725" w:name="_Toc4575"/>
      <w:bookmarkStart w:id="726" w:name="_Toc152042465"/>
      <w:bookmarkStart w:id="727" w:name="_Toc144974655"/>
      <w:bookmarkStart w:id="728" w:name="_Toc179632705"/>
      <w:bookmarkStart w:id="729" w:name="_Toc3848"/>
      <w:r>
        <w:rPr>
          <w:rFonts w:hint="eastAsia" w:ascii="宋体" w:hAnsi="宋体" w:cs="宋体"/>
          <w:b/>
          <w:bCs/>
          <w:color w:val="auto"/>
          <w:highlight w:val="none"/>
        </w:rPr>
        <w:t>6.5 承包人引起的工期延误</w:t>
      </w:r>
      <w:bookmarkEnd w:id="723"/>
      <w:bookmarkEnd w:id="724"/>
      <w:bookmarkEnd w:id="725"/>
      <w:bookmarkEnd w:id="726"/>
      <w:bookmarkEnd w:id="727"/>
      <w:bookmarkEnd w:id="728"/>
      <w:bookmarkEnd w:id="729"/>
    </w:p>
    <w:p>
      <w:pPr>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由于承包人原因造成工期延误，承包人应按照专用合同条款中约定的逾期竣工违约金计算方法和最高限额，支付逾期竣工违约金。承包人支付逾期竣工违约金，不免除承包人完成工程及修补缺陷的义务。</w:t>
      </w:r>
      <w:bookmarkEnd w:id="669"/>
      <w:bookmarkEnd w:id="670"/>
      <w:bookmarkEnd w:id="671"/>
    </w:p>
    <w:p>
      <w:pPr>
        <w:pStyle w:val="4"/>
        <w:spacing w:before="0" w:after="0" w:line="400" w:lineRule="exact"/>
        <w:jc w:val="left"/>
        <w:rPr>
          <w:rFonts w:ascii="宋体" w:hAnsi="宋体" w:eastAsia="宋体" w:cs="宋体"/>
          <w:color w:val="auto"/>
          <w:highlight w:val="none"/>
        </w:rPr>
      </w:pPr>
      <w:bookmarkStart w:id="730" w:name="_Toc466470933"/>
      <w:bookmarkStart w:id="731" w:name="_Toc466470803"/>
      <w:bookmarkStart w:id="732" w:name="_Toc26932"/>
      <w:bookmarkStart w:id="733" w:name="_Toc246996291"/>
      <w:bookmarkStart w:id="734" w:name="_Toc184635110"/>
      <w:bookmarkStart w:id="735" w:name="_Toc6231"/>
      <w:bookmarkStart w:id="736" w:name="_Toc247085806"/>
      <w:bookmarkStart w:id="737" w:name="_Toc4410"/>
      <w:bookmarkStart w:id="738" w:name="_Toc246997034"/>
      <w:r>
        <w:rPr>
          <w:rFonts w:hint="eastAsia" w:ascii="宋体" w:hAnsi="宋体" w:eastAsia="宋体" w:cs="宋体"/>
          <w:color w:val="auto"/>
          <w:highlight w:val="none"/>
        </w:rPr>
        <w:t>7. 工程质量</w:t>
      </w:r>
      <w:bookmarkEnd w:id="730"/>
      <w:bookmarkEnd w:id="731"/>
      <w:bookmarkEnd w:id="732"/>
      <w:bookmarkEnd w:id="733"/>
      <w:bookmarkEnd w:id="734"/>
      <w:bookmarkEnd w:id="735"/>
      <w:bookmarkEnd w:id="736"/>
      <w:bookmarkEnd w:id="737"/>
      <w:bookmarkEnd w:id="738"/>
    </w:p>
    <w:p>
      <w:pPr>
        <w:spacing w:line="400" w:lineRule="exact"/>
        <w:ind w:firstLine="422" w:firstLineChars="200"/>
        <w:jc w:val="left"/>
        <w:rPr>
          <w:rFonts w:ascii="宋体" w:hAnsi="宋体" w:cs="宋体"/>
          <w:b/>
          <w:bCs/>
          <w:color w:val="auto"/>
          <w:highlight w:val="none"/>
        </w:rPr>
      </w:pPr>
      <w:bookmarkStart w:id="739" w:name="_Toc2370"/>
      <w:bookmarkStart w:id="740" w:name="_Toc247085807"/>
      <w:bookmarkStart w:id="741" w:name="_Toc246997035"/>
      <w:bookmarkStart w:id="742" w:name="_Toc246996292"/>
      <w:bookmarkStart w:id="743" w:name="_Toc13513"/>
      <w:bookmarkStart w:id="744" w:name="_Toc28777"/>
      <w:r>
        <w:rPr>
          <w:rFonts w:hint="eastAsia" w:ascii="宋体" w:hAnsi="宋体" w:cs="宋体"/>
          <w:b/>
          <w:bCs/>
          <w:color w:val="auto"/>
          <w:highlight w:val="none"/>
        </w:rPr>
        <w:t>7.1 工程质量要求</w:t>
      </w:r>
      <w:bookmarkEnd w:id="739"/>
      <w:bookmarkEnd w:id="740"/>
      <w:bookmarkEnd w:id="741"/>
      <w:bookmarkEnd w:id="742"/>
      <w:bookmarkEnd w:id="743"/>
      <w:bookmarkEnd w:id="744"/>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工程质量验收按照合同约定的验收标准执行。</w:t>
      </w:r>
    </w:p>
    <w:p>
      <w:pPr>
        <w:spacing w:line="400" w:lineRule="exact"/>
        <w:ind w:firstLine="422" w:firstLineChars="200"/>
        <w:jc w:val="left"/>
        <w:rPr>
          <w:rFonts w:ascii="宋体" w:hAnsi="宋体" w:cs="宋体"/>
          <w:b/>
          <w:bCs/>
          <w:color w:val="auto"/>
          <w:highlight w:val="none"/>
        </w:rPr>
      </w:pPr>
      <w:bookmarkStart w:id="745" w:name="_Toc246997036"/>
      <w:bookmarkStart w:id="746" w:name="_Toc11246"/>
      <w:bookmarkStart w:id="747" w:name="_Toc247085808"/>
      <w:bookmarkStart w:id="748" w:name="_Toc8626"/>
      <w:bookmarkStart w:id="749" w:name="_Toc246996293"/>
      <w:bookmarkStart w:id="750" w:name="_Toc14231"/>
      <w:r>
        <w:rPr>
          <w:rFonts w:hint="eastAsia" w:ascii="宋体" w:hAnsi="宋体" w:cs="宋体"/>
          <w:b/>
          <w:bCs/>
          <w:color w:val="auto"/>
          <w:highlight w:val="none"/>
        </w:rPr>
        <w:t>7.2 监理人的质量检查</w:t>
      </w:r>
      <w:bookmarkEnd w:id="745"/>
      <w:bookmarkEnd w:id="746"/>
      <w:bookmarkEnd w:id="747"/>
      <w:bookmarkEnd w:id="748"/>
      <w:bookmarkEnd w:id="749"/>
      <w:bookmarkEnd w:id="750"/>
    </w:p>
    <w:p>
      <w:pPr>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监理人有权对工程的所有部位及其施工工艺、材料和工程设备进行检查和检验。监理人的检查和检验，不免除承包人按合同约定应负的责任。</w:t>
      </w:r>
    </w:p>
    <w:p>
      <w:pPr>
        <w:spacing w:line="400" w:lineRule="exact"/>
        <w:ind w:firstLine="422" w:firstLineChars="200"/>
        <w:jc w:val="left"/>
        <w:rPr>
          <w:rFonts w:ascii="宋体" w:hAnsi="宋体" w:cs="宋体"/>
          <w:b/>
          <w:bCs/>
          <w:color w:val="auto"/>
          <w:highlight w:val="none"/>
        </w:rPr>
      </w:pPr>
      <w:bookmarkStart w:id="751" w:name="_Toc246996294"/>
      <w:bookmarkStart w:id="752" w:name="_Toc246997037"/>
      <w:bookmarkStart w:id="753" w:name="_Toc32343"/>
      <w:bookmarkStart w:id="754" w:name="_Toc247085809"/>
      <w:bookmarkStart w:id="755" w:name="_Toc5287"/>
      <w:bookmarkStart w:id="756" w:name="_Toc20433"/>
      <w:r>
        <w:rPr>
          <w:rFonts w:hint="eastAsia" w:ascii="宋体" w:hAnsi="宋体" w:cs="宋体"/>
          <w:b/>
          <w:bCs/>
          <w:color w:val="auto"/>
          <w:highlight w:val="none"/>
        </w:rPr>
        <w:t>7.3 工程隐蔽部位覆盖前的检查</w:t>
      </w:r>
      <w:bookmarkEnd w:id="751"/>
      <w:bookmarkEnd w:id="752"/>
      <w:bookmarkEnd w:id="753"/>
      <w:bookmarkEnd w:id="754"/>
      <w:bookmarkEnd w:id="755"/>
      <w:bookmarkEnd w:id="756"/>
    </w:p>
    <w:p>
      <w:pPr>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经承包人自检确认的工程隐蔽部位具备覆盖条件后，承包人应通知监理人在约定的期限内检查。监理人应按时到场检查。监理人未到场检查的，除监理人另有指示外，承包人可自行完成覆盖工作。无论监理人是否到场检查，对已覆盖的工程隐蔽部位，监理人可要求承包人对已覆盖的部位进行钻孔探测或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pPr>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承包人未通知监理人到场检查，私自将工程隐蔽部位覆盖的，监理人有权指示承包人钻孔探测或揭开检查，无论工程隐蔽部位质量是否合格，由此增加的费用和（或）工期延误由承包人承担。</w:t>
      </w:r>
    </w:p>
    <w:p>
      <w:pPr>
        <w:spacing w:line="400" w:lineRule="exact"/>
        <w:ind w:firstLine="422" w:firstLineChars="200"/>
        <w:jc w:val="left"/>
        <w:rPr>
          <w:rFonts w:ascii="宋体" w:hAnsi="宋体" w:cs="宋体"/>
          <w:b/>
          <w:bCs/>
          <w:color w:val="auto"/>
          <w:highlight w:val="none"/>
        </w:rPr>
      </w:pPr>
      <w:bookmarkStart w:id="757" w:name="_Toc3432"/>
      <w:bookmarkStart w:id="758" w:name="_Toc32043"/>
      <w:bookmarkStart w:id="759" w:name="_Toc15327"/>
      <w:bookmarkStart w:id="760" w:name="_Toc246996295"/>
      <w:bookmarkStart w:id="761" w:name="_Toc247085810"/>
      <w:bookmarkStart w:id="762" w:name="_Toc246997038"/>
      <w:r>
        <w:rPr>
          <w:rFonts w:hint="eastAsia" w:ascii="宋体" w:hAnsi="宋体" w:cs="宋体"/>
          <w:b/>
          <w:bCs/>
          <w:color w:val="auto"/>
          <w:highlight w:val="none"/>
        </w:rPr>
        <w:t>7.4 清除不合格工程</w:t>
      </w:r>
      <w:bookmarkEnd w:id="757"/>
      <w:bookmarkEnd w:id="758"/>
      <w:bookmarkEnd w:id="759"/>
      <w:bookmarkEnd w:id="760"/>
      <w:bookmarkEnd w:id="761"/>
      <w:bookmarkEnd w:id="762"/>
    </w:p>
    <w:p>
      <w:pPr>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由于承包人的材料、工程设备，或采用施工工艺不符合合同要求造成的任何缺陷，监理人可以随时发出指示，要求承包人立即采取措施进行补救，直至达到合同要求的质量标准，由此增加的费用和（或）工期延误由承包人承担。</w:t>
      </w:r>
    </w:p>
    <w:p>
      <w:pPr>
        <w:pStyle w:val="4"/>
        <w:spacing w:before="0" w:after="0" w:line="400" w:lineRule="exact"/>
        <w:jc w:val="left"/>
        <w:rPr>
          <w:rFonts w:ascii="宋体" w:hAnsi="宋体" w:eastAsia="宋体" w:cs="宋体"/>
          <w:color w:val="auto"/>
          <w:highlight w:val="none"/>
        </w:rPr>
      </w:pPr>
      <w:bookmarkStart w:id="763" w:name="_Toc246996296"/>
      <w:bookmarkStart w:id="764" w:name="_Toc466470804"/>
      <w:bookmarkStart w:id="765" w:name="_Toc15935"/>
      <w:bookmarkStart w:id="766" w:name="_Toc20387"/>
      <w:bookmarkStart w:id="767" w:name="_Toc246997039"/>
      <w:bookmarkStart w:id="768" w:name="_Toc29237"/>
      <w:bookmarkStart w:id="769" w:name="_Toc247085811"/>
      <w:bookmarkStart w:id="770" w:name="_Toc466470934"/>
      <w:r>
        <w:rPr>
          <w:rFonts w:hint="eastAsia" w:ascii="宋体" w:hAnsi="宋体" w:eastAsia="宋体" w:cs="宋体"/>
          <w:color w:val="auto"/>
          <w:highlight w:val="none"/>
        </w:rPr>
        <w:t>8. 试验和检验</w:t>
      </w:r>
      <w:bookmarkEnd w:id="763"/>
      <w:bookmarkEnd w:id="764"/>
      <w:bookmarkEnd w:id="765"/>
      <w:bookmarkEnd w:id="766"/>
      <w:bookmarkEnd w:id="767"/>
      <w:bookmarkEnd w:id="768"/>
      <w:bookmarkEnd w:id="769"/>
      <w:bookmarkEnd w:id="770"/>
    </w:p>
    <w:p>
      <w:pPr>
        <w:spacing w:line="400" w:lineRule="exact"/>
        <w:ind w:firstLine="422" w:firstLineChars="200"/>
        <w:jc w:val="left"/>
        <w:rPr>
          <w:rFonts w:ascii="宋体" w:hAnsi="宋体" w:cs="宋体"/>
          <w:b/>
          <w:bCs/>
          <w:color w:val="auto"/>
          <w:highlight w:val="none"/>
        </w:rPr>
      </w:pPr>
      <w:bookmarkStart w:id="771" w:name="_Toc14965"/>
      <w:bookmarkStart w:id="772" w:name="_Toc179632721"/>
      <w:bookmarkStart w:id="773" w:name="_Toc19154"/>
      <w:bookmarkStart w:id="774" w:name="_Toc152045703"/>
      <w:bookmarkStart w:id="775" w:name="_Toc21201"/>
      <w:bookmarkStart w:id="776" w:name="_Toc144974672"/>
      <w:bookmarkStart w:id="777" w:name="_Toc152042481"/>
      <w:r>
        <w:rPr>
          <w:rFonts w:hint="eastAsia" w:ascii="宋体" w:hAnsi="宋体" w:cs="宋体"/>
          <w:b/>
          <w:bCs/>
          <w:color w:val="auto"/>
          <w:highlight w:val="none"/>
        </w:rPr>
        <w:t>8.1 材料、工程设备和工程的试验和检验</w:t>
      </w:r>
      <w:bookmarkEnd w:id="771"/>
      <w:bookmarkEnd w:id="772"/>
      <w:bookmarkEnd w:id="773"/>
      <w:bookmarkEnd w:id="774"/>
      <w:bookmarkEnd w:id="775"/>
      <w:bookmarkEnd w:id="776"/>
      <w:bookmarkEnd w:id="777"/>
    </w:p>
    <w:p>
      <w:pPr>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8.1.1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8.1.2 监理人未按合同约定派员参加试验和检验的，除监理人另有指示外，承包人可自行试验和检验，并应立即将试验和检验结果报送监理人，监理人应签字确认。</w:t>
      </w:r>
    </w:p>
    <w:p>
      <w:pPr>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8.1.3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pPr>
        <w:spacing w:line="400" w:lineRule="exact"/>
        <w:ind w:firstLine="422" w:firstLineChars="200"/>
        <w:jc w:val="left"/>
        <w:rPr>
          <w:rFonts w:ascii="宋体" w:hAnsi="宋体" w:cs="宋体"/>
          <w:b/>
          <w:bCs/>
          <w:color w:val="auto"/>
          <w:highlight w:val="none"/>
        </w:rPr>
      </w:pPr>
      <w:bookmarkStart w:id="778" w:name="_Toc3940"/>
      <w:bookmarkStart w:id="779" w:name="_Toc152045704"/>
      <w:bookmarkStart w:id="780" w:name="_Toc25397"/>
      <w:bookmarkStart w:id="781" w:name="_Toc30469"/>
      <w:bookmarkStart w:id="782" w:name="_Toc152042482"/>
      <w:bookmarkStart w:id="783" w:name="_Toc144974673"/>
      <w:bookmarkStart w:id="784" w:name="_Toc179632722"/>
      <w:r>
        <w:rPr>
          <w:rFonts w:hint="eastAsia" w:ascii="宋体" w:hAnsi="宋体" w:cs="宋体"/>
          <w:b/>
          <w:bCs/>
          <w:color w:val="auto"/>
          <w:highlight w:val="none"/>
        </w:rPr>
        <w:t>8.2 现场材料试验</w:t>
      </w:r>
      <w:bookmarkEnd w:id="778"/>
      <w:bookmarkEnd w:id="779"/>
      <w:bookmarkEnd w:id="780"/>
      <w:bookmarkEnd w:id="781"/>
      <w:bookmarkEnd w:id="782"/>
      <w:bookmarkEnd w:id="783"/>
      <w:bookmarkEnd w:id="784"/>
    </w:p>
    <w:p>
      <w:pPr>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8.2.1 承包人根据合同约定或监理人指示进行的现场材料试验，应由承包人提供试验场所、试验人员、试验设备器材以及其他必要的试验条件。</w:t>
      </w:r>
    </w:p>
    <w:p>
      <w:pPr>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8.2.2 监理人在必要时可以使用承包人的试验场所、试验设备器材以及其他试验条件，进行以工程质量检查为目的的复核性材料试验，承包人应予以协助。</w:t>
      </w:r>
    </w:p>
    <w:p>
      <w:pPr>
        <w:pStyle w:val="4"/>
        <w:spacing w:before="0" w:after="0" w:line="400" w:lineRule="exact"/>
        <w:jc w:val="left"/>
        <w:rPr>
          <w:rFonts w:ascii="宋体" w:hAnsi="宋体" w:eastAsia="宋体" w:cs="宋体"/>
          <w:color w:val="auto"/>
          <w:highlight w:val="none"/>
        </w:rPr>
      </w:pPr>
      <w:bookmarkStart w:id="785" w:name="_Toc27682"/>
      <w:bookmarkStart w:id="786" w:name="_Toc247085812"/>
      <w:bookmarkStart w:id="787" w:name="_Toc246996297"/>
      <w:bookmarkStart w:id="788" w:name="_Toc466470805"/>
      <w:bookmarkStart w:id="789" w:name="_Toc15409"/>
      <w:bookmarkStart w:id="790" w:name="_Toc246997040"/>
      <w:bookmarkStart w:id="791" w:name="_Toc1844"/>
      <w:bookmarkStart w:id="792" w:name="_Toc466470935"/>
      <w:bookmarkStart w:id="793" w:name="_Toc184635112"/>
      <w:r>
        <w:rPr>
          <w:rFonts w:hint="eastAsia" w:ascii="宋体" w:hAnsi="宋体" w:eastAsia="宋体" w:cs="宋体"/>
          <w:color w:val="auto"/>
          <w:highlight w:val="none"/>
        </w:rPr>
        <w:t>9. 变更</w:t>
      </w:r>
      <w:bookmarkEnd w:id="785"/>
      <w:bookmarkEnd w:id="786"/>
      <w:bookmarkEnd w:id="787"/>
      <w:bookmarkEnd w:id="788"/>
      <w:bookmarkEnd w:id="789"/>
      <w:bookmarkEnd w:id="790"/>
      <w:bookmarkEnd w:id="791"/>
      <w:bookmarkEnd w:id="792"/>
      <w:bookmarkEnd w:id="793"/>
    </w:p>
    <w:p>
      <w:pPr>
        <w:spacing w:line="400" w:lineRule="exact"/>
        <w:ind w:firstLine="422" w:firstLineChars="200"/>
        <w:jc w:val="left"/>
        <w:rPr>
          <w:rFonts w:ascii="宋体" w:hAnsi="宋体" w:cs="宋体"/>
          <w:b/>
          <w:bCs/>
          <w:color w:val="auto"/>
          <w:highlight w:val="none"/>
        </w:rPr>
      </w:pPr>
      <w:bookmarkStart w:id="794" w:name="_Toc4292"/>
      <w:bookmarkStart w:id="795" w:name="_Toc21887"/>
      <w:bookmarkStart w:id="796" w:name="_Toc247085813"/>
      <w:bookmarkStart w:id="797" w:name="_Toc29411"/>
      <w:bookmarkStart w:id="798" w:name="_Toc246997041"/>
      <w:bookmarkStart w:id="799" w:name="_Toc246996298"/>
      <w:r>
        <w:rPr>
          <w:rFonts w:hint="eastAsia" w:ascii="宋体" w:hAnsi="宋体" w:cs="宋体"/>
          <w:b/>
          <w:bCs/>
          <w:color w:val="auto"/>
          <w:highlight w:val="none"/>
        </w:rPr>
        <w:t>9.1 变更权</w:t>
      </w:r>
      <w:bookmarkEnd w:id="794"/>
      <w:bookmarkEnd w:id="795"/>
      <w:bookmarkEnd w:id="796"/>
      <w:bookmarkEnd w:id="797"/>
      <w:bookmarkEnd w:id="798"/>
      <w:bookmarkEnd w:id="799"/>
    </w:p>
    <w:p>
      <w:pPr>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在履行合同过程中，经发包人同意，监理人可按第9.2款约定的变更程序向承包人作出变更指示，承包人应遵照执行。</w:t>
      </w:r>
    </w:p>
    <w:p>
      <w:pPr>
        <w:spacing w:line="400" w:lineRule="exact"/>
        <w:ind w:firstLine="422" w:firstLineChars="200"/>
        <w:jc w:val="left"/>
        <w:rPr>
          <w:rFonts w:ascii="宋体" w:hAnsi="宋体" w:cs="宋体"/>
          <w:b/>
          <w:bCs/>
          <w:color w:val="auto"/>
          <w:highlight w:val="none"/>
        </w:rPr>
      </w:pPr>
      <w:bookmarkStart w:id="800" w:name="_Toc10420"/>
      <w:bookmarkStart w:id="801" w:name="_Toc28166"/>
      <w:bookmarkStart w:id="802" w:name="_Toc246996299"/>
      <w:bookmarkStart w:id="803" w:name="_Toc25410"/>
      <w:bookmarkStart w:id="804" w:name="_Toc247085814"/>
      <w:bookmarkStart w:id="805" w:name="_Toc246997042"/>
      <w:r>
        <w:rPr>
          <w:rFonts w:hint="eastAsia" w:ascii="宋体" w:hAnsi="宋体" w:cs="宋体"/>
          <w:b/>
          <w:bCs/>
          <w:color w:val="auto"/>
          <w:highlight w:val="none"/>
        </w:rPr>
        <w:t>9.2 变更程序</w:t>
      </w:r>
      <w:bookmarkEnd w:id="800"/>
      <w:bookmarkEnd w:id="801"/>
      <w:bookmarkEnd w:id="802"/>
      <w:bookmarkEnd w:id="803"/>
      <w:bookmarkEnd w:id="804"/>
      <w:bookmarkEnd w:id="805"/>
    </w:p>
    <w:p>
      <w:pPr>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承包人应在收到变更指示14天内，向监理人提交变更报价书。监理人应审查，并在收到承包人变更报价书后14天内，与发包人和承包人共同商定此估价。在未达成协议的情况下，监理人应确定该估价。</w:t>
      </w:r>
    </w:p>
    <w:p>
      <w:pPr>
        <w:spacing w:line="400" w:lineRule="exact"/>
        <w:ind w:firstLine="422" w:firstLineChars="200"/>
        <w:jc w:val="left"/>
        <w:rPr>
          <w:rFonts w:ascii="宋体" w:hAnsi="宋体" w:cs="宋体"/>
          <w:b/>
          <w:bCs/>
          <w:color w:val="auto"/>
          <w:highlight w:val="none"/>
        </w:rPr>
      </w:pPr>
      <w:bookmarkStart w:id="806" w:name="_Toc246997043"/>
      <w:bookmarkStart w:id="807" w:name="_Toc2192"/>
      <w:bookmarkStart w:id="808" w:name="_Toc23065"/>
      <w:bookmarkStart w:id="809" w:name="_Toc7820"/>
      <w:bookmarkStart w:id="810" w:name="_Toc247085815"/>
      <w:bookmarkStart w:id="811" w:name="_Toc246996300"/>
      <w:r>
        <w:rPr>
          <w:rFonts w:hint="eastAsia" w:ascii="宋体" w:hAnsi="宋体" w:cs="宋体"/>
          <w:b/>
          <w:bCs/>
          <w:color w:val="auto"/>
          <w:highlight w:val="none"/>
        </w:rPr>
        <w:t>9.3 变更的估价原则</w:t>
      </w:r>
      <w:bookmarkEnd w:id="806"/>
      <w:bookmarkEnd w:id="807"/>
      <w:bookmarkEnd w:id="808"/>
      <w:bookmarkEnd w:id="809"/>
      <w:bookmarkEnd w:id="810"/>
      <w:bookmarkEnd w:id="811"/>
    </w:p>
    <w:p>
      <w:pPr>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除专用合同条款另有约定外，因变更引起的价格调整按照本款约定处理：</w:t>
      </w:r>
    </w:p>
    <w:p>
      <w:pPr>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（1）已标价工程量清单中有适用于变更工作的子目的，采用该子目的单价；</w:t>
      </w:r>
    </w:p>
    <w:p>
      <w:pPr>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 xml:space="preserve">（2）已标价工程量清单中无适用于变更工作的子目，但有类似子目的，可在合理范围内参照类似项目，由监理人按第3.5款商定或确定变更工作的单价； </w:t>
      </w:r>
    </w:p>
    <w:p>
      <w:pPr>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（3）已标价工程量清单中无适用或类似子目的单价，可按照成本加利润的原则，由监理人按第3.5款商定或确定变更工作的单价。</w:t>
      </w:r>
    </w:p>
    <w:p>
      <w:pPr>
        <w:spacing w:line="400" w:lineRule="exact"/>
        <w:ind w:firstLine="422" w:firstLineChars="200"/>
        <w:jc w:val="left"/>
        <w:rPr>
          <w:rFonts w:ascii="宋体" w:hAnsi="宋体" w:cs="宋体"/>
          <w:b/>
          <w:bCs/>
          <w:color w:val="auto"/>
          <w:highlight w:val="none"/>
        </w:rPr>
      </w:pPr>
      <w:bookmarkStart w:id="812" w:name="_Toc246997044"/>
      <w:bookmarkStart w:id="813" w:name="_Toc247085816"/>
      <w:bookmarkStart w:id="814" w:name="_Toc27578"/>
      <w:bookmarkStart w:id="815" w:name="_Toc4998"/>
      <w:bookmarkStart w:id="816" w:name="_Toc246996301"/>
      <w:bookmarkStart w:id="817" w:name="_Toc17237"/>
      <w:r>
        <w:rPr>
          <w:rFonts w:hint="eastAsia" w:ascii="宋体" w:hAnsi="宋体" w:cs="宋体"/>
          <w:b/>
          <w:bCs/>
          <w:color w:val="auto"/>
          <w:highlight w:val="none"/>
        </w:rPr>
        <w:t>9.4 暂列金额</w:t>
      </w:r>
      <w:bookmarkEnd w:id="812"/>
      <w:bookmarkEnd w:id="813"/>
      <w:bookmarkEnd w:id="814"/>
      <w:bookmarkEnd w:id="815"/>
      <w:bookmarkEnd w:id="816"/>
      <w:bookmarkEnd w:id="817"/>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暂列金额只能按照监理人的指示使用，并对合同价格进行相应调整。</w:t>
      </w:r>
    </w:p>
    <w:p>
      <w:pPr>
        <w:spacing w:line="400" w:lineRule="exact"/>
        <w:ind w:firstLine="422" w:firstLineChars="200"/>
        <w:jc w:val="left"/>
        <w:rPr>
          <w:rFonts w:ascii="宋体" w:hAnsi="宋体" w:cs="宋体"/>
          <w:b/>
          <w:bCs/>
          <w:color w:val="auto"/>
          <w:highlight w:val="none"/>
        </w:rPr>
      </w:pPr>
      <w:bookmarkStart w:id="818" w:name="_Toc246997045"/>
      <w:bookmarkStart w:id="819" w:name="_Toc246996302"/>
      <w:bookmarkStart w:id="820" w:name="_Toc10536"/>
      <w:bookmarkStart w:id="821" w:name="_Toc25384"/>
      <w:bookmarkStart w:id="822" w:name="_Toc247085817"/>
      <w:bookmarkStart w:id="823" w:name="_Toc20763"/>
      <w:r>
        <w:rPr>
          <w:rFonts w:hint="eastAsia" w:ascii="宋体" w:hAnsi="宋体" w:cs="宋体"/>
          <w:b/>
          <w:bCs/>
          <w:color w:val="auto"/>
          <w:highlight w:val="none"/>
        </w:rPr>
        <w:t>9.5 计日工</w:t>
      </w:r>
      <w:bookmarkEnd w:id="818"/>
      <w:bookmarkEnd w:id="819"/>
      <w:bookmarkEnd w:id="820"/>
      <w:bookmarkEnd w:id="821"/>
      <w:bookmarkEnd w:id="822"/>
      <w:bookmarkEnd w:id="823"/>
    </w:p>
    <w:p>
      <w:pPr>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9.5.1 发包人认为有必要时，由监理人通知承包人以计日工方式实施变更的零星工作。其价款按列入已标价工程量清单中的计日工计价子目及其单价进行计算。</w:t>
      </w:r>
    </w:p>
    <w:p>
      <w:pPr>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9.5.2 采用计日工计价的任何一项变更工作，应从暂列金额中支付，承包人应在该项变更的实施过程中，每天提交以下报表和有关凭证报送监理人审批：</w:t>
      </w:r>
    </w:p>
    <w:p>
      <w:pPr>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（l）工作名称、内容和数量；</w:t>
      </w:r>
    </w:p>
    <w:p>
      <w:pPr>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（2）投入该工作所有人员的姓名、工种、级别和耗用工时；</w:t>
      </w:r>
    </w:p>
    <w:p>
      <w:pPr>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（3）投入该工作的材料类别和数量；</w:t>
      </w:r>
    </w:p>
    <w:p>
      <w:pPr>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（4）投入该工作的施工设备型号、台数和耗用台时；</w:t>
      </w:r>
    </w:p>
    <w:p>
      <w:pPr>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（5）监理人要求提交的其他资料和凭证。</w:t>
      </w:r>
    </w:p>
    <w:p>
      <w:pPr>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9.5.3 计日工由承包人汇总后，按第10.3款的约定列入进度付款申请单，由监理人复核并经发包人同意后列入进度付款。</w:t>
      </w:r>
    </w:p>
    <w:p>
      <w:pPr>
        <w:pStyle w:val="4"/>
        <w:spacing w:before="0" w:after="0" w:line="400" w:lineRule="exact"/>
        <w:jc w:val="left"/>
        <w:rPr>
          <w:rFonts w:ascii="宋体" w:hAnsi="宋体" w:eastAsia="宋体" w:cs="宋体"/>
          <w:color w:val="auto"/>
          <w:highlight w:val="none"/>
        </w:rPr>
      </w:pPr>
      <w:bookmarkStart w:id="824" w:name="_Toc184635114"/>
      <w:bookmarkStart w:id="825" w:name="_Toc246996304"/>
      <w:bookmarkStart w:id="826" w:name="_Toc28447"/>
      <w:bookmarkStart w:id="827" w:name="_Toc466470806"/>
      <w:bookmarkStart w:id="828" w:name="_Toc247085819"/>
      <w:bookmarkStart w:id="829" w:name="_Toc12989"/>
      <w:bookmarkStart w:id="830" w:name="_Toc246997047"/>
      <w:bookmarkStart w:id="831" w:name="_Toc466470936"/>
      <w:bookmarkStart w:id="832" w:name="_Toc25090"/>
      <w:r>
        <w:rPr>
          <w:rFonts w:hint="eastAsia" w:ascii="宋体" w:hAnsi="宋体" w:eastAsia="宋体" w:cs="宋体"/>
          <w:color w:val="auto"/>
          <w:highlight w:val="none"/>
        </w:rPr>
        <w:t>10. 计量与支付</w:t>
      </w:r>
      <w:bookmarkEnd w:id="824"/>
      <w:bookmarkEnd w:id="825"/>
      <w:bookmarkEnd w:id="826"/>
      <w:bookmarkEnd w:id="827"/>
      <w:bookmarkEnd w:id="828"/>
      <w:bookmarkEnd w:id="829"/>
      <w:bookmarkEnd w:id="830"/>
      <w:bookmarkEnd w:id="831"/>
      <w:bookmarkEnd w:id="832"/>
    </w:p>
    <w:p>
      <w:pPr>
        <w:spacing w:line="400" w:lineRule="exact"/>
        <w:ind w:firstLine="422" w:firstLineChars="200"/>
        <w:jc w:val="left"/>
        <w:rPr>
          <w:rFonts w:ascii="宋体" w:hAnsi="宋体" w:cs="宋体"/>
          <w:b/>
          <w:bCs/>
          <w:color w:val="auto"/>
          <w:highlight w:val="none"/>
        </w:rPr>
      </w:pPr>
      <w:bookmarkStart w:id="833" w:name="_Toc28640"/>
      <w:bookmarkStart w:id="834" w:name="_Toc246996305"/>
      <w:bookmarkStart w:id="835" w:name="_Toc246997048"/>
      <w:bookmarkStart w:id="836" w:name="_Toc247085820"/>
      <w:bookmarkStart w:id="837" w:name="_Toc11396"/>
      <w:bookmarkStart w:id="838" w:name="_Toc5065"/>
      <w:r>
        <w:rPr>
          <w:rFonts w:hint="eastAsia" w:ascii="宋体" w:hAnsi="宋体" w:cs="宋体"/>
          <w:b/>
          <w:bCs/>
          <w:color w:val="auto"/>
          <w:highlight w:val="none"/>
        </w:rPr>
        <w:t>10.1 计量</w:t>
      </w:r>
      <w:bookmarkEnd w:id="833"/>
      <w:bookmarkEnd w:id="834"/>
      <w:bookmarkEnd w:id="835"/>
      <w:bookmarkEnd w:id="836"/>
      <w:bookmarkEnd w:id="837"/>
      <w:bookmarkEnd w:id="838"/>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除专用合同条款另有约定外，承包人应根据有合同约束力的进度计划，按月分解签约合同价，形成支付分解报告，送监理人批准后成为有合同约束力的支付分解表，按有合同约束力的支付分解表分期计量和支付；支付分解表应随进度计划的修订而调整；除按照第9条约定的变更外，签约合同价所基于的工程量即是用于竣工结算的最终工程量。</w:t>
      </w:r>
    </w:p>
    <w:p>
      <w:pPr>
        <w:spacing w:line="400" w:lineRule="exact"/>
        <w:ind w:firstLine="422" w:firstLineChars="200"/>
        <w:jc w:val="left"/>
        <w:rPr>
          <w:rFonts w:ascii="宋体" w:hAnsi="宋体" w:cs="宋体"/>
          <w:b/>
          <w:bCs/>
          <w:color w:val="auto"/>
          <w:highlight w:val="none"/>
        </w:rPr>
      </w:pPr>
      <w:bookmarkStart w:id="839" w:name="_Toc27634"/>
      <w:bookmarkStart w:id="840" w:name="_Toc247085821"/>
      <w:bookmarkStart w:id="841" w:name="_Toc246996306"/>
      <w:bookmarkStart w:id="842" w:name="_Toc11800"/>
      <w:bookmarkStart w:id="843" w:name="_Toc246997049"/>
      <w:bookmarkStart w:id="844" w:name="_Toc25740"/>
      <w:r>
        <w:rPr>
          <w:rFonts w:hint="eastAsia" w:ascii="宋体" w:hAnsi="宋体" w:cs="宋体"/>
          <w:b/>
          <w:bCs/>
          <w:color w:val="auto"/>
          <w:highlight w:val="none"/>
        </w:rPr>
        <w:t>10.2 预付款</w:t>
      </w:r>
      <w:bookmarkEnd w:id="839"/>
      <w:bookmarkEnd w:id="840"/>
      <w:bookmarkEnd w:id="841"/>
      <w:bookmarkEnd w:id="842"/>
      <w:bookmarkEnd w:id="843"/>
      <w:bookmarkEnd w:id="844"/>
    </w:p>
    <w:p>
      <w:pPr>
        <w:spacing w:line="400" w:lineRule="exact"/>
        <w:jc w:val="left"/>
        <w:rPr>
          <w:rFonts w:ascii="宋体" w:hAnsi="宋体" w:cs="宋体"/>
          <w:color w:val="auto"/>
          <w:szCs w:val="21"/>
          <w:highlight w:val="none"/>
        </w:rPr>
      </w:pPr>
      <w:bookmarkStart w:id="845" w:name="_Toc246996307"/>
      <w:bookmarkStart w:id="846" w:name="_Toc30964"/>
      <w:bookmarkStart w:id="847" w:name="_Toc20870"/>
      <w:bookmarkStart w:id="848" w:name="_Toc247085822"/>
      <w:bookmarkStart w:id="849" w:name="_Toc246997050"/>
      <w:bookmarkStart w:id="850" w:name="_Toc30700"/>
      <w:r>
        <w:rPr>
          <w:rFonts w:hint="eastAsia" w:ascii="宋体" w:hAnsi="宋体" w:cs="宋体"/>
          <w:b/>
          <w:bCs/>
          <w:color w:val="auto"/>
          <w:sz w:val="32"/>
          <w:szCs w:val="32"/>
          <w:highlight w:val="none"/>
        </w:rPr>
        <w:t xml:space="preserve">  无</w:t>
      </w:r>
    </w:p>
    <w:p>
      <w:pPr>
        <w:spacing w:line="400" w:lineRule="exact"/>
        <w:ind w:firstLine="422" w:firstLineChars="200"/>
        <w:jc w:val="left"/>
        <w:rPr>
          <w:rFonts w:ascii="宋体" w:hAnsi="宋体" w:cs="宋体"/>
          <w:b/>
          <w:bCs/>
          <w:color w:val="auto"/>
          <w:highlight w:val="none"/>
        </w:rPr>
      </w:pPr>
      <w:r>
        <w:rPr>
          <w:rFonts w:hint="eastAsia" w:ascii="宋体" w:hAnsi="宋体" w:cs="宋体"/>
          <w:b/>
          <w:bCs/>
          <w:color w:val="auto"/>
          <w:highlight w:val="none"/>
        </w:rPr>
        <w:t>10.3 工程进度付款</w:t>
      </w:r>
      <w:bookmarkEnd w:id="845"/>
      <w:bookmarkEnd w:id="846"/>
      <w:bookmarkEnd w:id="847"/>
      <w:bookmarkEnd w:id="848"/>
      <w:bookmarkEnd w:id="849"/>
      <w:bookmarkEnd w:id="850"/>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应在第10.1款约定的支付分解表确定的每个付款周期末，按监理人批准的格式和专用合同条款约定的份数，向监理人提交进度付款申请单，并附相应的支持性证明文件。除专用合同条款另有约定外，进度付款申请单应包括下列内容：</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（1）截至本次付款周期末已实施工程的合同价款；</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（2）根据第9条应增加和扣减的变更金额；</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（3）根据第16条应增加和扣减的索赔金额；</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（4）根据第10.2款应支付的预付款和扣减的返还预付款；</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（5）根据第10.4款应扣减的质量保证金；</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（6）根据合同应增加和扣减的其他金额。</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监理人应在收到承包人进度付款申请单以及相应的支持性证明文件后的7天内完成核查，并向承包人出具经发包人签认的付款证书。发包人应在监理人收到进度付款申请单的14天内将进度应付款支付给承包人。涉及政府投资资金的，按照国库集中支付等国家相关规定和专用合同条款的约定执行。</w:t>
      </w:r>
    </w:p>
    <w:p>
      <w:pPr>
        <w:spacing w:line="400" w:lineRule="exact"/>
        <w:ind w:firstLine="422" w:firstLineChars="200"/>
        <w:jc w:val="left"/>
        <w:rPr>
          <w:rFonts w:ascii="宋体" w:hAnsi="宋体" w:cs="宋体"/>
          <w:b/>
          <w:bCs/>
          <w:color w:val="auto"/>
          <w:highlight w:val="none"/>
        </w:rPr>
      </w:pPr>
      <w:bookmarkStart w:id="851" w:name="_Toc31701"/>
      <w:bookmarkStart w:id="852" w:name="_Toc29428"/>
      <w:bookmarkStart w:id="853" w:name="_Toc246997051"/>
      <w:bookmarkStart w:id="854" w:name="_Toc246996308"/>
      <w:bookmarkStart w:id="855" w:name="_Toc247085823"/>
      <w:bookmarkStart w:id="856" w:name="_Toc16350"/>
      <w:r>
        <w:rPr>
          <w:rFonts w:hint="eastAsia" w:ascii="宋体" w:hAnsi="宋体" w:cs="宋体"/>
          <w:b/>
          <w:bCs/>
          <w:color w:val="auto"/>
          <w:highlight w:val="none"/>
        </w:rPr>
        <w:t>10.4 质量保证金</w:t>
      </w:r>
      <w:bookmarkEnd w:id="851"/>
      <w:bookmarkEnd w:id="852"/>
      <w:bookmarkEnd w:id="853"/>
      <w:bookmarkEnd w:id="854"/>
      <w:bookmarkEnd w:id="855"/>
      <w:bookmarkEnd w:id="856"/>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监理人应从第一个付款周期开始，在发包人的进度付款中，按专用合同条款的约定扣留质量保证金，直至扣留的质量保证金总额达到专用合同条款约定的金额或比例为止。</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在专用合同条款约定的缺陷责任期满时，承包人向发包人申请到期应返还承包人剩余的质量保证金金额，发包人应在14天内会同承包人按照合同约定的内容核实承包人是否完成缺陷责任，并将无异议的剩余质量保证金返还承包人。</w:t>
      </w:r>
    </w:p>
    <w:p>
      <w:pPr>
        <w:spacing w:line="400" w:lineRule="exact"/>
        <w:ind w:firstLine="422" w:firstLineChars="200"/>
        <w:jc w:val="left"/>
        <w:rPr>
          <w:rFonts w:ascii="宋体" w:hAnsi="宋体" w:cs="宋体"/>
          <w:b/>
          <w:bCs/>
          <w:color w:val="auto"/>
          <w:highlight w:val="none"/>
        </w:rPr>
      </w:pPr>
      <w:bookmarkStart w:id="857" w:name="_Toc247085824"/>
      <w:bookmarkStart w:id="858" w:name="_Toc7963"/>
      <w:bookmarkStart w:id="859" w:name="_Toc15720"/>
      <w:bookmarkStart w:id="860" w:name="_Toc246997052"/>
      <w:bookmarkStart w:id="861" w:name="_Toc246996309"/>
      <w:bookmarkStart w:id="862" w:name="_Toc22499"/>
      <w:r>
        <w:rPr>
          <w:rFonts w:hint="eastAsia" w:ascii="宋体" w:hAnsi="宋体" w:cs="宋体"/>
          <w:b/>
          <w:bCs/>
          <w:color w:val="auto"/>
          <w:highlight w:val="none"/>
        </w:rPr>
        <w:t>10.5 竣工结算</w:t>
      </w:r>
      <w:bookmarkEnd w:id="857"/>
      <w:bookmarkEnd w:id="858"/>
      <w:bookmarkEnd w:id="859"/>
      <w:bookmarkEnd w:id="860"/>
      <w:bookmarkEnd w:id="861"/>
      <w:bookmarkEnd w:id="862"/>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10.5.1 除专用合同条款另有约定外，竣工结算价格不因物价波动和法律变化而调整。</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10.5.2工程接收证书颁发后，承包人应按专用合同条款约定的份数和期限向监理人提交竣工付款申请单，并提供相关证明材料。监理人应当在收到竣工结算申请单的7天内完成核查、准备竣工付款证书并送发包人审核，发包人应在收到后14天内提出具体意见或签认竣工付款证书，并在监理人收到竣工结算申请单的28天内将应付款支付给承包人。发包人未在约定时间内审核并提出具体意见或者签认竣工付款证书的，视为同意承包人提出的竣工付款金额。</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10.5.3竣工付款涉及政府投资资金的，按照国库集中支付等国家相关规定和专用合同条款的约定执行。</w:t>
      </w:r>
    </w:p>
    <w:p>
      <w:pPr>
        <w:spacing w:line="400" w:lineRule="exact"/>
        <w:ind w:firstLine="422" w:firstLineChars="200"/>
        <w:jc w:val="left"/>
        <w:rPr>
          <w:rFonts w:ascii="宋体" w:hAnsi="宋体" w:cs="宋体"/>
          <w:b/>
          <w:bCs/>
          <w:color w:val="auto"/>
          <w:highlight w:val="none"/>
        </w:rPr>
      </w:pPr>
      <w:bookmarkStart w:id="863" w:name="_Toc246996310"/>
      <w:bookmarkStart w:id="864" w:name="_Toc7204"/>
      <w:bookmarkStart w:id="865" w:name="_Toc246997053"/>
      <w:bookmarkStart w:id="866" w:name="_Toc11288"/>
      <w:bookmarkStart w:id="867" w:name="_Toc247085825"/>
      <w:bookmarkStart w:id="868" w:name="_Toc26295"/>
      <w:r>
        <w:rPr>
          <w:rFonts w:hint="eastAsia" w:ascii="宋体" w:hAnsi="宋体" w:cs="宋体"/>
          <w:b/>
          <w:bCs/>
          <w:color w:val="auto"/>
          <w:highlight w:val="none"/>
        </w:rPr>
        <w:t>10.6 付款延误</w:t>
      </w:r>
      <w:bookmarkEnd w:id="863"/>
      <w:bookmarkEnd w:id="864"/>
      <w:bookmarkEnd w:id="865"/>
      <w:bookmarkEnd w:id="866"/>
      <w:bookmarkEnd w:id="867"/>
      <w:bookmarkEnd w:id="868"/>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发包人不按期支付的，按专用合同条款的约定支付逾期付款违约金。</w:t>
      </w:r>
    </w:p>
    <w:p>
      <w:pPr>
        <w:pStyle w:val="4"/>
        <w:spacing w:before="0" w:after="0" w:line="400" w:lineRule="exact"/>
        <w:jc w:val="left"/>
        <w:rPr>
          <w:rFonts w:ascii="宋体" w:hAnsi="宋体" w:eastAsia="宋体" w:cs="宋体"/>
          <w:color w:val="auto"/>
          <w:highlight w:val="none"/>
        </w:rPr>
      </w:pPr>
      <w:bookmarkStart w:id="869" w:name="_Toc466470937"/>
      <w:bookmarkStart w:id="870" w:name="_Toc246997054"/>
      <w:bookmarkStart w:id="871" w:name="_Toc21806"/>
      <w:bookmarkStart w:id="872" w:name="_Toc30072"/>
      <w:bookmarkStart w:id="873" w:name="_Toc184635115"/>
      <w:bookmarkStart w:id="874" w:name="_Toc466470807"/>
      <w:bookmarkStart w:id="875" w:name="_Toc247085826"/>
      <w:bookmarkStart w:id="876" w:name="_Toc20314"/>
      <w:bookmarkStart w:id="877" w:name="_Toc246996311"/>
      <w:r>
        <w:rPr>
          <w:rFonts w:hint="eastAsia" w:ascii="宋体" w:hAnsi="宋体" w:eastAsia="宋体" w:cs="宋体"/>
          <w:color w:val="auto"/>
          <w:highlight w:val="none"/>
        </w:rPr>
        <w:t>11. 竣工验收</w:t>
      </w:r>
      <w:bookmarkEnd w:id="869"/>
      <w:bookmarkEnd w:id="870"/>
      <w:bookmarkEnd w:id="871"/>
      <w:bookmarkEnd w:id="872"/>
      <w:bookmarkEnd w:id="873"/>
      <w:bookmarkEnd w:id="874"/>
      <w:bookmarkEnd w:id="875"/>
      <w:bookmarkEnd w:id="876"/>
      <w:bookmarkEnd w:id="877"/>
    </w:p>
    <w:p>
      <w:pPr>
        <w:spacing w:line="400" w:lineRule="exact"/>
        <w:ind w:firstLine="422" w:firstLineChars="200"/>
        <w:jc w:val="left"/>
        <w:rPr>
          <w:rFonts w:ascii="宋体" w:hAnsi="宋体" w:cs="宋体"/>
          <w:b/>
          <w:bCs/>
          <w:color w:val="auto"/>
          <w:highlight w:val="none"/>
        </w:rPr>
      </w:pPr>
      <w:bookmarkStart w:id="878" w:name="_Toc14645"/>
      <w:bookmarkStart w:id="879" w:name="_Toc27236"/>
      <w:bookmarkStart w:id="880" w:name="_Toc27369"/>
      <w:bookmarkStart w:id="881" w:name="_Toc247085827"/>
      <w:bookmarkStart w:id="882" w:name="_Toc246996312"/>
      <w:bookmarkStart w:id="883" w:name="_Toc246997055"/>
      <w:r>
        <w:rPr>
          <w:rFonts w:hint="eastAsia" w:ascii="宋体" w:hAnsi="宋体" w:cs="宋体"/>
          <w:b/>
          <w:bCs/>
          <w:color w:val="auto"/>
          <w:highlight w:val="none"/>
        </w:rPr>
        <w:t>11.1 竣工验收的含义</w:t>
      </w:r>
      <w:bookmarkEnd w:id="878"/>
      <w:bookmarkEnd w:id="879"/>
      <w:bookmarkEnd w:id="880"/>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11.1.1 竣工验收是指承包人完成了全部合同工作后，发包人按合同要求进行的验收。</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11.1.2 需要进行国家验收的，竣工验收是国家验收的一部分。竣工验收所采用的各项验收和评定标准应符合国家验收标准。发包人和承包人为竣工验收提供的各项竣工验收资料应符合国家验收的要求。</w:t>
      </w:r>
    </w:p>
    <w:p>
      <w:pPr>
        <w:spacing w:line="400" w:lineRule="exact"/>
        <w:ind w:firstLine="422" w:firstLineChars="200"/>
        <w:jc w:val="left"/>
        <w:rPr>
          <w:rFonts w:ascii="宋体" w:hAnsi="宋体" w:cs="宋体"/>
          <w:b/>
          <w:bCs/>
          <w:color w:val="auto"/>
          <w:highlight w:val="none"/>
        </w:rPr>
      </w:pPr>
      <w:bookmarkStart w:id="884" w:name="_Toc27430"/>
      <w:bookmarkStart w:id="885" w:name="_Toc21108"/>
      <w:bookmarkStart w:id="886" w:name="_Toc16631"/>
      <w:r>
        <w:rPr>
          <w:rFonts w:hint="eastAsia" w:ascii="宋体" w:hAnsi="宋体" w:cs="宋体"/>
          <w:b/>
          <w:bCs/>
          <w:color w:val="auto"/>
          <w:highlight w:val="none"/>
        </w:rPr>
        <w:t>11.2 竣工验收申请报告</w:t>
      </w:r>
      <w:bookmarkEnd w:id="881"/>
      <w:bookmarkEnd w:id="882"/>
      <w:bookmarkEnd w:id="883"/>
      <w:bookmarkEnd w:id="884"/>
      <w:bookmarkEnd w:id="885"/>
      <w:bookmarkEnd w:id="886"/>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当工程具备竣工条件时，承包人即可向监理人报送竣工验收申请报告。</w:t>
      </w:r>
    </w:p>
    <w:p>
      <w:pPr>
        <w:spacing w:line="400" w:lineRule="exact"/>
        <w:ind w:firstLine="422" w:firstLineChars="200"/>
        <w:jc w:val="left"/>
        <w:rPr>
          <w:rFonts w:ascii="宋体" w:hAnsi="宋体" w:cs="宋体"/>
          <w:b/>
          <w:bCs/>
          <w:color w:val="auto"/>
          <w:highlight w:val="none"/>
        </w:rPr>
      </w:pPr>
      <w:bookmarkStart w:id="887" w:name="_Toc247085828"/>
      <w:bookmarkStart w:id="888" w:name="_Toc10544"/>
      <w:bookmarkStart w:id="889" w:name="_Toc246996313"/>
      <w:bookmarkStart w:id="890" w:name="_Toc22815"/>
      <w:bookmarkStart w:id="891" w:name="_Toc246997056"/>
      <w:bookmarkStart w:id="892" w:name="_Toc14257"/>
      <w:r>
        <w:rPr>
          <w:rFonts w:hint="eastAsia" w:ascii="宋体" w:hAnsi="宋体" w:cs="宋体"/>
          <w:b/>
          <w:bCs/>
          <w:color w:val="auto"/>
          <w:highlight w:val="none"/>
        </w:rPr>
        <w:t>11.3 竣工和验收</w:t>
      </w:r>
      <w:bookmarkEnd w:id="887"/>
      <w:bookmarkEnd w:id="888"/>
      <w:bookmarkEnd w:id="889"/>
      <w:bookmarkEnd w:id="890"/>
      <w:bookmarkEnd w:id="891"/>
      <w:bookmarkEnd w:id="892"/>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监理人审查后认为具备竣工验收条件的，提请发包人进行工程验收。发包人经过验收后同意接收工程的，由监理人向承包人出具经发包人签认的工程接收证书。</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除专用合同条款另有约定外，经验收合格工程的实际竣工日期，以提交竣工验收申请报告的日期为准，并在工程接收证书中写明。</w:t>
      </w:r>
    </w:p>
    <w:p>
      <w:pPr>
        <w:spacing w:line="400" w:lineRule="exact"/>
        <w:ind w:firstLine="422" w:firstLineChars="200"/>
        <w:jc w:val="left"/>
        <w:rPr>
          <w:rFonts w:ascii="宋体" w:hAnsi="宋体" w:cs="宋体"/>
          <w:b/>
          <w:bCs/>
          <w:color w:val="auto"/>
          <w:highlight w:val="none"/>
        </w:rPr>
      </w:pPr>
      <w:bookmarkStart w:id="893" w:name="_Toc246996314"/>
      <w:bookmarkStart w:id="894" w:name="_Toc23928"/>
      <w:bookmarkStart w:id="895" w:name="_Toc246997057"/>
      <w:bookmarkStart w:id="896" w:name="_Toc24973"/>
      <w:bookmarkStart w:id="897" w:name="_Toc247085829"/>
      <w:bookmarkStart w:id="898" w:name="_Toc2278"/>
      <w:r>
        <w:rPr>
          <w:rFonts w:hint="eastAsia" w:ascii="宋体" w:hAnsi="宋体" w:cs="宋体"/>
          <w:b/>
          <w:bCs/>
          <w:color w:val="auto"/>
          <w:highlight w:val="none"/>
        </w:rPr>
        <w:t>11.4 试运行</w:t>
      </w:r>
      <w:bookmarkEnd w:id="893"/>
      <w:bookmarkEnd w:id="894"/>
      <w:bookmarkEnd w:id="895"/>
      <w:bookmarkEnd w:id="896"/>
      <w:bookmarkEnd w:id="897"/>
      <w:bookmarkEnd w:id="898"/>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除专用合同条款另有约定外，承包人应按专用合同条款约定进行工程及工程设备试运行，负责提供试运行所需的人员、器材和必要的条件，并承担全部试运行费用。</w:t>
      </w:r>
    </w:p>
    <w:p>
      <w:pPr>
        <w:spacing w:line="400" w:lineRule="exact"/>
        <w:ind w:firstLine="422" w:firstLineChars="200"/>
        <w:jc w:val="left"/>
        <w:rPr>
          <w:rFonts w:ascii="宋体" w:hAnsi="宋体" w:cs="宋体"/>
          <w:b/>
          <w:bCs/>
          <w:color w:val="auto"/>
          <w:highlight w:val="none"/>
        </w:rPr>
      </w:pPr>
      <w:bookmarkStart w:id="899" w:name="_Toc19443"/>
      <w:bookmarkStart w:id="900" w:name="_Toc247085830"/>
      <w:bookmarkStart w:id="901" w:name="_Toc12382"/>
      <w:bookmarkStart w:id="902" w:name="_Toc246996315"/>
      <w:bookmarkStart w:id="903" w:name="_Toc246997058"/>
      <w:bookmarkStart w:id="904" w:name="_Toc30721"/>
      <w:r>
        <w:rPr>
          <w:rFonts w:hint="eastAsia" w:ascii="宋体" w:hAnsi="宋体" w:cs="宋体"/>
          <w:b/>
          <w:bCs/>
          <w:color w:val="auto"/>
          <w:highlight w:val="none"/>
        </w:rPr>
        <w:t>11.5 竣工清场</w:t>
      </w:r>
      <w:bookmarkEnd w:id="899"/>
      <w:bookmarkEnd w:id="900"/>
      <w:bookmarkEnd w:id="901"/>
      <w:bookmarkEnd w:id="902"/>
      <w:bookmarkEnd w:id="903"/>
      <w:bookmarkEnd w:id="904"/>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除合同另有约定外，工程接收证书颁发后，承包人应对施工场地进行清理，直至监理人检验合格为止。竣工清场费用由承包人承担。</w:t>
      </w:r>
    </w:p>
    <w:p>
      <w:pPr>
        <w:pStyle w:val="4"/>
        <w:spacing w:before="0" w:after="0" w:line="400" w:lineRule="exact"/>
        <w:jc w:val="left"/>
        <w:rPr>
          <w:rFonts w:ascii="宋体" w:hAnsi="宋体" w:eastAsia="宋体" w:cs="宋体"/>
          <w:color w:val="auto"/>
          <w:highlight w:val="none"/>
        </w:rPr>
      </w:pPr>
      <w:bookmarkStart w:id="905" w:name="_Toc246996316"/>
      <w:bookmarkStart w:id="906" w:name="_Toc466470808"/>
      <w:bookmarkStart w:id="907" w:name="_Toc29293"/>
      <w:bookmarkStart w:id="908" w:name="_Toc246997059"/>
      <w:bookmarkStart w:id="909" w:name="_Toc466470938"/>
      <w:bookmarkStart w:id="910" w:name="_Toc32282"/>
      <w:bookmarkStart w:id="911" w:name="_Toc184635116"/>
      <w:bookmarkStart w:id="912" w:name="_Toc247085831"/>
      <w:bookmarkStart w:id="913" w:name="_Toc30634"/>
      <w:r>
        <w:rPr>
          <w:rFonts w:hint="eastAsia" w:ascii="宋体" w:hAnsi="宋体" w:eastAsia="宋体" w:cs="宋体"/>
          <w:color w:val="auto"/>
          <w:highlight w:val="none"/>
        </w:rPr>
        <w:t>12. 缺陷责任与保修责任</w:t>
      </w:r>
      <w:bookmarkEnd w:id="905"/>
      <w:bookmarkEnd w:id="906"/>
      <w:bookmarkEnd w:id="907"/>
      <w:bookmarkEnd w:id="908"/>
      <w:bookmarkEnd w:id="909"/>
      <w:bookmarkEnd w:id="910"/>
      <w:bookmarkEnd w:id="911"/>
      <w:bookmarkEnd w:id="912"/>
      <w:bookmarkEnd w:id="913"/>
    </w:p>
    <w:p>
      <w:pPr>
        <w:spacing w:line="400" w:lineRule="exact"/>
        <w:ind w:firstLine="422" w:firstLineChars="200"/>
        <w:jc w:val="left"/>
        <w:rPr>
          <w:rFonts w:ascii="宋体" w:hAnsi="宋体" w:cs="宋体"/>
          <w:b/>
          <w:bCs/>
          <w:color w:val="auto"/>
          <w:highlight w:val="none"/>
        </w:rPr>
      </w:pPr>
      <w:bookmarkStart w:id="914" w:name="_Toc246996317"/>
      <w:bookmarkStart w:id="915" w:name="_Toc246997060"/>
      <w:bookmarkStart w:id="916" w:name="_Toc247085832"/>
      <w:bookmarkStart w:id="917" w:name="_Toc11661"/>
      <w:bookmarkStart w:id="918" w:name="_Toc31678"/>
      <w:bookmarkStart w:id="919" w:name="_Toc17761"/>
      <w:r>
        <w:rPr>
          <w:rFonts w:hint="eastAsia" w:ascii="宋体" w:hAnsi="宋体" w:cs="宋体"/>
          <w:b/>
          <w:bCs/>
          <w:color w:val="auto"/>
          <w:highlight w:val="none"/>
        </w:rPr>
        <w:t>12.1 缺陷责任</w:t>
      </w:r>
      <w:bookmarkEnd w:id="914"/>
      <w:bookmarkEnd w:id="915"/>
      <w:bookmarkEnd w:id="916"/>
      <w:bookmarkEnd w:id="917"/>
      <w:bookmarkEnd w:id="918"/>
      <w:bookmarkEnd w:id="919"/>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缺陷责任自实际竣工日期起计算。在缺陷责任期内，已交付的工程由于承包人的材料、设备或工艺不符合合同要求所产生的缺陷，修补费用由承包人承担。由于承包人原因造成某项缺陷或损坏使某项工程或工程设备不能按原定目标使用而需要再次检查、检验和修复的，发包人有权要求承包人相应延长缺陷责任期，但缺陷责任期最长不超过2年。</w:t>
      </w:r>
    </w:p>
    <w:p>
      <w:pPr>
        <w:spacing w:line="400" w:lineRule="exact"/>
        <w:ind w:firstLine="422" w:firstLineChars="200"/>
        <w:jc w:val="left"/>
        <w:rPr>
          <w:rFonts w:ascii="宋体" w:hAnsi="宋体" w:cs="宋体"/>
          <w:b/>
          <w:bCs/>
          <w:color w:val="auto"/>
          <w:highlight w:val="none"/>
        </w:rPr>
      </w:pPr>
      <w:bookmarkStart w:id="920" w:name="_Toc14387"/>
      <w:bookmarkStart w:id="921" w:name="_Toc247085833"/>
      <w:bookmarkStart w:id="922" w:name="_Toc261"/>
      <w:bookmarkStart w:id="923" w:name="_Toc246997061"/>
      <w:bookmarkStart w:id="924" w:name="_Toc246996318"/>
      <w:bookmarkStart w:id="925" w:name="_Toc21453"/>
      <w:r>
        <w:rPr>
          <w:rFonts w:hint="eastAsia" w:ascii="宋体" w:hAnsi="宋体" w:cs="宋体"/>
          <w:b/>
          <w:bCs/>
          <w:color w:val="auto"/>
          <w:highlight w:val="none"/>
        </w:rPr>
        <w:t>12.2 保修责任</w:t>
      </w:r>
      <w:bookmarkEnd w:id="920"/>
      <w:bookmarkEnd w:id="921"/>
      <w:bookmarkEnd w:id="922"/>
      <w:bookmarkEnd w:id="923"/>
      <w:bookmarkEnd w:id="924"/>
      <w:bookmarkEnd w:id="925"/>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合同当事人根据有关法律规定，在专用合同条款中约定工程质量保修范围、期限和责任。保修期自实际竣工日期起计算。</w:t>
      </w:r>
      <w:bookmarkStart w:id="926" w:name="_Toc246997062"/>
      <w:bookmarkStart w:id="927" w:name="_Toc246996319"/>
      <w:bookmarkStart w:id="928" w:name="_Toc247085834"/>
      <w:bookmarkStart w:id="929" w:name="_Toc184635117"/>
    </w:p>
    <w:p>
      <w:pPr>
        <w:pStyle w:val="4"/>
        <w:spacing w:before="0" w:after="0" w:line="400" w:lineRule="exact"/>
        <w:jc w:val="left"/>
        <w:rPr>
          <w:rFonts w:ascii="宋体" w:hAnsi="宋体" w:eastAsia="宋体" w:cs="宋体"/>
          <w:color w:val="auto"/>
          <w:highlight w:val="none"/>
        </w:rPr>
      </w:pPr>
      <w:bookmarkStart w:id="930" w:name="_Toc32538"/>
      <w:bookmarkStart w:id="931" w:name="_Toc466470939"/>
      <w:bookmarkStart w:id="932" w:name="_Toc19745"/>
      <w:bookmarkStart w:id="933" w:name="_Toc2092"/>
      <w:bookmarkStart w:id="934" w:name="_Toc466470809"/>
      <w:r>
        <w:rPr>
          <w:rFonts w:hint="eastAsia" w:ascii="宋体" w:hAnsi="宋体" w:eastAsia="宋体" w:cs="宋体"/>
          <w:color w:val="auto"/>
          <w:highlight w:val="none"/>
        </w:rPr>
        <w:t>13. 保险</w:t>
      </w:r>
      <w:bookmarkEnd w:id="926"/>
      <w:bookmarkEnd w:id="927"/>
      <w:bookmarkEnd w:id="928"/>
      <w:bookmarkEnd w:id="929"/>
      <w:bookmarkEnd w:id="930"/>
      <w:bookmarkEnd w:id="931"/>
      <w:bookmarkEnd w:id="932"/>
      <w:bookmarkEnd w:id="933"/>
      <w:bookmarkEnd w:id="934"/>
    </w:p>
    <w:p>
      <w:pPr>
        <w:spacing w:line="400" w:lineRule="exact"/>
        <w:ind w:firstLine="422" w:firstLineChars="200"/>
        <w:jc w:val="left"/>
        <w:rPr>
          <w:rFonts w:ascii="宋体" w:hAnsi="宋体" w:cs="宋体"/>
          <w:b/>
          <w:bCs/>
          <w:color w:val="auto"/>
          <w:highlight w:val="none"/>
        </w:rPr>
      </w:pPr>
      <w:bookmarkStart w:id="935" w:name="_Toc246996320"/>
      <w:bookmarkStart w:id="936" w:name="_Toc14617"/>
      <w:bookmarkStart w:id="937" w:name="_Toc29927"/>
      <w:bookmarkStart w:id="938" w:name="_Toc246997063"/>
      <w:bookmarkStart w:id="939" w:name="_Toc247085835"/>
      <w:bookmarkStart w:id="940" w:name="_Toc397"/>
      <w:r>
        <w:rPr>
          <w:rFonts w:hint="eastAsia" w:ascii="宋体" w:hAnsi="宋体" w:cs="宋体"/>
          <w:b/>
          <w:bCs/>
          <w:color w:val="auto"/>
          <w:highlight w:val="none"/>
        </w:rPr>
        <w:t>13.1 保险范围</w:t>
      </w:r>
      <w:bookmarkEnd w:id="935"/>
      <w:bookmarkEnd w:id="936"/>
      <w:bookmarkEnd w:id="937"/>
      <w:bookmarkEnd w:id="938"/>
      <w:bookmarkEnd w:id="939"/>
      <w:bookmarkEnd w:id="940"/>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13.1.1承包人按照专用合同条款的约定向双方同意的保险人投保建筑工程一切险或安装工程一切险等保险。具体的投保险种、保险范围、保险金额、保险费率、保险期限等有关内容应当在专用合同条款中明确约定。</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13.1.2承包人应依照有关法律规定参加工伤保险和人身意外伤害险，为其履行合同所雇佣的全部人员，缴纳工伤保险费和人身意外伤害险费。</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13.1.3发包人应依照有关法律规定参加工伤保险和人身意外伤害险，为其现场机构雇佣的全部人员，缴纳工伤保险费和人身意外伤害险费，并要求其监理人也进行此类保险。</w:t>
      </w:r>
    </w:p>
    <w:p>
      <w:pPr>
        <w:spacing w:line="400" w:lineRule="exact"/>
        <w:jc w:val="left"/>
        <w:rPr>
          <w:rFonts w:ascii="宋体" w:hAnsi="宋体" w:cs="宋体"/>
          <w:b/>
          <w:bCs/>
          <w:color w:val="auto"/>
          <w:sz w:val="32"/>
          <w:szCs w:val="32"/>
          <w:highlight w:val="none"/>
        </w:rPr>
      </w:pPr>
      <w:bookmarkStart w:id="941" w:name="_Toc246997064"/>
      <w:bookmarkStart w:id="942" w:name="_Toc247085836"/>
      <w:bookmarkStart w:id="943" w:name="_Toc246996321"/>
      <w:r>
        <w:rPr>
          <w:rFonts w:hint="eastAsia" w:ascii="宋体" w:hAnsi="宋体" w:cs="宋体"/>
          <w:b/>
          <w:bCs/>
          <w:color w:val="auto"/>
          <w:sz w:val="32"/>
          <w:szCs w:val="32"/>
          <w:highlight w:val="none"/>
        </w:rPr>
        <w:t xml:space="preserve"> </w:t>
      </w:r>
      <w:bookmarkStart w:id="944" w:name="_Toc5396"/>
      <w:bookmarkStart w:id="945" w:name="_Toc31313"/>
      <w:bookmarkStart w:id="946" w:name="_Toc28969"/>
      <w:r>
        <w:rPr>
          <w:rFonts w:hint="eastAsia" w:ascii="宋体" w:hAnsi="宋体" w:cs="宋体"/>
          <w:b/>
          <w:bCs/>
          <w:color w:val="auto"/>
          <w:highlight w:val="none"/>
        </w:rPr>
        <w:t>13.2 未办理保险</w:t>
      </w:r>
      <w:bookmarkEnd w:id="941"/>
      <w:bookmarkEnd w:id="942"/>
      <w:bookmarkEnd w:id="943"/>
      <w:bookmarkEnd w:id="944"/>
      <w:bookmarkEnd w:id="945"/>
      <w:bookmarkEnd w:id="946"/>
    </w:p>
    <w:p>
      <w:pPr>
        <w:spacing w:line="400" w:lineRule="exact"/>
        <w:ind w:firstLine="420" w:firstLineChars="200"/>
        <w:jc w:val="left"/>
        <w:rPr>
          <w:rFonts w:ascii="宋体" w:hAnsi="宋体" w:cs="宋体"/>
          <w:color w:val="auto"/>
          <w:szCs w:val="21"/>
          <w:highlight w:val="none"/>
        </w:rPr>
      </w:pPr>
      <w:bookmarkStart w:id="947" w:name="_Toc184635118"/>
      <w:r>
        <w:rPr>
          <w:rFonts w:hint="eastAsia" w:ascii="宋体" w:hAnsi="宋体" w:cs="宋体"/>
          <w:color w:val="auto"/>
          <w:szCs w:val="21"/>
          <w:highlight w:val="none"/>
        </w:rPr>
        <w:t>13.2.1由于负有投保义务的一方当事人未按合同约定办理保险，或未能使保险持续有效的，另一方当事人可代为办理，所需费用由对方当事人承担。</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13.2.2由于负有投保义务的一方当事人未按合同约定办理某项保险，导致受益人未能得到保险人的赔偿，原应从该项保险得到的保险金应由负有投保义务的一方当事人支付。</w:t>
      </w:r>
      <w:bookmarkEnd w:id="947"/>
    </w:p>
    <w:p>
      <w:pPr>
        <w:pStyle w:val="4"/>
        <w:spacing w:before="0" w:after="0" w:line="400" w:lineRule="exact"/>
        <w:jc w:val="left"/>
        <w:rPr>
          <w:rFonts w:ascii="宋体" w:hAnsi="宋体" w:eastAsia="宋体" w:cs="宋体"/>
          <w:color w:val="auto"/>
          <w:highlight w:val="none"/>
        </w:rPr>
      </w:pPr>
      <w:bookmarkStart w:id="948" w:name="_Toc247514180"/>
      <w:bookmarkStart w:id="949" w:name="_Toc271821895"/>
      <w:bookmarkStart w:id="950" w:name="_Toc247527781"/>
      <w:bookmarkStart w:id="951" w:name="_Toc2469"/>
      <w:bookmarkStart w:id="952" w:name="_Toc5897"/>
      <w:bookmarkStart w:id="953" w:name="_Toc8849"/>
      <w:bookmarkStart w:id="954" w:name="_Toc466470810"/>
      <w:bookmarkStart w:id="955" w:name="_Toc466470940"/>
      <w:bookmarkStart w:id="956" w:name="_Toc246996322"/>
      <w:bookmarkStart w:id="957" w:name="_Toc247085837"/>
      <w:bookmarkStart w:id="958" w:name="_Toc184635119"/>
      <w:bookmarkStart w:id="959" w:name="_Toc246997065"/>
      <w:r>
        <w:rPr>
          <w:rFonts w:hint="eastAsia" w:ascii="宋体" w:hAnsi="宋体" w:eastAsia="宋体" w:cs="宋体"/>
          <w:color w:val="auto"/>
          <w:highlight w:val="none"/>
        </w:rPr>
        <w:t>14. 不可抗力</w:t>
      </w:r>
      <w:bookmarkEnd w:id="948"/>
      <w:bookmarkEnd w:id="949"/>
      <w:bookmarkEnd w:id="950"/>
      <w:bookmarkEnd w:id="951"/>
      <w:bookmarkEnd w:id="952"/>
      <w:bookmarkEnd w:id="953"/>
      <w:bookmarkEnd w:id="954"/>
      <w:bookmarkEnd w:id="955"/>
    </w:p>
    <w:p>
      <w:pPr>
        <w:spacing w:line="400" w:lineRule="exact"/>
        <w:ind w:firstLine="422" w:firstLineChars="200"/>
        <w:jc w:val="left"/>
        <w:rPr>
          <w:rFonts w:ascii="宋体" w:hAnsi="宋体" w:cs="宋体"/>
          <w:b/>
          <w:bCs/>
          <w:color w:val="auto"/>
          <w:highlight w:val="none"/>
        </w:rPr>
      </w:pPr>
      <w:bookmarkStart w:id="960" w:name="_Toc23196"/>
      <w:bookmarkStart w:id="961" w:name="_Toc271821896"/>
      <w:bookmarkStart w:id="962" w:name="_Toc29689"/>
      <w:bookmarkStart w:id="963" w:name="_Toc247514181"/>
      <w:bookmarkStart w:id="964" w:name="_Toc13386"/>
      <w:bookmarkStart w:id="965" w:name="_Toc247527782"/>
      <w:r>
        <w:rPr>
          <w:rFonts w:hint="eastAsia" w:ascii="宋体" w:hAnsi="宋体" w:cs="宋体"/>
          <w:b/>
          <w:bCs/>
          <w:color w:val="auto"/>
          <w:highlight w:val="none"/>
        </w:rPr>
        <w:t>14.1 不可抗力的确认</w:t>
      </w:r>
      <w:bookmarkEnd w:id="960"/>
      <w:bookmarkEnd w:id="961"/>
      <w:bookmarkEnd w:id="962"/>
      <w:bookmarkEnd w:id="963"/>
      <w:bookmarkEnd w:id="964"/>
      <w:bookmarkEnd w:id="965"/>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14.1.1 不可抗力是指承包人和发包人在订立合同时不可预见，在履行合同过程中不可避免发生并不能克服的自然灾害和社会性突发事件，如地震、海啸、瘟疫、水灾、骚乱、暴动、战争和专用合同条款约定的其他情形。</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14.1.2 不可抗力发生后，发包人和承包人应及时认真统计所造成的损失，收集不可抗力造成损失的证据。合同双方对是否属于不可抗力或其损失的意见不一致的，由监理人按第3.5 款商定或确定。发生争议时，按第17条的约定执行。</w:t>
      </w:r>
    </w:p>
    <w:p>
      <w:pPr>
        <w:spacing w:line="400" w:lineRule="exact"/>
        <w:ind w:firstLine="422" w:firstLineChars="200"/>
        <w:jc w:val="left"/>
        <w:rPr>
          <w:rFonts w:ascii="宋体" w:hAnsi="宋体" w:cs="宋体"/>
          <w:b/>
          <w:bCs/>
          <w:color w:val="auto"/>
          <w:highlight w:val="none"/>
        </w:rPr>
      </w:pPr>
      <w:bookmarkStart w:id="966" w:name="_Toc17189"/>
      <w:bookmarkStart w:id="967" w:name="_Toc247514182"/>
      <w:bookmarkStart w:id="968" w:name="_Toc991"/>
      <w:bookmarkStart w:id="969" w:name="_Toc11119"/>
      <w:bookmarkStart w:id="970" w:name="_Toc271821897"/>
      <w:bookmarkStart w:id="971" w:name="_Toc247527783"/>
      <w:r>
        <w:rPr>
          <w:rFonts w:hint="eastAsia" w:ascii="宋体" w:hAnsi="宋体" w:cs="宋体"/>
          <w:b/>
          <w:bCs/>
          <w:color w:val="auto"/>
          <w:highlight w:val="none"/>
        </w:rPr>
        <w:t>14.2 不可抗力的通知</w:t>
      </w:r>
      <w:bookmarkEnd w:id="966"/>
      <w:bookmarkEnd w:id="967"/>
      <w:bookmarkEnd w:id="968"/>
      <w:bookmarkEnd w:id="969"/>
      <w:bookmarkEnd w:id="970"/>
      <w:bookmarkEnd w:id="971"/>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合同一方当事人遇到不可抗力事件，使其履行合同义务受到阻碍时，应立即通知合同另一方当事人和监理人，书面说明不可抗力和受阻碍的详细情况，并提供必要的证明。如不可抗力持续发生，合同一方当事人应及时向合同另一方当事人和监理人提交中间报告，说明不可抗力和履行合同受阻的情况，并于不可抗力事件结束后14天内提交最终报告及有关资料。</w:t>
      </w:r>
    </w:p>
    <w:p>
      <w:pPr>
        <w:spacing w:line="400" w:lineRule="exact"/>
        <w:ind w:firstLine="422" w:firstLineChars="200"/>
        <w:jc w:val="left"/>
        <w:rPr>
          <w:rFonts w:ascii="宋体" w:hAnsi="宋体" w:cs="宋体"/>
          <w:b/>
          <w:bCs/>
          <w:color w:val="auto"/>
          <w:highlight w:val="none"/>
        </w:rPr>
      </w:pPr>
      <w:bookmarkStart w:id="972" w:name="_Toc14123"/>
      <w:bookmarkStart w:id="973" w:name="_Toc23126"/>
      <w:bookmarkStart w:id="974" w:name="_Toc247514183"/>
      <w:bookmarkStart w:id="975" w:name="_Toc271821898"/>
      <w:bookmarkStart w:id="976" w:name="_Toc247527784"/>
      <w:bookmarkStart w:id="977" w:name="_Toc30250"/>
      <w:r>
        <w:rPr>
          <w:rFonts w:hint="eastAsia" w:ascii="宋体" w:hAnsi="宋体" w:cs="宋体"/>
          <w:b/>
          <w:bCs/>
          <w:color w:val="auto"/>
          <w:highlight w:val="none"/>
        </w:rPr>
        <w:t>14.3 不可抗力后果及其处理</w:t>
      </w:r>
      <w:bookmarkEnd w:id="972"/>
      <w:bookmarkEnd w:id="973"/>
      <w:bookmarkEnd w:id="974"/>
      <w:bookmarkEnd w:id="975"/>
      <w:bookmarkEnd w:id="976"/>
      <w:bookmarkEnd w:id="977"/>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除专用合同条款另有约定外，不可抗力导致的人员伤亡、财产损失、费用增加和（或）工期延误等后果，由合同双方按以下原则承担：</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（1）永久工程，包括已运至施工场地的材料和工程设备的损害，以及因工程损害造成的第三者人员伤亡和财产损失由发包人承担；</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（2）承包人设备的损坏由承包人承担；</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（3）发包人和承包人各自承担其人员伤亡和其他财产损失及其相关费用；</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（4）承包人的停工损失由承包人承担，但停工期间应监理人要求照管工程和清理、修复工程的金额由发包人承担；</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（5）不能按期竣工的，应合理延长工期，承包人不需支付逾期竣工违约金。发包人要求赶工的，承包人应采取赶工措施，赶工费用由发包人承担。</w:t>
      </w:r>
    </w:p>
    <w:p>
      <w:pPr>
        <w:pStyle w:val="4"/>
        <w:spacing w:before="0" w:after="0" w:line="400" w:lineRule="exact"/>
        <w:jc w:val="left"/>
        <w:rPr>
          <w:rFonts w:ascii="宋体" w:hAnsi="宋体" w:eastAsia="宋体" w:cs="宋体"/>
          <w:color w:val="auto"/>
          <w:highlight w:val="none"/>
        </w:rPr>
      </w:pPr>
      <w:bookmarkStart w:id="978" w:name="_Toc466470941"/>
      <w:bookmarkStart w:id="979" w:name="_Toc466470811"/>
      <w:bookmarkStart w:id="980" w:name="_Toc19710"/>
      <w:bookmarkStart w:id="981" w:name="_Toc28370"/>
      <w:bookmarkStart w:id="982" w:name="_Toc21091"/>
      <w:r>
        <w:rPr>
          <w:rFonts w:hint="eastAsia" w:ascii="宋体" w:hAnsi="宋体" w:eastAsia="宋体" w:cs="宋体"/>
          <w:color w:val="auto"/>
          <w:highlight w:val="none"/>
        </w:rPr>
        <w:t>15. 违约</w:t>
      </w:r>
      <w:bookmarkEnd w:id="956"/>
      <w:bookmarkEnd w:id="957"/>
      <w:bookmarkEnd w:id="958"/>
      <w:bookmarkEnd w:id="959"/>
      <w:bookmarkEnd w:id="978"/>
      <w:bookmarkEnd w:id="979"/>
      <w:bookmarkEnd w:id="980"/>
      <w:bookmarkEnd w:id="981"/>
      <w:bookmarkEnd w:id="982"/>
    </w:p>
    <w:p>
      <w:pPr>
        <w:spacing w:line="400" w:lineRule="exact"/>
        <w:ind w:firstLine="422" w:firstLineChars="200"/>
        <w:jc w:val="left"/>
        <w:rPr>
          <w:rFonts w:ascii="宋体" w:hAnsi="宋体" w:cs="宋体"/>
          <w:b/>
          <w:bCs/>
          <w:color w:val="auto"/>
          <w:highlight w:val="none"/>
        </w:rPr>
      </w:pPr>
      <w:bookmarkStart w:id="983" w:name="_Toc23120"/>
      <w:bookmarkStart w:id="984" w:name="_Toc459"/>
      <w:bookmarkStart w:id="985" w:name="_Toc246997066"/>
      <w:bookmarkStart w:id="986" w:name="_Toc246996323"/>
      <w:bookmarkStart w:id="987" w:name="_Toc247085838"/>
      <w:bookmarkStart w:id="988" w:name="_Toc13762"/>
      <w:r>
        <w:rPr>
          <w:rFonts w:hint="eastAsia" w:ascii="宋体" w:hAnsi="宋体" w:cs="宋体"/>
          <w:b/>
          <w:bCs/>
          <w:color w:val="auto"/>
          <w:highlight w:val="none"/>
        </w:rPr>
        <w:t>15.1 承包人违约</w:t>
      </w:r>
      <w:bookmarkEnd w:id="983"/>
      <w:bookmarkEnd w:id="984"/>
      <w:bookmarkEnd w:id="985"/>
      <w:bookmarkEnd w:id="986"/>
      <w:bookmarkEnd w:id="987"/>
      <w:bookmarkEnd w:id="988"/>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15.1.1 如果承包人拒绝或未能遵守监理人的指示，或未能按合同进度计划及时完成合同约定的工作，已造成或预期造成工期延误，或违反合同不顾书面警告，监理人可发出通知，告知承包人违约。</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15.1.2 如果承包人在收到监理人通知后21天内，没有采取可行的措施纠正违约，发包人可向承包人发出解除合同通知。发包人因继续完成该工程的需要，有权扣留使用承包人在现场的材料、设备和临时设施。但发包人的这一行动不免除承包人应承担的违约责任，也不影响发包人根据合同约定享有的索赔权利。</w:t>
      </w:r>
    </w:p>
    <w:p>
      <w:pPr>
        <w:spacing w:line="400" w:lineRule="exact"/>
        <w:jc w:val="left"/>
        <w:rPr>
          <w:rFonts w:ascii="宋体" w:hAnsi="宋体" w:cs="宋体"/>
          <w:b/>
          <w:bCs/>
          <w:color w:val="auto"/>
          <w:sz w:val="32"/>
          <w:szCs w:val="32"/>
          <w:highlight w:val="none"/>
        </w:rPr>
      </w:pPr>
      <w:bookmarkStart w:id="989" w:name="_Toc246996324"/>
      <w:bookmarkStart w:id="990" w:name="_Toc247085839"/>
      <w:bookmarkStart w:id="991" w:name="_Toc14205"/>
      <w:bookmarkStart w:id="992" w:name="_Toc12363"/>
      <w:bookmarkStart w:id="993" w:name="_Toc246997067"/>
      <w:bookmarkStart w:id="994" w:name="_Toc23531"/>
      <w:r>
        <w:rPr>
          <w:rFonts w:hint="eastAsia" w:ascii="宋体" w:hAnsi="宋体" w:cs="宋体"/>
          <w:b/>
          <w:bCs/>
          <w:color w:val="auto"/>
          <w:sz w:val="32"/>
          <w:szCs w:val="32"/>
          <w:highlight w:val="none"/>
        </w:rPr>
        <w:t>15.2 发包人违约</w:t>
      </w:r>
      <w:bookmarkEnd w:id="989"/>
      <w:bookmarkEnd w:id="990"/>
      <w:bookmarkEnd w:id="991"/>
      <w:bookmarkEnd w:id="992"/>
      <w:bookmarkEnd w:id="993"/>
      <w:bookmarkEnd w:id="994"/>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15.2.1 如果发包人未能按合同付款，或违反合同不顾书面警告，承包人可发出通知，告知发包人违约。如果发包人在收到该通知后14天内未纠正违约，承包人可暂停工作或放慢工作进度。</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15.2.2 如果发包人收到承包人通知后28内未纠正违约，承包人可向发包人发出解除合同通知。合同解除后，承包人应妥善做好已竣工工程和已购材料、设备的保护和移交工作，按发包人要求将承包人设备和人员撤出施工场地，同时发包人应为承包人的撤出提供必要条件，但承包人的这一行动不免除发包人应承担的违约责任，也不影响承包人根据合同约定享有的索赔权利。</w:t>
      </w:r>
    </w:p>
    <w:p>
      <w:pPr>
        <w:pStyle w:val="4"/>
        <w:spacing w:before="0" w:after="0" w:line="400" w:lineRule="exact"/>
        <w:jc w:val="left"/>
        <w:rPr>
          <w:rFonts w:ascii="宋体" w:hAnsi="宋体" w:eastAsia="宋体" w:cs="宋体"/>
          <w:color w:val="auto"/>
          <w:highlight w:val="none"/>
        </w:rPr>
      </w:pPr>
      <w:bookmarkStart w:id="995" w:name="_Toc246996326"/>
      <w:bookmarkStart w:id="996" w:name="_Toc184635120"/>
      <w:bookmarkStart w:id="997" w:name="_Toc246997069"/>
      <w:bookmarkStart w:id="998" w:name="_Toc247085841"/>
      <w:bookmarkStart w:id="999" w:name="_Toc3957"/>
      <w:bookmarkStart w:id="1000" w:name="_Toc466470812"/>
      <w:bookmarkStart w:id="1001" w:name="_Toc9350"/>
      <w:bookmarkStart w:id="1002" w:name="_Toc466470942"/>
      <w:bookmarkStart w:id="1003" w:name="_Toc31759"/>
      <w:r>
        <w:rPr>
          <w:rFonts w:hint="eastAsia" w:ascii="宋体" w:hAnsi="宋体" w:eastAsia="宋体" w:cs="宋体"/>
          <w:color w:val="auto"/>
          <w:highlight w:val="none"/>
        </w:rPr>
        <w:t>16. 索赔</w:t>
      </w:r>
      <w:bookmarkEnd w:id="995"/>
      <w:bookmarkEnd w:id="996"/>
      <w:bookmarkEnd w:id="997"/>
      <w:bookmarkEnd w:id="998"/>
      <w:bookmarkEnd w:id="999"/>
      <w:bookmarkEnd w:id="1000"/>
      <w:bookmarkEnd w:id="1001"/>
      <w:bookmarkEnd w:id="1002"/>
      <w:bookmarkEnd w:id="1003"/>
    </w:p>
    <w:p>
      <w:pPr>
        <w:spacing w:line="400" w:lineRule="exact"/>
        <w:ind w:firstLine="422" w:firstLineChars="200"/>
        <w:jc w:val="left"/>
        <w:rPr>
          <w:rFonts w:ascii="宋体" w:hAnsi="宋体" w:cs="宋体"/>
          <w:b/>
          <w:bCs/>
          <w:color w:val="auto"/>
          <w:highlight w:val="none"/>
        </w:rPr>
      </w:pPr>
      <w:bookmarkStart w:id="1004" w:name="_Toc246996327"/>
      <w:bookmarkStart w:id="1005" w:name="_Toc32246"/>
      <w:bookmarkStart w:id="1006" w:name="_Toc246997070"/>
      <w:bookmarkStart w:id="1007" w:name="_Toc17283"/>
      <w:bookmarkStart w:id="1008" w:name="_Toc21842"/>
      <w:bookmarkStart w:id="1009" w:name="_Toc247085842"/>
      <w:r>
        <w:rPr>
          <w:rFonts w:hint="eastAsia" w:ascii="宋体" w:hAnsi="宋体" w:cs="宋体"/>
          <w:b/>
          <w:bCs/>
          <w:color w:val="auto"/>
          <w:highlight w:val="none"/>
        </w:rPr>
        <w:t>16.1 承包人索赔的提出</w:t>
      </w:r>
      <w:bookmarkEnd w:id="1004"/>
      <w:bookmarkEnd w:id="1005"/>
      <w:bookmarkEnd w:id="1006"/>
      <w:bookmarkEnd w:id="1007"/>
      <w:bookmarkEnd w:id="1008"/>
      <w:bookmarkEnd w:id="1009"/>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根据合同约定，承包人认为有权得到追加付款和（或）延长工期的，应按以下程序向发包人提出索赔：</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（l）承包人应在知道或应当知道索赔事件发生后14天内，向监理人递交索赔通知书。索赔通知书应详细说明索赔理由以及要求追加的付款金额和（或）延长的工期，并附必要的记录和证明材料； </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（2）索赔事件具有连续影响的，承包人应在索赔事件影响结束后的14天内，向监理人递交最终索赔通知书，说明最终要求索赔的追加付款金额和延长的工期，并附必要的记录和证明材料；</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（3）承包人未在前述14天内递交索赔通知书的，丧失要求追加付款和（或）延长工期的权利。</w:t>
      </w:r>
    </w:p>
    <w:p>
      <w:pPr>
        <w:spacing w:line="400" w:lineRule="exact"/>
        <w:ind w:firstLine="422" w:firstLineChars="200"/>
        <w:jc w:val="left"/>
        <w:rPr>
          <w:rFonts w:ascii="宋体" w:hAnsi="宋体" w:cs="宋体"/>
          <w:b/>
          <w:bCs/>
          <w:color w:val="auto"/>
          <w:highlight w:val="none"/>
        </w:rPr>
      </w:pPr>
      <w:bookmarkStart w:id="1010" w:name="_Toc13414"/>
      <w:bookmarkStart w:id="1011" w:name="_Toc246996328"/>
      <w:bookmarkStart w:id="1012" w:name="_Toc25986"/>
      <w:bookmarkStart w:id="1013" w:name="_Toc6137"/>
      <w:bookmarkStart w:id="1014" w:name="_Toc247085843"/>
      <w:bookmarkStart w:id="1015" w:name="_Toc246997071"/>
      <w:r>
        <w:rPr>
          <w:rFonts w:hint="eastAsia" w:ascii="宋体" w:hAnsi="宋体" w:cs="宋体"/>
          <w:b/>
          <w:bCs/>
          <w:color w:val="auto"/>
          <w:highlight w:val="none"/>
        </w:rPr>
        <w:t>16.2 承包人索赔处理程序</w:t>
      </w:r>
      <w:bookmarkEnd w:id="1010"/>
      <w:bookmarkEnd w:id="1011"/>
      <w:bookmarkEnd w:id="1012"/>
      <w:bookmarkEnd w:id="1013"/>
      <w:bookmarkEnd w:id="1014"/>
      <w:bookmarkEnd w:id="1015"/>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（1）监理人收到承包人提交的索赔通知书后，应按第3.5 款商定或确定追加的付款和（或）延长的工期，并在收到上述索赔通知书或有关索赔的进一步证明材料后的14天内，将索赔处理结果答复承包人。</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（2）承包人接受索赔处理结果的，发包人应在作出索赔处理结果答复后14天内完成赔付。承包人不接受索赔处理结果的，按第17条的约定执行。</w:t>
      </w:r>
    </w:p>
    <w:p>
      <w:pPr>
        <w:spacing w:line="400" w:lineRule="exact"/>
        <w:ind w:firstLine="422" w:firstLineChars="200"/>
        <w:jc w:val="left"/>
        <w:rPr>
          <w:rFonts w:ascii="宋体" w:hAnsi="宋体" w:cs="宋体"/>
          <w:b/>
          <w:bCs/>
          <w:color w:val="auto"/>
          <w:highlight w:val="none"/>
        </w:rPr>
      </w:pPr>
      <w:bookmarkStart w:id="1016" w:name="_Toc22164"/>
      <w:bookmarkStart w:id="1017" w:name="_Toc13556"/>
      <w:bookmarkStart w:id="1018" w:name="_Toc27239"/>
      <w:bookmarkStart w:id="1019" w:name="_Toc246997072"/>
      <w:bookmarkStart w:id="1020" w:name="_Toc246996329"/>
      <w:bookmarkStart w:id="1021" w:name="_Toc247085844"/>
      <w:r>
        <w:rPr>
          <w:rFonts w:hint="eastAsia" w:ascii="宋体" w:hAnsi="宋体" w:cs="宋体"/>
          <w:b/>
          <w:bCs/>
          <w:color w:val="auto"/>
          <w:highlight w:val="none"/>
        </w:rPr>
        <w:t>16.3 承包人提出索赔的期限</w:t>
      </w:r>
      <w:bookmarkEnd w:id="1016"/>
      <w:bookmarkEnd w:id="1017"/>
      <w:bookmarkEnd w:id="1018"/>
      <w:bookmarkEnd w:id="1019"/>
      <w:bookmarkEnd w:id="1020"/>
      <w:bookmarkEnd w:id="1021"/>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承包人按第10.5 款的约定接受了竣工付款证书后，应被认为已无权再提出在合同工程接收证书颁发前所发生的任何索赔。</w:t>
      </w:r>
    </w:p>
    <w:p>
      <w:pPr>
        <w:spacing w:line="400" w:lineRule="exact"/>
        <w:ind w:firstLine="422" w:firstLineChars="200"/>
        <w:jc w:val="left"/>
        <w:rPr>
          <w:rFonts w:ascii="宋体" w:hAnsi="宋体" w:cs="宋体"/>
          <w:b/>
          <w:bCs/>
          <w:color w:val="auto"/>
          <w:highlight w:val="none"/>
        </w:rPr>
      </w:pPr>
      <w:bookmarkStart w:id="1022" w:name="_Toc27407"/>
      <w:bookmarkStart w:id="1023" w:name="_Toc13563"/>
      <w:bookmarkStart w:id="1024" w:name="_Toc17238"/>
      <w:r>
        <w:rPr>
          <w:rFonts w:hint="eastAsia" w:ascii="宋体" w:hAnsi="宋体" w:cs="宋体"/>
          <w:b/>
          <w:bCs/>
          <w:color w:val="auto"/>
          <w:highlight w:val="none"/>
        </w:rPr>
        <w:t>16.4 发包人索赔的提出</w:t>
      </w:r>
      <w:bookmarkEnd w:id="1022"/>
      <w:bookmarkEnd w:id="1023"/>
      <w:bookmarkEnd w:id="1024"/>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根据合同约定，发包人认为有权得到追加付款和（或）延长工期的，应按以下程序向承包人提出索赔：</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（l）监理人应在知道或应当知道索赔事件发生后14天内，向承包人递交索赔通知书。索赔通知书应详细说明索赔理由以及要求追加的付款金额和（或）延长的工期，并附必要的记录和证明材料； </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（2）索赔事件具有连续影响的，监理人应在索赔事件影响结束后的14天内，向承包人递交最终索赔通知书，说明最终要求索赔的追加付款金额和延长的工期，并附必要的记录和证明材料。</w:t>
      </w:r>
    </w:p>
    <w:p>
      <w:pPr>
        <w:spacing w:line="400" w:lineRule="exact"/>
        <w:ind w:firstLine="422" w:firstLineChars="200"/>
        <w:jc w:val="left"/>
        <w:rPr>
          <w:rFonts w:ascii="宋体" w:hAnsi="宋体" w:cs="宋体"/>
          <w:b/>
          <w:bCs/>
          <w:color w:val="auto"/>
          <w:highlight w:val="none"/>
        </w:rPr>
      </w:pPr>
      <w:bookmarkStart w:id="1025" w:name="_Toc27577"/>
      <w:bookmarkStart w:id="1026" w:name="_Toc8338"/>
      <w:bookmarkStart w:id="1027" w:name="_Toc13628"/>
      <w:r>
        <w:rPr>
          <w:rFonts w:hint="eastAsia" w:ascii="宋体" w:hAnsi="宋体" w:cs="宋体"/>
          <w:b/>
          <w:bCs/>
          <w:color w:val="auto"/>
          <w:highlight w:val="none"/>
        </w:rPr>
        <w:t>16.5 发包人索赔处理程序</w:t>
      </w:r>
      <w:bookmarkEnd w:id="1025"/>
      <w:bookmarkEnd w:id="1026"/>
      <w:bookmarkEnd w:id="1027"/>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（1）承包人收到监理人提交的索赔通知书后，应按第3.5 款商定或确定追加的付款和（或）延长的工期，并在收到上述索赔通知书或有关索赔的进一步证明材料后的14天内，将索赔处理结果答复监理人。</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（2）监理人接受索赔处理结果的，承包人应在作出索赔处理结果答复后14天内完成赔付。监理人不接受索赔处理结果的，按第17条的约定执行。</w:t>
      </w:r>
    </w:p>
    <w:p>
      <w:pPr>
        <w:pStyle w:val="4"/>
        <w:spacing w:before="0" w:after="0" w:line="400" w:lineRule="exact"/>
        <w:jc w:val="left"/>
        <w:rPr>
          <w:rFonts w:ascii="宋体" w:hAnsi="宋体" w:eastAsia="宋体" w:cs="宋体"/>
          <w:color w:val="auto"/>
          <w:highlight w:val="none"/>
        </w:rPr>
      </w:pPr>
      <w:bookmarkStart w:id="1028" w:name="_Toc247085846"/>
      <w:bookmarkStart w:id="1029" w:name="_Toc466470943"/>
      <w:bookmarkStart w:id="1030" w:name="_Toc184635121"/>
      <w:bookmarkStart w:id="1031" w:name="_Toc246996331"/>
      <w:bookmarkStart w:id="1032" w:name="_Toc17332"/>
      <w:bookmarkStart w:id="1033" w:name="_Toc246997074"/>
      <w:bookmarkStart w:id="1034" w:name="_Toc2328"/>
      <w:bookmarkStart w:id="1035" w:name="_Toc11496"/>
      <w:bookmarkStart w:id="1036" w:name="_Toc466470813"/>
      <w:r>
        <w:rPr>
          <w:rFonts w:hint="eastAsia" w:ascii="宋体" w:hAnsi="宋体" w:eastAsia="宋体" w:cs="宋体"/>
          <w:color w:val="auto"/>
          <w:highlight w:val="none"/>
        </w:rPr>
        <w:t>17. 争议的解决</w:t>
      </w:r>
      <w:bookmarkEnd w:id="1028"/>
      <w:bookmarkEnd w:id="1029"/>
      <w:bookmarkEnd w:id="1030"/>
      <w:bookmarkEnd w:id="1031"/>
      <w:bookmarkEnd w:id="1032"/>
      <w:bookmarkEnd w:id="1033"/>
      <w:bookmarkEnd w:id="1034"/>
      <w:bookmarkEnd w:id="1035"/>
      <w:bookmarkEnd w:id="1036"/>
    </w:p>
    <w:p>
      <w:pPr>
        <w:spacing w:line="400" w:lineRule="exact"/>
        <w:ind w:firstLine="422" w:firstLineChars="200"/>
        <w:jc w:val="left"/>
        <w:rPr>
          <w:rFonts w:ascii="宋体" w:hAnsi="宋体" w:cs="宋体"/>
          <w:b/>
          <w:bCs/>
          <w:color w:val="auto"/>
          <w:highlight w:val="none"/>
        </w:rPr>
      </w:pPr>
      <w:bookmarkStart w:id="1037" w:name="_Toc7422"/>
      <w:bookmarkStart w:id="1038" w:name="_Toc247085847"/>
      <w:bookmarkStart w:id="1039" w:name="_Toc246997075"/>
      <w:bookmarkStart w:id="1040" w:name="_Toc20115"/>
      <w:bookmarkStart w:id="1041" w:name="_Toc246996332"/>
      <w:bookmarkStart w:id="1042" w:name="_Toc23432"/>
      <w:r>
        <w:rPr>
          <w:rFonts w:hint="eastAsia" w:ascii="宋体" w:hAnsi="宋体" w:cs="宋体"/>
          <w:b/>
          <w:bCs/>
          <w:color w:val="auto"/>
          <w:highlight w:val="none"/>
        </w:rPr>
        <w:t>17.1 争议的解决方式</w:t>
      </w:r>
      <w:bookmarkEnd w:id="1037"/>
      <w:bookmarkEnd w:id="1038"/>
      <w:bookmarkEnd w:id="1039"/>
      <w:bookmarkEnd w:id="1040"/>
      <w:bookmarkEnd w:id="1041"/>
      <w:bookmarkEnd w:id="1042"/>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（l）向约定的仲裁委员会申请仲裁；</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（2）向有管辖权的人民法院提起诉讼。</w:t>
      </w:r>
    </w:p>
    <w:p>
      <w:pPr>
        <w:spacing w:line="400" w:lineRule="exact"/>
        <w:ind w:firstLine="422" w:firstLineChars="200"/>
        <w:jc w:val="left"/>
        <w:rPr>
          <w:rFonts w:ascii="宋体" w:hAnsi="宋体" w:cs="宋体"/>
          <w:b/>
          <w:bCs/>
          <w:color w:val="auto"/>
          <w:highlight w:val="none"/>
        </w:rPr>
      </w:pPr>
      <w:bookmarkStart w:id="1043" w:name="_Toc15915"/>
      <w:bookmarkStart w:id="1044" w:name="_Toc246997076"/>
      <w:bookmarkStart w:id="1045" w:name="_Toc246996333"/>
      <w:bookmarkStart w:id="1046" w:name="_Toc24569"/>
      <w:bookmarkStart w:id="1047" w:name="_Toc247085848"/>
      <w:bookmarkStart w:id="1048" w:name="_Toc21905"/>
      <w:r>
        <w:rPr>
          <w:rFonts w:hint="eastAsia" w:ascii="宋体" w:hAnsi="宋体" w:cs="宋体"/>
          <w:b/>
          <w:bCs/>
          <w:color w:val="auto"/>
          <w:highlight w:val="none"/>
        </w:rPr>
        <w:t>17.2 友好解决</w:t>
      </w:r>
      <w:bookmarkEnd w:id="1043"/>
      <w:bookmarkEnd w:id="1044"/>
      <w:bookmarkEnd w:id="1045"/>
      <w:bookmarkEnd w:id="1046"/>
      <w:bookmarkEnd w:id="1047"/>
      <w:bookmarkEnd w:id="1048"/>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在提请争议评审、仲裁或者诉讼前，以及在争议评审、仲裁或诉讼过程中，发包人和承包人均可共同努力友好协商解决争议。</w:t>
      </w:r>
    </w:p>
    <w:p>
      <w:pPr>
        <w:spacing w:line="400" w:lineRule="exact"/>
        <w:ind w:firstLine="422" w:firstLineChars="200"/>
        <w:jc w:val="left"/>
        <w:rPr>
          <w:rFonts w:ascii="宋体" w:hAnsi="宋体" w:cs="宋体"/>
          <w:b/>
          <w:bCs/>
          <w:color w:val="auto"/>
          <w:highlight w:val="none"/>
        </w:rPr>
      </w:pPr>
      <w:bookmarkStart w:id="1049" w:name="_Toc247085849"/>
      <w:bookmarkStart w:id="1050" w:name="_Toc21423"/>
      <w:bookmarkStart w:id="1051" w:name="_Toc246997077"/>
      <w:bookmarkStart w:id="1052" w:name="_Toc246996334"/>
      <w:bookmarkStart w:id="1053" w:name="_Toc14267"/>
      <w:bookmarkStart w:id="1054" w:name="_Toc102"/>
      <w:r>
        <w:rPr>
          <w:rFonts w:hint="eastAsia" w:ascii="宋体" w:hAnsi="宋体" w:cs="宋体"/>
          <w:b/>
          <w:bCs/>
          <w:color w:val="auto"/>
          <w:highlight w:val="none"/>
        </w:rPr>
        <w:t>17.3 争议评审</w:t>
      </w:r>
      <w:bookmarkEnd w:id="1049"/>
      <w:bookmarkEnd w:id="1050"/>
      <w:bookmarkEnd w:id="1051"/>
      <w:bookmarkEnd w:id="1052"/>
      <w:bookmarkEnd w:id="1053"/>
      <w:bookmarkEnd w:id="1054"/>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17.3.1 采用争议评审的，发包人和承包人应当在专用合同条款中约定争议评审的程序和规则，并在开工日后的28天内或在争议发生后，协商成立争议评审组。</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17.3.2 发包人和承包人接受评审意见的，由监理人根据评审意见拟定执行协议，经争议双方签字后作为合同的补充文件，并遵照执行。</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17.3.3 发包人或承包人不接受评审意见，并要求提交仲裁或提起诉讼的，应在收到评审意见后的14 天内将仲裁或起诉意向书面通知另一方，并抄送监理人，但在仲裁或诉讼结束前应暂按总监理工程师的确定执行。</w:t>
      </w:r>
    </w:p>
    <w:p>
      <w:pPr>
        <w:pStyle w:val="4"/>
        <w:jc w:val="center"/>
        <w:rPr>
          <w:rFonts w:ascii="宋体" w:hAnsi="宋体" w:eastAsia="宋体" w:cs="宋体"/>
          <w:color w:val="auto"/>
          <w:highlight w:val="none"/>
        </w:rPr>
      </w:pPr>
      <w:bookmarkStart w:id="1055" w:name="_Toc246996335"/>
      <w:bookmarkStart w:id="1056" w:name="_Toc466470944"/>
      <w:bookmarkStart w:id="1057" w:name="_Toc247085850"/>
      <w:bookmarkStart w:id="1058" w:name="_Toc246997078"/>
      <w:bookmarkStart w:id="1059" w:name="_Toc466470814"/>
      <w:r>
        <w:rPr>
          <w:rFonts w:hint="eastAsia" w:ascii="宋体" w:hAnsi="宋体" w:eastAsia="宋体" w:cs="宋体"/>
          <w:color w:val="auto"/>
          <w:highlight w:val="none"/>
        </w:rPr>
        <w:t>第二节 专用合同条款</w:t>
      </w:r>
      <w:bookmarkEnd w:id="1055"/>
      <w:bookmarkEnd w:id="1056"/>
      <w:bookmarkEnd w:id="1057"/>
      <w:bookmarkEnd w:id="1058"/>
      <w:bookmarkEnd w:id="1059"/>
      <w:bookmarkStart w:id="1060" w:name="_Toc152045767"/>
      <w:bookmarkStart w:id="1061" w:name="_Toc152042546"/>
      <w:bookmarkStart w:id="1062" w:name="_Toc179632785"/>
      <w:bookmarkStart w:id="1063" w:name="_Toc144974826"/>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1.一般约定</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1.1词语定义</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1.1.2合同当事人和人员</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1.1.2.2发包人：</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      发包人驻工地代表：</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1.1.2.3承包人：</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      建造师：</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1.1.2.6监理人：</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      总监理工程师：</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1.1.3工程和设备</w:t>
      </w:r>
    </w:p>
    <w:p>
      <w:pPr>
        <w:spacing w:line="400" w:lineRule="exact"/>
        <w:ind w:firstLine="420" w:firstLineChars="200"/>
        <w:rPr>
          <w:rFonts w:ascii="宋体" w:hAnsi="宋体" w:cs="宋体"/>
          <w:color w:val="auto"/>
          <w:highlight w:val="none"/>
          <w:u w:val="single"/>
        </w:rPr>
      </w:pPr>
      <w:r>
        <w:rPr>
          <w:rFonts w:hint="eastAsia" w:ascii="宋体" w:hAnsi="宋体" w:cs="宋体"/>
          <w:color w:val="auto"/>
          <w:highlight w:val="none"/>
        </w:rPr>
        <w:t>1.1.3.2永久工程：</w:t>
      </w:r>
      <w:r>
        <w:rPr>
          <w:rFonts w:hint="eastAsia" w:ascii="宋体" w:hAnsi="宋体" w:cs="宋体"/>
          <w:color w:val="auto"/>
          <w:highlight w:val="none"/>
          <w:u w:val="single"/>
        </w:rPr>
        <w:t xml:space="preserve">（项目名称）           </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1.1.3.3临时工程：</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1.1.3.4单位工程：</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1.1.3.10永久占地：</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1.1.3.11临时占地：</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1.1.4日期</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1.1.4.2开工日期：计划开工日期  年 月 日</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1.1.4.4竣工日期：计划竣工日期  年 月 日</w:t>
      </w:r>
    </w:p>
    <w:p>
      <w:pPr>
        <w:spacing w:line="400" w:lineRule="exact"/>
        <w:ind w:firstLine="420" w:firstLineChars="200"/>
        <w:rPr>
          <w:rFonts w:ascii="宋体" w:hAnsi="宋体" w:cs="宋体"/>
          <w:color w:val="auto"/>
          <w:highlight w:val="none"/>
          <w:u w:val="single"/>
        </w:rPr>
      </w:pPr>
      <w:r>
        <w:rPr>
          <w:rFonts w:hint="eastAsia" w:ascii="宋体" w:hAnsi="宋体" w:cs="宋体"/>
          <w:color w:val="auto"/>
          <w:highlight w:val="none"/>
        </w:rPr>
        <w:t>1.1.4.5缺陷责任期：</w:t>
      </w:r>
      <w:r>
        <w:rPr>
          <w:rFonts w:hint="eastAsia" w:ascii="宋体" w:hAnsi="宋体" w:cs="宋体"/>
          <w:color w:val="auto"/>
          <w:highlight w:val="none"/>
          <w:u w:val="single"/>
        </w:rPr>
        <w:t xml:space="preserve">24个月  </w:t>
      </w:r>
      <w:r>
        <w:rPr>
          <w:rFonts w:hint="eastAsia" w:ascii="宋体" w:hAnsi="宋体" w:cs="宋体"/>
          <w:color w:val="auto"/>
          <w:highlight w:val="none"/>
        </w:rPr>
        <w:t xml:space="preserve">                  </w:t>
      </w:r>
      <w:r>
        <w:rPr>
          <w:rFonts w:hint="eastAsia" w:ascii="宋体" w:hAnsi="宋体" w:cs="宋体"/>
          <w:color w:val="auto"/>
          <w:highlight w:val="none"/>
          <w:u w:val="single"/>
        </w:rPr>
        <w:t xml:space="preserve">         </w:t>
      </w:r>
    </w:p>
    <w:p>
      <w:pPr>
        <w:spacing w:line="400" w:lineRule="exact"/>
        <w:ind w:firstLine="420" w:firstLineChars="200"/>
        <w:rPr>
          <w:rFonts w:ascii="宋体" w:hAnsi="宋体" w:cs="宋体"/>
          <w:color w:val="auto"/>
          <w:highlight w:val="none"/>
          <w:u w:val="single"/>
        </w:rPr>
      </w:pPr>
      <w:r>
        <w:rPr>
          <w:rFonts w:hint="eastAsia" w:ascii="宋体" w:hAnsi="宋体" w:cs="宋体"/>
          <w:color w:val="auto"/>
          <w:highlight w:val="none"/>
        </w:rPr>
        <w:t>1.4合同文件的优先顺序解释顺序为：</w:t>
      </w:r>
      <w:r>
        <w:rPr>
          <w:rFonts w:hint="eastAsia" w:ascii="宋体" w:hAnsi="宋体" w:cs="宋体"/>
          <w:color w:val="auto"/>
          <w:highlight w:val="none"/>
          <w:u w:val="single"/>
        </w:rPr>
        <w:t>①专用合同条款、②合同协议书、③中标通知书④投标文件、⑤招标文件及相关文件、⑥通用合同条款、⑦技术标准和要求、⑧图纸、⑨其它合同文件</w:t>
      </w:r>
    </w:p>
    <w:p>
      <w:pPr>
        <w:spacing w:line="400" w:lineRule="exact"/>
        <w:ind w:firstLine="420" w:firstLineChars="200"/>
        <w:rPr>
          <w:rFonts w:ascii="宋体" w:hAnsi="宋体" w:cs="宋体"/>
          <w:color w:val="auto"/>
          <w:highlight w:val="none"/>
          <w:u w:val="single"/>
        </w:rPr>
      </w:pPr>
      <w:r>
        <w:rPr>
          <w:rFonts w:hint="eastAsia" w:ascii="宋体" w:hAnsi="宋体" w:cs="宋体"/>
          <w:color w:val="auto"/>
          <w:highlight w:val="none"/>
        </w:rPr>
        <w:t>1.5合同生效的条件：</w:t>
      </w:r>
      <w:r>
        <w:rPr>
          <w:rFonts w:hint="eastAsia" w:ascii="宋体" w:hAnsi="宋体" w:cs="宋体"/>
          <w:color w:val="auto"/>
          <w:highlight w:val="none"/>
          <w:u w:val="single"/>
        </w:rPr>
        <w:t xml:space="preserve">经双方签字确认盖章后生效 </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1.6图纸和承包人文件</w:t>
      </w:r>
    </w:p>
    <w:p>
      <w:pPr>
        <w:spacing w:line="400" w:lineRule="exact"/>
        <w:ind w:firstLine="420" w:firstLineChars="200"/>
        <w:rPr>
          <w:rFonts w:ascii="宋体" w:hAnsi="宋体" w:cs="宋体"/>
          <w:color w:val="auto"/>
          <w:highlight w:val="none"/>
          <w:u w:val="single"/>
        </w:rPr>
      </w:pPr>
      <w:r>
        <w:rPr>
          <w:rFonts w:hint="eastAsia" w:ascii="宋体" w:hAnsi="宋体" w:cs="宋体"/>
          <w:color w:val="auto"/>
          <w:highlight w:val="none"/>
        </w:rPr>
        <w:t>1.6.1发包人提供图纸的期限、数量：</w:t>
      </w:r>
      <w:r>
        <w:rPr>
          <w:rFonts w:hint="eastAsia" w:ascii="宋体" w:hAnsi="宋体" w:cs="宋体"/>
          <w:color w:val="auto"/>
          <w:highlight w:val="none"/>
          <w:u w:val="single"/>
        </w:rPr>
        <w:t>开工前14天内提供图纸  套</w:t>
      </w:r>
    </w:p>
    <w:p>
      <w:pPr>
        <w:spacing w:line="400" w:lineRule="exact"/>
        <w:ind w:firstLine="420" w:firstLineChars="200"/>
        <w:rPr>
          <w:rFonts w:ascii="宋体" w:hAnsi="宋体" w:cs="宋体"/>
          <w:color w:val="auto"/>
          <w:highlight w:val="none"/>
          <w:u w:val="single"/>
        </w:rPr>
      </w:pPr>
      <w:r>
        <w:rPr>
          <w:rFonts w:hint="eastAsia" w:ascii="宋体" w:hAnsi="宋体" w:cs="宋体"/>
          <w:color w:val="auto"/>
          <w:highlight w:val="none"/>
        </w:rPr>
        <w:t>1.6.2承包人提供的文件范围：</w:t>
      </w:r>
      <w:r>
        <w:rPr>
          <w:rFonts w:hint="eastAsia" w:ascii="宋体" w:hAnsi="宋体" w:cs="宋体"/>
          <w:color w:val="auto"/>
          <w:highlight w:val="none"/>
          <w:u w:val="single"/>
        </w:rPr>
        <w:t>（根据具体工程情况填写）</w:t>
      </w:r>
    </w:p>
    <w:p>
      <w:pPr>
        <w:spacing w:line="400" w:lineRule="exact"/>
        <w:ind w:firstLine="420" w:firstLineChars="200"/>
        <w:rPr>
          <w:rFonts w:ascii="宋体" w:hAnsi="宋体" w:cs="宋体"/>
          <w:color w:val="auto"/>
          <w:highlight w:val="none"/>
          <w:u w:val="single"/>
        </w:rPr>
      </w:pPr>
      <w:r>
        <w:rPr>
          <w:rFonts w:hint="eastAsia" w:ascii="宋体" w:hAnsi="宋体" w:cs="宋体"/>
          <w:color w:val="auto"/>
          <w:highlight w:val="none"/>
        </w:rPr>
        <w:t xml:space="preserve">          承包人提供的文件期限、数量：</w:t>
      </w:r>
      <w:r>
        <w:rPr>
          <w:rFonts w:hint="eastAsia" w:ascii="宋体" w:hAnsi="宋体" w:cs="宋体"/>
          <w:color w:val="auto"/>
          <w:highlight w:val="none"/>
          <w:u w:val="single"/>
        </w:rPr>
        <w:t>（按双方协商约定填写）</w:t>
      </w:r>
    </w:p>
    <w:p>
      <w:pPr>
        <w:spacing w:line="400" w:lineRule="exact"/>
        <w:ind w:firstLine="420" w:firstLineChars="200"/>
        <w:rPr>
          <w:rFonts w:ascii="宋体" w:hAnsi="宋体" w:cs="宋体"/>
          <w:color w:val="auto"/>
          <w:highlight w:val="none"/>
          <w:u w:val="single"/>
        </w:rPr>
      </w:pPr>
      <w:r>
        <w:rPr>
          <w:rFonts w:hint="eastAsia" w:ascii="宋体" w:hAnsi="宋体" w:cs="宋体"/>
          <w:color w:val="auto"/>
          <w:highlight w:val="none"/>
        </w:rPr>
        <w:t xml:space="preserve">监理人批复承包人提供文件的期限：  </w:t>
      </w:r>
      <w:r>
        <w:rPr>
          <w:rFonts w:hint="eastAsia" w:ascii="宋体" w:hAnsi="宋体" w:cs="宋体"/>
          <w:color w:val="auto"/>
          <w:highlight w:val="none"/>
          <w:u w:val="single"/>
        </w:rPr>
        <w:t xml:space="preserve"> 收到承包人提供的文件后14天内  </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1.6.3监理人签发图纸修改的期限：不少于该项工作施工前14天</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1.7联络</w:t>
      </w:r>
    </w:p>
    <w:p>
      <w:pPr>
        <w:spacing w:line="400" w:lineRule="exact"/>
        <w:ind w:firstLine="420" w:firstLineChars="200"/>
        <w:rPr>
          <w:rFonts w:ascii="宋体" w:hAnsi="宋体" w:cs="宋体"/>
          <w:color w:val="auto"/>
          <w:highlight w:val="none"/>
          <w:u w:val="single"/>
        </w:rPr>
      </w:pPr>
      <w:r>
        <w:rPr>
          <w:rFonts w:hint="eastAsia" w:ascii="宋体" w:hAnsi="宋体" w:cs="宋体"/>
          <w:color w:val="auto"/>
          <w:highlight w:val="none"/>
        </w:rPr>
        <w:t>1.7.2联络送达的期限：两天内送达，送达地点：</w:t>
      </w:r>
      <w:r>
        <w:rPr>
          <w:rFonts w:hint="eastAsia" w:ascii="宋体" w:hAnsi="宋体" w:cs="宋体"/>
          <w:color w:val="auto"/>
          <w:highlight w:val="none"/>
          <w:u w:val="single"/>
        </w:rPr>
        <w:t xml:space="preserve">                   </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2.发包人义务</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2.3提供施工场地</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发包人提供施工场地和有关资料的时间：</w:t>
      </w:r>
      <w:r>
        <w:rPr>
          <w:rFonts w:hint="eastAsia" w:ascii="宋体" w:hAnsi="宋体" w:cs="宋体"/>
          <w:color w:val="auto"/>
          <w:highlight w:val="none"/>
          <w:u w:val="single"/>
        </w:rPr>
        <w:t>开工之日前14天（如工程地质报告、地下管线图等）</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3.监理人</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3.1监理人的职责和权力</w:t>
      </w:r>
    </w:p>
    <w:p>
      <w:pPr>
        <w:spacing w:line="400" w:lineRule="exact"/>
        <w:ind w:firstLine="420" w:firstLineChars="200"/>
        <w:rPr>
          <w:rFonts w:ascii="宋体" w:hAnsi="宋体" w:cs="宋体"/>
          <w:color w:val="auto"/>
          <w:highlight w:val="none"/>
          <w:u w:val="single"/>
        </w:rPr>
      </w:pPr>
      <w:r>
        <w:rPr>
          <w:rFonts w:hint="eastAsia" w:ascii="宋体" w:hAnsi="宋体" w:cs="宋体"/>
          <w:color w:val="auto"/>
          <w:highlight w:val="none"/>
        </w:rPr>
        <w:t>3.1.1须经发包人批准行使的权力：如：</w:t>
      </w:r>
      <w:r>
        <w:rPr>
          <w:rFonts w:hint="eastAsia" w:ascii="宋体" w:hAnsi="宋体" w:cs="宋体"/>
          <w:color w:val="auto"/>
          <w:highlight w:val="none"/>
          <w:u w:val="single"/>
        </w:rPr>
        <w:t>开工令、工程款支付、工程变更等</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4.承包人</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4.1承包人的一般义务</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4.1.8为他人提供方便</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承包人为他人提供方便的内容：</w:t>
      </w:r>
      <w:r>
        <w:rPr>
          <w:rFonts w:hint="eastAsia" w:ascii="宋体" w:hAnsi="宋体" w:cs="宋体"/>
          <w:color w:val="auto"/>
          <w:highlight w:val="none"/>
          <w:u w:val="single"/>
        </w:rPr>
        <w:t>施工用地、水、电、道路等</w:t>
      </w:r>
    </w:p>
    <w:p>
      <w:pPr>
        <w:spacing w:line="400" w:lineRule="exact"/>
        <w:ind w:firstLine="420" w:firstLineChars="200"/>
        <w:rPr>
          <w:rFonts w:ascii="宋体" w:hAnsi="宋体" w:cs="宋体"/>
          <w:color w:val="auto"/>
          <w:highlight w:val="none"/>
          <w:u w:val="single"/>
        </w:rPr>
      </w:pPr>
      <w:r>
        <w:rPr>
          <w:rFonts w:hint="eastAsia" w:ascii="宋体" w:hAnsi="宋体" w:cs="宋体"/>
          <w:color w:val="auto"/>
          <w:highlight w:val="none"/>
        </w:rPr>
        <w:t>承包人为他人提供方便可能发生费用的处理方法：</w:t>
      </w:r>
      <w:r>
        <w:rPr>
          <w:rFonts w:hint="eastAsia" w:ascii="宋体" w:hAnsi="宋体" w:cs="宋体"/>
          <w:color w:val="auto"/>
          <w:highlight w:val="none"/>
          <w:u w:val="single"/>
        </w:rPr>
        <w:t>费用由承包人或使用者支付</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4.5承包人项目经理</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4.5.1承包人的项目经理必须与承包人投标时所承诺的人员一致。在监理人颁发本工程工程接收证书前，项目经理不得同时兼任其它任何项目的项目经理。除非经过发包人书面许可，承包人不得更换项目经理。</w:t>
      </w:r>
    </w:p>
    <w:p>
      <w:pPr>
        <w:spacing w:line="400" w:lineRule="exact"/>
        <w:ind w:firstLine="420" w:firstLineChars="200"/>
        <w:rPr>
          <w:rFonts w:ascii="宋体" w:hAnsi="宋体" w:cs="宋体"/>
          <w:color w:val="auto"/>
          <w:highlight w:val="none"/>
          <w:u w:val="single"/>
        </w:rPr>
      </w:pPr>
      <w:r>
        <w:rPr>
          <w:rFonts w:hint="eastAsia" w:ascii="宋体" w:hAnsi="宋体" w:cs="宋体"/>
          <w:color w:val="auto"/>
          <w:highlight w:val="none"/>
        </w:rPr>
        <w:t>项目经理姓名：</w:t>
      </w:r>
      <w:r>
        <w:rPr>
          <w:rFonts w:hint="eastAsia" w:ascii="宋体" w:hAnsi="宋体" w:cs="宋体"/>
          <w:color w:val="auto"/>
          <w:highlight w:val="none"/>
          <w:u w:val="single"/>
        </w:rPr>
        <w:t xml:space="preserve">         </w:t>
      </w:r>
    </w:p>
    <w:p>
      <w:pPr>
        <w:spacing w:line="400" w:lineRule="exact"/>
        <w:ind w:firstLine="420" w:firstLineChars="200"/>
        <w:rPr>
          <w:rFonts w:ascii="宋体" w:hAnsi="宋体" w:cs="宋体"/>
          <w:color w:val="auto"/>
          <w:highlight w:val="none"/>
          <w:u w:val="single"/>
        </w:rPr>
      </w:pPr>
      <w:r>
        <w:rPr>
          <w:rFonts w:hint="eastAsia" w:ascii="宋体" w:hAnsi="宋体" w:cs="宋体"/>
          <w:color w:val="auto"/>
          <w:highlight w:val="none"/>
        </w:rPr>
        <w:t>职称：</w:t>
      </w:r>
      <w:r>
        <w:rPr>
          <w:rFonts w:hint="eastAsia" w:ascii="宋体" w:hAnsi="宋体" w:cs="宋体"/>
          <w:color w:val="auto"/>
          <w:highlight w:val="none"/>
          <w:u w:val="single"/>
        </w:rPr>
        <w:t xml:space="preserve">                 </w:t>
      </w:r>
    </w:p>
    <w:p>
      <w:pPr>
        <w:spacing w:line="400" w:lineRule="exact"/>
        <w:ind w:firstLine="420" w:firstLineChars="200"/>
        <w:rPr>
          <w:rFonts w:ascii="宋体" w:hAnsi="宋体" w:cs="宋体"/>
          <w:color w:val="auto"/>
          <w:highlight w:val="none"/>
          <w:u w:val="single"/>
        </w:rPr>
      </w:pPr>
      <w:r>
        <w:rPr>
          <w:rFonts w:hint="eastAsia" w:ascii="宋体" w:hAnsi="宋体" w:cs="宋体"/>
          <w:color w:val="auto"/>
          <w:highlight w:val="none"/>
        </w:rPr>
        <w:t>注册职业资格证书：</w:t>
      </w:r>
      <w:r>
        <w:rPr>
          <w:rFonts w:hint="eastAsia" w:ascii="宋体" w:hAnsi="宋体" w:cs="宋体"/>
          <w:color w:val="auto"/>
          <w:highlight w:val="none"/>
          <w:u w:val="single"/>
        </w:rPr>
        <w:t xml:space="preserve">         </w:t>
      </w:r>
    </w:p>
    <w:p>
      <w:pPr>
        <w:spacing w:line="400" w:lineRule="exact"/>
        <w:ind w:firstLine="420" w:firstLineChars="200"/>
        <w:rPr>
          <w:rFonts w:ascii="宋体" w:hAnsi="宋体" w:cs="宋体"/>
          <w:color w:val="auto"/>
          <w:highlight w:val="none"/>
          <w:u w:val="single"/>
        </w:rPr>
      </w:pPr>
      <w:r>
        <w:rPr>
          <w:rFonts w:hint="eastAsia" w:ascii="宋体" w:hAnsi="宋体" w:cs="宋体"/>
          <w:color w:val="auto"/>
          <w:highlight w:val="none"/>
        </w:rPr>
        <w:t>项目经理职权：</w:t>
      </w:r>
      <w:r>
        <w:rPr>
          <w:rFonts w:hint="eastAsia" w:ascii="宋体" w:hAnsi="宋体" w:cs="宋体"/>
          <w:color w:val="auto"/>
          <w:highlight w:val="none"/>
          <w:u w:val="single"/>
        </w:rPr>
        <w:t>按通用条款4.3执行</w:t>
      </w:r>
    </w:p>
    <w:p>
      <w:pPr>
        <w:spacing w:line="400" w:lineRule="exact"/>
        <w:ind w:firstLine="420" w:firstLineChars="200"/>
        <w:rPr>
          <w:rFonts w:ascii="宋体" w:hAnsi="宋体" w:cs="宋体"/>
          <w:color w:val="auto"/>
          <w:highlight w:val="none"/>
          <w:u w:val="single"/>
        </w:rPr>
      </w:pPr>
      <w:r>
        <w:rPr>
          <w:rFonts w:hint="eastAsia" w:ascii="宋体" w:hAnsi="宋体" w:cs="宋体"/>
          <w:color w:val="auto"/>
          <w:highlight w:val="none"/>
        </w:rPr>
        <w:t>项目经理到任期限：</w:t>
      </w:r>
      <w:r>
        <w:rPr>
          <w:rFonts w:hint="eastAsia" w:ascii="宋体" w:hAnsi="宋体" w:cs="宋体"/>
          <w:color w:val="auto"/>
          <w:highlight w:val="none"/>
          <w:u w:val="single"/>
        </w:rPr>
        <w:t>本工程竣工验收合格后</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4.11不利物质条件</w:t>
      </w:r>
    </w:p>
    <w:p>
      <w:pPr>
        <w:spacing w:line="400" w:lineRule="exact"/>
        <w:ind w:firstLine="420" w:firstLineChars="200"/>
        <w:rPr>
          <w:rFonts w:ascii="宋体" w:hAnsi="宋体" w:cs="宋体"/>
          <w:color w:val="auto"/>
          <w:highlight w:val="none"/>
          <w:u w:val="single"/>
        </w:rPr>
      </w:pPr>
      <w:r>
        <w:rPr>
          <w:rFonts w:hint="eastAsia" w:ascii="宋体" w:hAnsi="宋体" w:cs="宋体"/>
          <w:color w:val="auto"/>
          <w:highlight w:val="none"/>
        </w:rPr>
        <w:t>4.11.1不利物质条件的范围：</w:t>
      </w:r>
      <w:r>
        <w:rPr>
          <w:rFonts w:hint="eastAsia" w:ascii="宋体" w:hAnsi="宋体" w:cs="宋体"/>
          <w:color w:val="auto"/>
          <w:highlight w:val="none"/>
          <w:u w:val="single"/>
        </w:rPr>
        <w:t>（根据工程特点双方约定）</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5.材料和工程设备</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5.1承包人提供的材料和工程设备</w:t>
      </w:r>
    </w:p>
    <w:p>
      <w:pPr>
        <w:spacing w:line="400" w:lineRule="exact"/>
        <w:ind w:firstLine="420" w:firstLineChars="200"/>
        <w:rPr>
          <w:rFonts w:ascii="宋体" w:hAnsi="宋体" w:cs="宋体"/>
          <w:color w:val="auto"/>
          <w:highlight w:val="none"/>
          <w:u w:val="single"/>
        </w:rPr>
      </w:pPr>
      <w:r>
        <w:rPr>
          <w:rFonts w:hint="eastAsia" w:ascii="宋体" w:hAnsi="宋体" w:cs="宋体"/>
          <w:color w:val="auto"/>
          <w:highlight w:val="none"/>
        </w:rPr>
        <w:t>5.1.1承包人负责采购、运输和保管的材料、工程设备：</w:t>
      </w:r>
      <w:r>
        <w:rPr>
          <w:rFonts w:hint="eastAsia" w:ascii="宋体" w:hAnsi="宋体" w:cs="宋体"/>
          <w:color w:val="auto"/>
          <w:highlight w:val="none"/>
          <w:u w:val="single"/>
        </w:rPr>
        <w:t xml:space="preserve">                         </w:t>
      </w:r>
    </w:p>
    <w:p>
      <w:pPr>
        <w:spacing w:line="400" w:lineRule="exact"/>
        <w:ind w:firstLine="420" w:firstLineChars="200"/>
        <w:rPr>
          <w:rFonts w:ascii="宋体" w:hAnsi="宋体" w:cs="宋体"/>
          <w:color w:val="auto"/>
          <w:highlight w:val="none"/>
          <w:u w:val="single"/>
        </w:rPr>
      </w:pPr>
      <w:r>
        <w:rPr>
          <w:rFonts w:hint="eastAsia" w:ascii="宋体" w:hAnsi="宋体" w:cs="宋体"/>
          <w:color w:val="auto"/>
          <w:highlight w:val="none"/>
        </w:rPr>
        <w:t>5.1.2承包人报送监理人审批的时间：</w:t>
      </w:r>
      <w:r>
        <w:rPr>
          <w:rFonts w:hint="eastAsia" w:ascii="宋体" w:hAnsi="宋体" w:cs="宋体"/>
          <w:color w:val="auto"/>
          <w:highlight w:val="none"/>
          <w:u w:val="single"/>
        </w:rPr>
        <w:t>供货前  天内</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6.进度计划</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6.1合同进度计划</w:t>
      </w:r>
    </w:p>
    <w:p>
      <w:pPr>
        <w:spacing w:line="400" w:lineRule="exact"/>
        <w:ind w:firstLine="420" w:firstLineChars="200"/>
        <w:rPr>
          <w:rFonts w:ascii="宋体" w:hAnsi="宋体" w:cs="宋体"/>
          <w:color w:val="auto"/>
          <w:highlight w:val="none"/>
          <w:u w:val="single"/>
        </w:rPr>
      </w:pPr>
      <w:r>
        <w:rPr>
          <w:rFonts w:hint="eastAsia" w:ascii="宋体" w:hAnsi="宋体" w:cs="宋体"/>
          <w:color w:val="auto"/>
          <w:highlight w:val="none"/>
        </w:rPr>
        <w:t>承包人编制施工方案的内容：</w:t>
      </w:r>
      <w:r>
        <w:rPr>
          <w:rFonts w:hint="eastAsia" w:ascii="宋体" w:hAnsi="宋体" w:cs="宋体"/>
          <w:color w:val="auto"/>
          <w:highlight w:val="none"/>
          <w:u w:val="single"/>
        </w:rPr>
        <w:t>施工组织设计专项安全施工方案等</w:t>
      </w:r>
    </w:p>
    <w:p>
      <w:pPr>
        <w:spacing w:line="400" w:lineRule="exact"/>
        <w:ind w:firstLine="420" w:firstLineChars="200"/>
        <w:rPr>
          <w:rFonts w:ascii="宋体" w:hAnsi="宋体" w:cs="宋体"/>
          <w:color w:val="auto"/>
          <w:highlight w:val="none"/>
          <w:u w:val="single"/>
        </w:rPr>
      </w:pPr>
      <w:r>
        <w:rPr>
          <w:rFonts w:hint="eastAsia" w:ascii="宋体" w:hAnsi="宋体" w:cs="宋体"/>
          <w:color w:val="auto"/>
          <w:highlight w:val="none"/>
        </w:rPr>
        <w:t>承包人报送施工进度计划和施工方案的期限：</w:t>
      </w:r>
      <w:r>
        <w:rPr>
          <w:rFonts w:hint="eastAsia" w:ascii="宋体" w:hAnsi="宋体" w:cs="宋体"/>
          <w:color w:val="auto"/>
          <w:highlight w:val="none"/>
          <w:u w:val="single"/>
        </w:rPr>
        <w:t>报送施工进度计划为每月25日前；报送施工方案为开工前七天内</w:t>
      </w:r>
    </w:p>
    <w:p>
      <w:pPr>
        <w:spacing w:line="400" w:lineRule="exact"/>
        <w:ind w:firstLine="420" w:firstLineChars="200"/>
        <w:rPr>
          <w:rFonts w:ascii="宋体" w:hAnsi="宋体" w:cs="宋体"/>
          <w:color w:val="auto"/>
          <w:highlight w:val="none"/>
          <w:u w:val="single"/>
        </w:rPr>
      </w:pPr>
      <w:r>
        <w:rPr>
          <w:rFonts w:hint="eastAsia" w:ascii="宋体" w:hAnsi="宋体" w:cs="宋体"/>
          <w:color w:val="auto"/>
          <w:highlight w:val="none"/>
        </w:rPr>
        <w:t>监理人批复施工进度计划和施工方案的期限：</w:t>
      </w:r>
      <w:r>
        <w:rPr>
          <w:rFonts w:hint="eastAsia" w:ascii="宋体" w:hAnsi="宋体" w:cs="宋体"/>
          <w:color w:val="auto"/>
          <w:highlight w:val="none"/>
          <w:u w:val="single"/>
        </w:rPr>
        <w:t>收到方案后七天内</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7.变更的程序和原则</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变更的原则： 按通用条款执行。相关细节为：</w:t>
      </w:r>
      <w:r>
        <w:rPr>
          <w:rFonts w:hint="eastAsia" w:ascii="宋体" w:hAnsi="宋体" w:cs="宋体"/>
          <w:color w:val="auto"/>
          <w:highlight w:val="none"/>
          <w:u w:val="single"/>
        </w:rPr>
        <w:t>发包人写出书面报告报政府主管部门及政府相关领导批准；设计部门提出变更意见；审计部门审核；报财政部门备案后作相应变更。</w:t>
      </w:r>
      <w:r>
        <w:rPr>
          <w:rFonts w:hint="eastAsia" w:ascii="宋体" w:hAnsi="宋体" w:cs="宋体"/>
          <w:color w:val="auto"/>
          <w:highlight w:val="none"/>
        </w:rPr>
        <w:t xml:space="preserve">  </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8.本项目应接受温县审计部门的事前、事中、事后的审计监督工作。工程量变更部分以温县审计部门审计后的结果为准。</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9.物价波动引起的价格调整</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物价波动引起的价格调整方法：本合同不考虑物价涨跌因素。</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10. 本项目无预付款。</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11. 竣工验收程序：工程竣工后，承包人应按照通用条款的约定向发包人报送竣工书面的验收申请报告。发包人在收到申请后及时会同财政、审计等单位进行工程验收，并于收到申请后30日内完成验收工作。发包人在完成竣工验收后10个工作日内向审计部门报送竣工决算相关资料。</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12.工程款支付方法：</w:t>
      </w:r>
    </w:p>
    <w:p>
      <w:pPr>
        <w:spacing w:line="400" w:lineRule="exact"/>
        <w:ind w:firstLine="420" w:firstLineChars="200"/>
        <w:rPr>
          <w:rFonts w:hint="eastAsia" w:ascii="宋体" w:hAnsi="宋体" w:cs="宋体"/>
          <w:color w:val="auto"/>
          <w:highlight w:val="none"/>
          <w:u w:val="single" w:color="auto"/>
        </w:rPr>
      </w:pPr>
      <w:r>
        <w:rPr>
          <w:rFonts w:hint="eastAsia" w:ascii="宋体" w:hAnsi="宋体" w:cs="宋体"/>
          <w:color w:val="auto"/>
          <w:highlight w:val="none"/>
          <w:u w:val="single"/>
        </w:rPr>
        <w:t>付款办法：</w:t>
      </w:r>
      <w:r>
        <w:rPr>
          <w:rFonts w:hint="eastAsia" w:ascii="宋体" w:hAnsi="宋体" w:cs="宋体"/>
          <w:color w:val="auto"/>
          <w:highlight w:val="none"/>
          <w:u w:val="single" w:color="auto"/>
        </w:rPr>
        <w:t>按月进度支付</w:t>
      </w:r>
      <w:r>
        <w:rPr>
          <w:rFonts w:hint="eastAsia" w:ascii="宋体" w:hAnsi="宋体" w:cs="宋体"/>
          <w:color w:val="auto"/>
          <w:highlight w:val="none"/>
          <w:u w:val="single" w:color="auto"/>
          <w:lang w:eastAsia="zh-CN"/>
        </w:rPr>
        <w:t>合格</w:t>
      </w:r>
      <w:r>
        <w:rPr>
          <w:rFonts w:hint="eastAsia" w:ascii="宋体" w:hAnsi="宋体" w:cs="宋体"/>
          <w:color w:val="auto"/>
          <w:highlight w:val="none"/>
          <w:u w:val="single" w:color="auto"/>
        </w:rPr>
        <w:t>工程量</w:t>
      </w:r>
      <w:r>
        <w:rPr>
          <w:rFonts w:hint="eastAsia" w:ascii="宋体" w:hAnsi="宋体" w:cs="宋体"/>
          <w:color w:val="auto"/>
          <w:highlight w:val="none"/>
          <w:u w:val="single" w:color="auto"/>
          <w:lang w:eastAsia="zh-CN"/>
        </w:rPr>
        <w:t>价</w:t>
      </w:r>
      <w:r>
        <w:rPr>
          <w:rFonts w:hint="eastAsia" w:ascii="宋体" w:hAnsi="宋体" w:cs="宋体"/>
          <w:color w:val="auto"/>
          <w:highlight w:val="none"/>
          <w:u w:val="single" w:color="auto"/>
        </w:rPr>
        <w:t>款</w:t>
      </w:r>
      <w:r>
        <w:rPr>
          <w:rFonts w:hint="eastAsia" w:ascii="宋体" w:hAnsi="宋体" w:cs="宋体"/>
          <w:color w:val="auto"/>
          <w:highlight w:val="none"/>
          <w:u w:val="single" w:color="auto"/>
          <w:lang w:eastAsia="zh-CN"/>
        </w:rPr>
        <w:t>的</w:t>
      </w:r>
      <w:r>
        <w:rPr>
          <w:rFonts w:hint="eastAsia" w:ascii="宋体" w:hAnsi="宋体" w:cs="宋体"/>
          <w:color w:val="auto"/>
          <w:highlight w:val="none"/>
          <w:u w:val="single" w:color="auto"/>
          <w:lang w:val="en-US" w:eastAsia="zh-CN"/>
        </w:rPr>
        <w:t>80%</w:t>
      </w:r>
      <w:r>
        <w:rPr>
          <w:rFonts w:hint="eastAsia" w:ascii="宋体" w:hAnsi="宋体" w:cs="宋体"/>
          <w:color w:val="auto"/>
          <w:highlight w:val="none"/>
          <w:u w:val="single" w:color="auto"/>
        </w:rPr>
        <w:t>；竣工验收合格后支付至合同总价款的80%；审计决算后支付至审计金额的97%；剩余3%为质保金，一年后无质量问题一次付清（无息）。</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13质量保证金</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13.1质量保证金的金额或比例： 合同总价款的3%  </w:t>
      </w:r>
    </w:p>
    <w:p>
      <w:pPr>
        <w:spacing w:line="400" w:lineRule="exact"/>
        <w:ind w:firstLine="420" w:firstLineChars="200"/>
        <w:rPr>
          <w:rFonts w:ascii="宋体" w:hAnsi="宋体" w:cs="宋体"/>
          <w:color w:val="auto"/>
          <w:highlight w:val="none"/>
          <w:u w:val="single"/>
        </w:rPr>
      </w:pPr>
      <w:r>
        <w:rPr>
          <w:rFonts w:hint="eastAsia" w:ascii="宋体" w:hAnsi="宋体" w:cs="宋体"/>
          <w:color w:val="auto"/>
          <w:highlight w:val="none"/>
        </w:rPr>
        <w:t xml:space="preserve">质量保证金的扣留方法：  工程完工验收合格后支付工程款时一次性扣除。           </w:t>
      </w:r>
      <w:r>
        <w:rPr>
          <w:rFonts w:hint="eastAsia" w:ascii="宋体" w:hAnsi="宋体" w:cs="宋体"/>
          <w:color w:val="auto"/>
          <w:highlight w:val="none"/>
          <w:u w:val="single"/>
        </w:rPr>
        <w:t xml:space="preserve">      </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14计量：承包人对已完成的工程量向监理人员提供已完成工程量报表和有关计量资料，向发包人提供付款申请单，并提交工程所在地审计部门审核后报请财政部门。</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15违约责任   </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15.1逾期交付的违约责任</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因承包人原因，致使本合同项目未能按期竣工的，承包人应从本合同约定的竣工之日起、按本项目工程造价的千分之一对发包人承担逾期交付的违约金，但合计的逾期交付违约金总额不超过本项目工程造价总额的百分之三十。</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因发包人原因，如征地搬迁等原因致使工期延误的，工期相应顺延。</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因不可抗力原因，致使工期延误的，工期相应顺延；但在不可抗力因素发生之前，由于承包人单方违约已经造成工程延误的，即使因不可抗力所产生的建设工程实质性损坏等风险责任，仍应由承包人承担，承包人不得因此主张免责。</w:t>
      </w:r>
    </w:p>
    <w:p>
      <w:pPr>
        <w:spacing w:line="340" w:lineRule="exact"/>
        <w:ind w:firstLine="420" w:firstLineChars="200"/>
        <w:rPr>
          <w:rFonts w:ascii="宋体" w:hAnsi="宋体" w:cs="宋体"/>
          <w:color w:val="auto"/>
          <w:highlight w:val="none"/>
        </w:rPr>
      </w:pPr>
      <w:r>
        <w:rPr>
          <w:rFonts w:hint="eastAsia" w:ascii="宋体" w:hAnsi="宋体" w:cs="宋体"/>
          <w:color w:val="auto"/>
          <w:highlight w:val="none"/>
        </w:rPr>
        <w:t>15.2逾期超过60日仍未竣工的，或者本项目实施期间，因承包人单方面原因擅自停工超过15日的，则发包人有权解除合同，对承包人已完工的工程量经温县审计部门审核确认后，发包人有权将该项目转包他人实施。因此给发包人造成损失，优先从履约担保金中扣除，履约担保金不足支付损失的，则承包人应按实际损失对发包人承担赔偿责任；承包人另应按实际损失的百分之二十对发包人承担违约金。</w:t>
      </w:r>
    </w:p>
    <w:p>
      <w:pPr>
        <w:spacing w:line="340" w:lineRule="exact"/>
        <w:ind w:firstLine="420" w:firstLineChars="200"/>
        <w:rPr>
          <w:rFonts w:ascii="宋体" w:hAnsi="宋体" w:cs="宋体"/>
          <w:color w:val="auto"/>
          <w:highlight w:val="none"/>
        </w:rPr>
      </w:pPr>
      <w:r>
        <w:rPr>
          <w:rFonts w:hint="eastAsia" w:ascii="宋体" w:hAnsi="宋体" w:cs="宋体"/>
          <w:color w:val="auto"/>
          <w:highlight w:val="none"/>
        </w:rPr>
        <w:t>15.3其它违约情形的违约赔偿金</w:t>
      </w:r>
    </w:p>
    <w:p>
      <w:pPr>
        <w:spacing w:line="400" w:lineRule="exact"/>
        <w:ind w:firstLine="210" w:firstLineChars="100"/>
        <w:rPr>
          <w:rFonts w:ascii="宋体" w:hAnsi="宋体" w:cs="宋体"/>
          <w:color w:val="auto"/>
          <w:highlight w:val="none"/>
        </w:rPr>
      </w:pPr>
      <w:r>
        <w:rPr>
          <w:rFonts w:hint="eastAsia" w:ascii="宋体" w:hAnsi="宋体" w:cs="宋体"/>
          <w:color w:val="auto"/>
          <w:highlight w:val="none"/>
        </w:rPr>
        <w:t>如果一方（非违约方）声明其它方（违约方）违约并提供违约事实的证明 ，并且该违约导致本合同不能履行或不能完全履行，则非违约方有权要求违约方承担违约责任，违约方应在收到上述声明及证明之日起 30 日内就违约造成的损失予以赔偿，如果非违约方因违约方违约导致本合同不能履行而终止本合同时在不免除任何一方的其它支付义务前提下，违约方另应向非违约方支付违约部分损失的百分之二十作为违约赔偿金。</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项目经理、技术负责人、五大员必须按投标文件中承诺的人员到位，不得更换；项目经理、技术负责人、五大员每周工作不少于5天，如有违反处以每人次2000—5000元的罚款，罚款超过20人次，视为中标人自愿解除合同并退场；因中标人原因，工程按施工进度计划延期超过15天的，视为中标人自愿解除合同并退场；工程未按合同签订工期完成的，每超一天处5000元的罚款。</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因中标人原因停工累计超过30天、或将承包的全部工程转包给他人、或肢解以后以分包的名义转包他人、或在施工过程中发生严重安全及质量问题的，视为中标人自愿解除合同并退场，并承担相应的法律责任。</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16 项目款支付的特别限制约定</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在本项目实施期间，承包人应及时支付工人工资；否则，在本项目付款期间，发包人有权从应付承包人的项目款中扣减支付相应款项或者暂停支付相应款项，确保避免因本项目产生债务纠纷。</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17 发包人和承包人必须按照招标文件和中标人的投标文件订立合同，不得签订背离招标文件实质性内容的协议，否则，所签订合同无效。</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18争议的解决办法</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（1）双方协商或请主管行政部门调解； </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（2）由温县人民法院管辖。争议标的超出温县人民法院管辖权限的，则由焦作市中级人民法院管辖。争议标的超出焦作市中级人民法院管辖权限的，则由河南省高级人民法院管辖。</w:t>
      </w:r>
    </w:p>
    <w:p>
      <w:pPr>
        <w:spacing w:line="400" w:lineRule="exact"/>
        <w:ind w:firstLine="420" w:firstLineChars="200"/>
        <w:rPr>
          <w:rFonts w:ascii="宋体" w:hAnsi="宋体" w:cs="宋体"/>
          <w:color w:val="auto"/>
          <w:highlight w:val="none"/>
        </w:rPr>
      </w:pPr>
    </w:p>
    <w:p>
      <w:pPr>
        <w:spacing w:line="400" w:lineRule="exact"/>
        <w:ind w:firstLine="420" w:firstLineChars="200"/>
        <w:rPr>
          <w:rFonts w:ascii="宋体" w:hAnsi="宋体" w:cs="宋体"/>
          <w:color w:val="auto"/>
          <w:highlight w:val="none"/>
        </w:rPr>
      </w:pPr>
    </w:p>
    <w:p>
      <w:pPr>
        <w:spacing w:line="400" w:lineRule="exact"/>
        <w:ind w:firstLine="420" w:firstLineChars="200"/>
        <w:rPr>
          <w:rFonts w:ascii="宋体" w:hAnsi="宋体" w:cs="宋体"/>
          <w:color w:val="auto"/>
          <w:highlight w:val="none"/>
        </w:rPr>
      </w:pPr>
    </w:p>
    <w:p>
      <w:pPr>
        <w:spacing w:line="400" w:lineRule="exact"/>
        <w:ind w:firstLine="420" w:firstLineChars="200"/>
        <w:rPr>
          <w:rFonts w:ascii="宋体" w:hAnsi="宋体" w:cs="宋体"/>
          <w:color w:val="auto"/>
          <w:highlight w:val="none"/>
        </w:rPr>
      </w:pPr>
    </w:p>
    <w:p>
      <w:pPr>
        <w:spacing w:line="400" w:lineRule="exact"/>
        <w:ind w:firstLine="420" w:firstLineChars="200"/>
        <w:rPr>
          <w:rFonts w:ascii="宋体" w:hAnsi="宋体" w:cs="宋体"/>
          <w:color w:val="auto"/>
          <w:highlight w:val="none"/>
        </w:rPr>
      </w:pPr>
    </w:p>
    <w:p>
      <w:pPr>
        <w:spacing w:line="400" w:lineRule="exact"/>
        <w:ind w:firstLine="420" w:firstLineChars="200"/>
        <w:rPr>
          <w:rFonts w:ascii="宋体" w:hAnsi="宋体" w:cs="宋体"/>
          <w:color w:val="auto"/>
          <w:highlight w:val="none"/>
        </w:rPr>
      </w:pPr>
    </w:p>
    <w:p>
      <w:pPr>
        <w:spacing w:line="400" w:lineRule="exact"/>
        <w:ind w:firstLine="420" w:firstLineChars="200"/>
        <w:rPr>
          <w:rFonts w:ascii="宋体" w:hAnsi="宋体" w:cs="宋体"/>
          <w:color w:val="auto"/>
          <w:highlight w:val="none"/>
        </w:rPr>
      </w:pPr>
    </w:p>
    <w:p>
      <w:pPr>
        <w:spacing w:line="400" w:lineRule="exact"/>
        <w:ind w:firstLine="420" w:firstLineChars="200"/>
        <w:rPr>
          <w:rFonts w:ascii="宋体" w:hAnsi="宋体" w:cs="宋体"/>
          <w:color w:val="auto"/>
          <w:highlight w:val="none"/>
        </w:rPr>
      </w:pPr>
    </w:p>
    <w:p>
      <w:pPr>
        <w:spacing w:line="400" w:lineRule="exact"/>
        <w:ind w:firstLine="420" w:firstLineChars="200"/>
        <w:rPr>
          <w:rFonts w:ascii="宋体" w:hAnsi="宋体" w:cs="宋体"/>
          <w:color w:val="auto"/>
          <w:highlight w:val="none"/>
        </w:rPr>
      </w:pPr>
    </w:p>
    <w:p>
      <w:pPr>
        <w:spacing w:line="400" w:lineRule="exact"/>
        <w:ind w:firstLine="420" w:firstLineChars="200"/>
        <w:rPr>
          <w:rFonts w:ascii="宋体" w:hAnsi="宋体" w:cs="宋体"/>
          <w:color w:val="auto"/>
          <w:highlight w:val="none"/>
        </w:rPr>
      </w:pPr>
    </w:p>
    <w:p>
      <w:pPr>
        <w:spacing w:line="400" w:lineRule="exact"/>
        <w:rPr>
          <w:rFonts w:ascii="宋体" w:hAnsi="宋体" w:cs="宋体"/>
          <w:color w:val="auto"/>
          <w:highlight w:val="none"/>
        </w:rPr>
      </w:pPr>
    </w:p>
    <w:p>
      <w:pPr>
        <w:pStyle w:val="4"/>
        <w:jc w:val="center"/>
        <w:rPr>
          <w:rFonts w:ascii="宋体" w:hAnsi="宋体" w:eastAsia="宋体" w:cs="宋体"/>
          <w:color w:val="auto"/>
          <w:highlight w:val="none"/>
        </w:rPr>
      </w:pPr>
      <w:bookmarkStart w:id="1064" w:name="_Toc466470815"/>
      <w:bookmarkStart w:id="1065" w:name="_Toc246997079"/>
      <w:bookmarkStart w:id="1066" w:name="_Toc466470945"/>
      <w:bookmarkStart w:id="1067" w:name="_Toc246996336"/>
      <w:bookmarkStart w:id="1068" w:name="_Toc247085851"/>
      <w:r>
        <w:rPr>
          <w:rFonts w:hint="eastAsia" w:ascii="宋体" w:hAnsi="宋体" w:eastAsia="宋体" w:cs="宋体"/>
          <w:color w:val="auto"/>
          <w:highlight w:val="none"/>
        </w:rPr>
        <w:t>第三节 合同附件格式</w:t>
      </w:r>
      <w:bookmarkEnd w:id="1060"/>
      <w:bookmarkEnd w:id="1061"/>
      <w:bookmarkEnd w:id="1062"/>
      <w:bookmarkEnd w:id="1063"/>
      <w:bookmarkEnd w:id="1064"/>
      <w:bookmarkEnd w:id="1065"/>
      <w:bookmarkEnd w:id="1066"/>
      <w:bookmarkEnd w:id="1067"/>
      <w:bookmarkEnd w:id="1068"/>
    </w:p>
    <w:p>
      <w:pPr>
        <w:rPr>
          <w:rFonts w:ascii="宋体" w:hAnsi="宋体" w:cs="宋体"/>
          <w:b/>
          <w:color w:val="auto"/>
          <w:sz w:val="32"/>
          <w:szCs w:val="32"/>
          <w:highlight w:val="none"/>
        </w:rPr>
      </w:pPr>
      <w:bookmarkStart w:id="1069" w:name="_Toc246996337"/>
      <w:bookmarkStart w:id="1070" w:name="_Toc247085852"/>
      <w:bookmarkStart w:id="1071" w:name="_Toc152045768"/>
      <w:bookmarkStart w:id="1072" w:name="_Toc179632786"/>
      <w:bookmarkStart w:id="1073" w:name="_Toc152042547"/>
      <w:bookmarkStart w:id="1074" w:name="_Toc144974827"/>
      <w:bookmarkStart w:id="1075" w:name="_Toc246997080"/>
      <w:r>
        <w:rPr>
          <w:rFonts w:hint="eastAsia" w:ascii="宋体" w:hAnsi="宋体" w:cs="宋体"/>
          <w:b/>
          <w:color w:val="auto"/>
          <w:sz w:val="32"/>
          <w:szCs w:val="32"/>
          <w:highlight w:val="none"/>
        </w:rPr>
        <w:t>附件一：合同协议书</w:t>
      </w:r>
      <w:bookmarkEnd w:id="1069"/>
      <w:bookmarkEnd w:id="1070"/>
      <w:bookmarkEnd w:id="1071"/>
      <w:bookmarkEnd w:id="1072"/>
      <w:bookmarkEnd w:id="1073"/>
      <w:bookmarkEnd w:id="1074"/>
      <w:bookmarkEnd w:id="1075"/>
    </w:p>
    <w:p>
      <w:pPr>
        <w:spacing w:line="44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合同协议书</w:t>
      </w:r>
    </w:p>
    <w:p>
      <w:pPr>
        <w:spacing w:line="440" w:lineRule="exact"/>
        <w:ind w:firstLine="462" w:firstLineChars="220"/>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（发包人名称，以下简称“发包人”）为实施</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（项目名称），已接受</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（承包人名称，以下简称“承包人”）对该项目的投标。发包人和承包人共同达成如下协议。</w:t>
      </w:r>
    </w:p>
    <w:p>
      <w:pPr>
        <w:spacing w:line="440" w:lineRule="exact"/>
        <w:ind w:firstLine="359" w:firstLineChars="171"/>
        <w:rPr>
          <w:rFonts w:ascii="宋体" w:hAnsi="宋体" w:cs="宋体"/>
          <w:color w:val="auto"/>
          <w:szCs w:val="21"/>
          <w:highlight w:val="none"/>
        </w:rPr>
      </w:pPr>
      <w:bookmarkStart w:id="1076" w:name="_Toc152042548"/>
      <w:bookmarkStart w:id="1077" w:name="_Toc144974828"/>
      <w:r>
        <w:rPr>
          <w:rFonts w:hint="eastAsia" w:ascii="宋体" w:hAnsi="宋体" w:cs="宋体"/>
          <w:color w:val="auto"/>
          <w:szCs w:val="21"/>
          <w:highlight w:val="none"/>
        </w:rPr>
        <w:t>1. 本协议书与下列文件一起构成合同文件：</w:t>
      </w:r>
      <w:bookmarkEnd w:id="1076"/>
      <w:bookmarkEnd w:id="1077"/>
    </w:p>
    <w:p>
      <w:pPr>
        <w:spacing w:line="440" w:lineRule="exact"/>
        <w:ind w:firstLine="718" w:firstLineChars="342"/>
        <w:rPr>
          <w:rFonts w:ascii="宋体" w:hAnsi="宋体" w:cs="宋体"/>
          <w:color w:val="auto"/>
          <w:szCs w:val="21"/>
          <w:highlight w:val="none"/>
        </w:rPr>
      </w:pPr>
      <w:r>
        <w:rPr>
          <w:rFonts w:hint="eastAsia" w:ascii="宋体" w:hAnsi="宋体" w:cs="宋体"/>
          <w:color w:val="auto"/>
          <w:szCs w:val="21"/>
          <w:highlight w:val="none"/>
        </w:rPr>
        <w:t>（1）中标通知书；</w:t>
      </w:r>
    </w:p>
    <w:p>
      <w:pPr>
        <w:spacing w:line="440" w:lineRule="exact"/>
        <w:ind w:firstLine="718" w:firstLineChars="342"/>
        <w:rPr>
          <w:rFonts w:ascii="宋体" w:hAnsi="宋体" w:cs="宋体"/>
          <w:color w:val="auto"/>
          <w:szCs w:val="21"/>
          <w:highlight w:val="none"/>
        </w:rPr>
      </w:pPr>
      <w:r>
        <w:rPr>
          <w:rFonts w:hint="eastAsia" w:ascii="宋体" w:hAnsi="宋体" w:cs="宋体"/>
          <w:color w:val="auto"/>
          <w:szCs w:val="21"/>
          <w:highlight w:val="none"/>
        </w:rPr>
        <w:t>（2）投标函及投标函附录；</w:t>
      </w:r>
    </w:p>
    <w:p>
      <w:pPr>
        <w:spacing w:line="440" w:lineRule="exact"/>
        <w:ind w:firstLine="718" w:firstLineChars="342"/>
        <w:rPr>
          <w:rFonts w:ascii="宋体" w:hAnsi="宋体" w:cs="宋体"/>
          <w:color w:val="auto"/>
          <w:szCs w:val="21"/>
          <w:highlight w:val="none"/>
        </w:rPr>
      </w:pPr>
      <w:r>
        <w:rPr>
          <w:rFonts w:hint="eastAsia" w:ascii="宋体" w:hAnsi="宋体" w:cs="宋体"/>
          <w:color w:val="auto"/>
          <w:szCs w:val="21"/>
          <w:highlight w:val="none"/>
        </w:rPr>
        <w:t>（3）专用合同条款；</w:t>
      </w:r>
    </w:p>
    <w:p>
      <w:pPr>
        <w:spacing w:line="440" w:lineRule="exact"/>
        <w:ind w:firstLine="718" w:firstLineChars="342"/>
        <w:rPr>
          <w:rFonts w:ascii="宋体" w:hAnsi="宋体" w:cs="宋体"/>
          <w:color w:val="auto"/>
          <w:szCs w:val="21"/>
          <w:highlight w:val="none"/>
        </w:rPr>
      </w:pPr>
      <w:r>
        <w:rPr>
          <w:rFonts w:hint="eastAsia" w:ascii="宋体" w:hAnsi="宋体" w:cs="宋体"/>
          <w:color w:val="auto"/>
          <w:szCs w:val="21"/>
          <w:highlight w:val="none"/>
        </w:rPr>
        <w:t>（4）通用合同条款；</w:t>
      </w:r>
    </w:p>
    <w:p>
      <w:pPr>
        <w:spacing w:line="440" w:lineRule="exact"/>
        <w:ind w:firstLine="718" w:firstLineChars="342"/>
        <w:rPr>
          <w:rFonts w:ascii="宋体" w:hAnsi="宋体" w:cs="宋体"/>
          <w:color w:val="auto"/>
          <w:szCs w:val="21"/>
          <w:highlight w:val="none"/>
        </w:rPr>
      </w:pPr>
      <w:r>
        <w:rPr>
          <w:rFonts w:hint="eastAsia" w:ascii="宋体" w:hAnsi="宋体" w:cs="宋体"/>
          <w:color w:val="auto"/>
          <w:szCs w:val="21"/>
          <w:highlight w:val="none"/>
        </w:rPr>
        <w:t>（5）技术标准和要求；</w:t>
      </w:r>
    </w:p>
    <w:p>
      <w:pPr>
        <w:spacing w:line="440" w:lineRule="exact"/>
        <w:ind w:firstLine="718" w:firstLineChars="342"/>
        <w:rPr>
          <w:rFonts w:ascii="宋体" w:hAnsi="宋体" w:cs="宋体"/>
          <w:color w:val="auto"/>
          <w:szCs w:val="21"/>
          <w:highlight w:val="none"/>
        </w:rPr>
      </w:pPr>
      <w:r>
        <w:rPr>
          <w:rFonts w:hint="eastAsia" w:ascii="宋体" w:hAnsi="宋体" w:cs="宋体"/>
          <w:color w:val="auto"/>
          <w:szCs w:val="21"/>
          <w:highlight w:val="none"/>
        </w:rPr>
        <w:t>（6）图纸；</w:t>
      </w:r>
    </w:p>
    <w:p>
      <w:pPr>
        <w:spacing w:line="440" w:lineRule="exact"/>
        <w:ind w:firstLine="718" w:firstLineChars="342"/>
        <w:rPr>
          <w:rFonts w:ascii="宋体" w:hAnsi="宋体" w:cs="宋体"/>
          <w:color w:val="auto"/>
          <w:szCs w:val="21"/>
          <w:highlight w:val="none"/>
        </w:rPr>
      </w:pPr>
      <w:r>
        <w:rPr>
          <w:rFonts w:hint="eastAsia" w:ascii="宋体" w:hAnsi="宋体" w:cs="宋体"/>
          <w:color w:val="auto"/>
          <w:szCs w:val="21"/>
          <w:highlight w:val="none"/>
        </w:rPr>
        <w:t>（7）已标价工程量清单；</w:t>
      </w:r>
    </w:p>
    <w:p>
      <w:pPr>
        <w:spacing w:line="440" w:lineRule="exact"/>
        <w:ind w:firstLine="718" w:firstLineChars="342"/>
        <w:rPr>
          <w:rFonts w:ascii="宋体" w:hAnsi="宋体" w:cs="宋体"/>
          <w:color w:val="auto"/>
          <w:szCs w:val="21"/>
          <w:highlight w:val="none"/>
        </w:rPr>
      </w:pPr>
      <w:r>
        <w:rPr>
          <w:rFonts w:hint="eastAsia" w:ascii="宋体" w:hAnsi="宋体" w:cs="宋体"/>
          <w:color w:val="auto"/>
          <w:szCs w:val="21"/>
          <w:highlight w:val="none"/>
        </w:rPr>
        <w:t>（8）其他合同文件。</w:t>
      </w:r>
    </w:p>
    <w:p>
      <w:pPr>
        <w:spacing w:line="440" w:lineRule="exact"/>
        <w:ind w:firstLine="359" w:firstLineChars="171"/>
        <w:rPr>
          <w:rFonts w:ascii="宋体" w:hAnsi="宋体" w:cs="宋体"/>
          <w:color w:val="auto"/>
          <w:szCs w:val="21"/>
          <w:highlight w:val="none"/>
        </w:rPr>
      </w:pPr>
      <w:bookmarkStart w:id="1078" w:name="_Toc152042549"/>
      <w:bookmarkStart w:id="1079" w:name="_Toc144974829"/>
      <w:r>
        <w:rPr>
          <w:rFonts w:hint="eastAsia" w:ascii="宋体" w:hAnsi="宋体" w:cs="宋体"/>
          <w:color w:val="auto"/>
          <w:szCs w:val="21"/>
          <w:highlight w:val="none"/>
        </w:rPr>
        <w:t>2. 上述文件互相补充和解释，如有不明确或不一致之处，以合同约定次序在先者为准。</w:t>
      </w:r>
      <w:bookmarkEnd w:id="1078"/>
      <w:bookmarkEnd w:id="1079"/>
    </w:p>
    <w:p>
      <w:pPr>
        <w:spacing w:line="440" w:lineRule="exact"/>
        <w:ind w:firstLine="359" w:firstLineChars="171"/>
        <w:rPr>
          <w:rFonts w:ascii="宋体" w:hAnsi="宋体" w:cs="宋体"/>
          <w:color w:val="auto"/>
          <w:szCs w:val="21"/>
          <w:highlight w:val="none"/>
        </w:rPr>
      </w:pPr>
      <w:r>
        <w:rPr>
          <w:rFonts w:hint="eastAsia" w:ascii="宋体" w:hAnsi="宋体" w:cs="宋体"/>
          <w:color w:val="auto"/>
          <w:szCs w:val="21"/>
          <w:highlight w:val="none"/>
        </w:rPr>
        <w:t>3. 签约合同价：人民币（大写）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440" w:lineRule="exact"/>
        <w:ind w:firstLine="359" w:firstLineChars="171"/>
        <w:rPr>
          <w:rFonts w:ascii="宋体" w:hAnsi="宋体" w:cs="宋体"/>
          <w:color w:val="auto"/>
          <w:szCs w:val="21"/>
          <w:highlight w:val="none"/>
        </w:rPr>
      </w:pPr>
      <w:r>
        <w:rPr>
          <w:rFonts w:hint="eastAsia" w:ascii="宋体" w:hAnsi="宋体" w:cs="宋体"/>
          <w:color w:val="auto"/>
          <w:szCs w:val="21"/>
          <w:highlight w:val="none"/>
        </w:rPr>
        <w:t>4. 合同形式：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440" w:lineRule="exact"/>
        <w:ind w:firstLine="359" w:firstLineChars="171"/>
        <w:rPr>
          <w:rFonts w:ascii="宋体" w:hAnsi="宋体" w:cs="宋体"/>
          <w:color w:val="auto"/>
          <w:szCs w:val="21"/>
          <w:highlight w:val="none"/>
        </w:rPr>
      </w:pPr>
      <w:r>
        <w:rPr>
          <w:rFonts w:hint="eastAsia" w:ascii="宋体" w:hAnsi="宋体" w:cs="宋体"/>
          <w:color w:val="auto"/>
          <w:szCs w:val="21"/>
          <w:highlight w:val="none"/>
        </w:rPr>
        <w:t>5. 计划开工日期：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spacing w:line="440" w:lineRule="exact"/>
        <w:ind w:firstLine="630" w:firstLineChars="300"/>
        <w:rPr>
          <w:rFonts w:ascii="宋体" w:hAnsi="宋体" w:cs="宋体"/>
          <w:color w:val="auto"/>
          <w:szCs w:val="21"/>
          <w:highlight w:val="none"/>
        </w:rPr>
      </w:pPr>
      <w:r>
        <w:rPr>
          <w:rFonts w:hint="eastAsia" w:ascii="宋体" w:hAnsi="宋体" w:cs="宋体"/>
          <w:color w:val="auto"/>
          <w:szCs w:val="21"/>
          <w:highlight w:val="none"/>
        </w:rPr>
        <w:t>计划竣工日期：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日历天。</w:t>
      </w:r>
    </w:p>
    <w:p>
      <w:pPr>
        <w:spacing w:line="440" w:lineRule="exact"/>
        <w:ind w:firstLine="359" w:firstLineChars="171"/>
        <w:rPr>
          <w:rFonts w:ascii="宋体" w:hAnsi="宋体" w:cs="宋体"/>
          <w:color w:val="auto"/>
          <w:szCs w:val="21"/>
          <w:highlight w:val="none"/>
        </w:rPr>
      </w:pPr>
      <w:r>
        <w:rPr>
          <w:rFonts w:hint="eastAsia" w:ascii="宋体" w:hAnsi="宋体" w:cs="宋体"/>
          <w:color w:val="auto"/>
          <w:szCs w:val="21"/>
          <w:highlight w:val="none"/>
        </w:rPr>
        <w:t>6. 承包人项目经理：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440" w:lineRule="exact"/>
        <w:ind w:firstLine="359" w:firstLineChars="171"/>
        <w:rPr>
          <w:rFonts w:ascii="宋体" w:hAnsi="宋体" w:cs="宋体"/>
          <w:color w:val="auto"/>
          <w:szCs w:val="21"/>
          <w:highlight w:val="none"/>
        </w:rPr>
      </w:pPr>
      <w:r>
        <w:rPr>
          <w:rFonts w:hint="eastAsia" w:ascii="宋体" w:hAnsi="宋体" w:cs="宋体"/>
          <w:color w:val="auto"/>
          <w:szCs w:val="21"/>
          <w:highlight w:val="none"/>
        </w:rPr>
        <w:t>7. 工程质量符合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标准。</w:t>
      </w:r>
    </w:p>
    <w:p>
      <w:pPr>
        <w:spacing w:line="440" w:lineRule="exact"/>
        <w:ind w:firstLine="359" w:firstLineChars="171"/>
        <w:rPr>
          <w:rFonts w:ascii="宋体" w:hAnsi="宋体" w:cs="宋体"/>
          <w:color w:val="auto"/>
          <w:szCs w:val="21"/>
          <w:highlight w:val="none"/>
        </w:rPr>
      </w:pPr>
      <w:r>
        <w:rPr>
          <w:rFonts w:hint="eastAsia" w:ascii="宋体" w:hAnsi="宋体" w:cs="宋体"/>
          <w:color w:val="auto"/>
          <w:szCs w:val="21"/>
          <w:highlight w:val="none"/>
        </w:rPr>
        <w:t>8. 承包人承诺按合同约定承担工程的施工、竣工交付及缺陷修复。</w:t>
      </w:r>
    </w:p>
    <w:p>
      <w:pPr>
        <w:spacing w:line="440" w:lineRule="exact"/>
        <w:ind w:firstLine="359" w:firstLineChars="171"/>
        <w:rPr>
          <w:rFonts w:ascii="宋体" w:hAnsi="宋体" w:cs="宋体"/>
          <w:color w:val="auto"/>
          <w:szCs w:val="21"/>
          <w:highlight w:val="none"/>
        </w:rPr>
      </w:pPr>
      <w:r>
        <w:rPr>
          <w:rFonts w:hint="eastAsia" w:ascii="宋体" w:hAnsi="宋体" w:cs="宋体"/>
          <w:color w:val="auto"/>
          <w:szCs w:val="21"/>
          <w:highlight w:val="none"/>
        </w:rPr>
        <w:t>9. 发包人承诺按合同约定的条件、时间和方式向承包人支付合同价款。</w:t>
      </w:r>
    </w:p>
    <w:p>
      <w:pPr>
        <w:spacing w:line="440" w:lineRule="exact"/>
        <w:ind w:firstLine="359" w:firstLineChars="171"/>
        <w:rPr>
          <w:rFonts w:ascii="宋体" w:hAnsi="宋体" w:cs="宋体"/>
          <w:color w:val="auto"/>
          <w:szCs w:val="21"/>
          <w:highlight w:val="none"/>
        </w:rPr>
      </w:pPr>
      <w:r>
        <w:rPr>
          <w:rFonts w:hint="eastAsia" w:ascii="宋体" w:hAnsi="宋体" w:cs="宋体"/>
          <w:color w:val="auto"/>
          <w:szCs w:val="21"/>
          <w:highlight w:val="none"/>
        </w:rPr>
        <w:t>10.本协议书一式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份，合同双方各执</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份。</w:t>
      </w:r>
    </w:p>
    <w:p>
      <w:pPr>
        <w:spacing w:line="440" w:lineRule="exact"/>
        <w:ind w:firstLine="359" w:firstLineChars="171"/>
        <w:rPr>
          <w:rFonts w:ascii="宋体" w:hAnsi="宋体" w:cs="宋体"/>
          <w:color w:val="auto"/>
          <w:szCs w:val="21"/>
          <w:highlight w:val="none"/>
        </w:rPr>
      </w:pPr>
      <w:bookmarkStart w:id="1080" w:name="_Toc152042550"/>
      <w:bookmarkStart w:id="1081" w:name="_Toc144974830"/>
      <w:r>
        <w:rPr>
          <w:rFonts w:hint="eastAsia" w:ascii="宋体" w:hAnsi="宋体" w:cs="宋体"/>
          <w:color w:val="auto"/>
          <w:szCs w:val="21"/>
          <w:highlight w:val="none"/>
        </w:rPr>
        <w:t>11. 合同未尽事宜，双方另行签订补充协议。补充协议是合同的组成部分。</w:t>
      </w:r>
      <w:bookmarkEnd w:id="1080"/>
      <w:bookmarkEnd w:id="1081"/>
    </w:p>
    <w:p>
      <w:pPr>
        <w:spacing w:line="440" w:lineRule="exact"/>
        <w:rPr>
          <w:rFonts w:ascii="宋体" w:hAnsi="宋体" w:cs="宋体"/>
          <w:color w:val="auto"/>
          <w:szCs w:val="21"/>
          <w:highlight w:val="none"/>
        </w:rPr>
      </w:pPr>
      <w:r>
        <w:rPr>
          <w:rFonts w:hint="eastAsia" w:ascii="宋体" w:hAnsi="宋体" w:cs="宋体"/>
          <w:color w:val="auto"/>
          <w:szCs w:val="21"/>
          <w:highlight w:val="none"/>
        </w:rPr>
        <w:t>发包人：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     承包人：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    法定代表人或其委托代理人：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pPr>
        <w:spacing w:line="440" w:lineRule="exact"/>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日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pStyle w:val="3"/>
        <w:jc w:val="center"/>
        <w:rPr>
          <w:rFonts w:ascii="宋体" w:hAnsi="宋体" w:cs="宋体"/>
          <w:color w:val="auto"/>
          <w:highlight w:val="none"/>
        </w:rPr>
      </w:pPr>
      <w:bookmarkStart w:id="1082" w:name="_Toc152042551"/>
      <w:bookmarkStart w:id="1083" w:name="_Toc144974831"/>
      <w:bookmarkStart w:id="1084" w:name="_Toc152045769"/>
      <w:bookmarkStart w:id="1085" w:name="_Toc246996338"/>
      <w:bookmarkStart w:id="1086" w:name="_Toc179632787"/>
      <w:bookmarkStart w:id="1087" w:name="_Toc246997081"/>
      <w:bookmarkStart w:id="1088" w:name="_Toc247085853"/>
      <w:r>
        <w:rPr>
          <w:rFonts w:hint="eastAsia" w:ascii="宋体" w:hAnsi="宋体" w:cs="宋体"/>
          <w:color w:val="auto"/>
          <w:highlight w:val="none"/>
        </w:rPr>
        <w:br w:type="page"/>
      </w:r>
      <w:bookmarkEnd w:id="1082"/>
      <w:bookmarkEnd w:id="1083"/>
      <w:bookmarkEnd w:id="1084"/>
      <w:bookmarkEnd w:id="1085"/>
      <w:bookmarkEnd w:id="1086"/>
      <w:bookmarkEnd w:id="1087"/>
      <w:bookmarkEnd w:id="1088"/>
      <w:bookmarkStart w:id="1089" w:name="_Toc152045772"/>
      <w:bookmarkStart w:id="1090" w:name="_Toc246997083"/>
      <w:bookmarkStart w:id="1091" w:name="_Toc144974834"/>
      <w:bookmarkStart w:id="1092" w:name="_Toc152042554"/>
      <w:bookmarkStart w:id="1093" w:name="_Toc179632789"/>
      <w:bookmarkStart w:id="1094" w:name="_Toc246996340"/>
      <w:bookmarkStart w:id="1095" w:name="_Toc466470946"/>
      <w:bookmarkStart w:id="1096" w:name="_Toc466470816"/>
      <w:bookmarkStart w:id="1097" w:name="_Toc247085855"/>
      <w:r>
        <w:rPr>
          <w:rFonts w:hint="eastAsia" w:ascii="宋体" w:hAnsi="宋体" w:cs="宋体"/>
          <w:color w:val="auto"/>
          <w:highlight w:val="none"/>
        </w:rPr>
        <w:t>第五章  工程量清单</w:t>
      </w:r>
      <w:bookmarkEnd w:id="1089"/>
      <w:bookmarkEnd w:id="1090"/>
      <w:bookmarkEnd w:id="1091"/>
      <w:bookmarkEnd w:id="1092"/>
      <w:bookmarkEnd w:id="1093"/>
      <w:bookmarkEnd w:id="1094"/>
      <w:bookmarkEnd w:id="1095"/>
      <w:bookmarkEnd w:id="1096"/>
      <w:bookmarkEnd w:id="1097"/>
      <w:r>
        <w:rPr>
          <w:rFonts w:hint="eastAsia" w:ascii="宋体" w:hAnsi="宋体" w:cs="宋体"/>
          <w:color w:val="auto"/>
          <w:highlight w:val="none"/>
        </w:rPr>
        <w:t>（另附）</w:t>
      </w:r>
    </w:p>
    <w:p>
      <w:pPr>
        <w:pStyle w:val="4"/>
        <w:spacing w:line="400" w:lineRule="exact"/>
        <w:rPr>
          <w:rFonts w:ascii="宋体" w:hAnsi="宋体" w:eastAsia="宋体" w:cs="宋体"/>
          <w:color w:val="auto"/>
          <w:highlight w:val="none"/>
        </w:rPr>
      </w:pPr>
      <w:bookmarkStart w:id="1098" w:name="_Toc246997084"/>
      <w:bookmarkStart w:id="1099" w:name="_Toc247085856"/>
      <w:bookmarkStart w:id="1100" w:name="_Toc144974835"/>
      <w:bookmarkStart w:id="1101" w:name="_Toc152042555"/>
      <w:bookmarkStart w:id="1102" w:name="_Toc179632790"/>
      <w:bookmarkStart w:id="1103" w:name="_Toc152045773"/>
      <w:bookmarkStart w:id="1104" w:name="_Toc246996341"/>
      <w:bookmarkStart w:id="1105" w:name="_Toc466470817"/>
      <w:bookmarkStart w:id="1106" w:name="_Toc466470947"/>
      <w:bookmarkStart w:id="1107" w:name="_Toc31110"/>
      <w:bookmarkStart w:id="1108" w:name="_Toc1573"/>
      <w:bookmarkStart w:id="1109" w:name="_Toc28657"/>
      <w:r>
        <w:rPr>
          <w:rFonts w:hint="eastAsia" w:ascii="宋体" w:hAnsi="宋体" w:eastAsia="宋体" w:cs="宋体"/>
          <w:color w:val="auto"/>
          <w:highlight w:val="none"/>
        </w:rPr>
        <w:t>1. 工程量清单说明</w:t>
      </w:r>
      <w:bookmarkEnd w:id="1098"/>
      <w:bookmarkEnd w:id="1099"/>
      <w:bookmarkEnd w:id="1100"/>
      <w:bookmarkEnd w:id="1101"/>
      <w:bookmarkEnd w:id="1102"/>
      <w:bookmarkEnd w:id="1103"/>
      <w:bookmarkEnd w:id="1104"/>
      <w:bookmarkEnd w:id="1105"/>
      <w:bookmarkEnd w:id="1106"/>
      <w:bookmarkEnd w:id="1107"/>
      <w:bookmarkEnd w:id="1108"/>
      <w:bookmarkEnd w:id="1109"/>
    </w:p>
    <w:p>
      <w:pPr>
        <w:spacing w:line="400" w:lineRule="exact"/>
        <w:rPr>
          <w:rFonts w:ascii="宋体" w:hAnsi="宋体" w:cs="宋体"/>
          <w:color w:val="auto"/>
          <w:highlight w:val="none"/>
        </w:rPr>
      </w:pPr>
      <w:r>
        <w:rPr>
          <w:rFonts w:hint="eastAsia" w:ascii="宋体" w:hAnsi="宋体" w:cs="宋体"/>
          <w:color w:val="auto"/>
          <w:highlight w:val="none"/>
        </w:rPr>
        <w:t>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spacing w:line="400" w:lineRule="exact"/>
        <w:rPr>
          <w:rFonts w:ascii="宋体" w:hAnsi="宋体" w:cs="宋体"/>
          <w:color w:val="auto"/>
          <w:highlight w:val="none"/>
        </w:rPr>
      </w:pPr>
      <w:r>
        <w:rPr>
          <w:rFonts w:hint="eastAsia" w:ascii="宋体" w:hAnsi="宋体" w:cs="宋体"/>
          <w:color w:val="auto"/>
          <w:highlight w:val="none"/>
        </w:rPr>
        <w:t>1.2 本工程量清单应与招标文件中的投标人须知、通用合同条款、专用合同条款、技术标准和要求及图纸等一起阅读和理解。</w:t>
      </w:r>
    </w:p>
    <w:p>
      <w:pPr>
        <w:spacing w:line="400" w:lineRule="exact"/>
        <w:rPr>
          <w:rFonts w:ascii="宋体" w:hAnsi="宋体" w:cs="宋体"/>
          <w:color w:val="auto"/>
          <w:highlight w:val="none"/>
        </w:rPr>
      </w:pPr>
      <w:r>
        <w:rPr>
          <w:rFonts w:hint="eastAsia" w:ascii="宋体" w:hAnsi="宋体" w:cs="宋体"/>
          <w:color w:val="auto"/>
          <w:highlight w:val="none"/>
        </w:rPr>
        <w:t>1.3 本工程量清单仅是投标报价的共同基础，实际工程计量和工程价款的支付应遵循合同条款的约定和第七章“技术标准和要求”的有关规定。</w:t>
      </w:r>
    </w:p>
    <w:p>
      <w:pPr>
        <w:spacing w:line="400" w:lineRule="exact"/>
        <w:rPr>
          <w:rFonts w:ascii="宋体" w:hAnsi="宋体" w:cs="宋体"/>
          <w:color w:val="auto"/>
          <w:highlight w:val="none"/>
        </w:rPr>
      </w:pPr>
      <w:r>
        <w:rPr>
          <w:rFonts w:hint="eastAsia" w:ascii="宋体" w:hAnsi="宋体" w:cs="宋体"/>
          <w:color w:val="auto"/>
          <w:highlight w:val="none"/>
        </w:rPr>
        <w:t>1.4 补充子目工程量计算规则及子目工作内容说明：</w:t>
      </w:r>
      <w:r>
        <w:rPr>
          <w:rFonts w:hint="eastAsia" w:ascii="宋体" w:hAnsi="宋体" w:cs="宋体"/>
          <w:color w:val="auto"/>
          <w:highlight w:val="none"/>
          <w:u w:val="single"/>
        </w:rPr>
        <w:t xml:space="preserve">                                </w:t>
      </w:r>
      <w:r>
        <w:rPr>
          <w:rFonts w:hint="eastAsia" w:ascii="宋体" w:hAnsi="宋体" w:cs="宋体"/>
          <w:color w:val="auto"/>
          <w:highlight w:val="none"/>
        </w:rPr>
        <w:t>。</w:t>
      </w:r>
    </w:p>
    <w:p>
      <w:pPr>
        <w:pStyle w:val="4"/>
        <w:spacing w:line="400" w:lineRule="exact"/>
        <w:rPr>
          <w:rFonts w:ascii="宋体" w:hAnsi="宋体" w:eastAsia="宋体" w:cs="宋体"/>
          <w:color w:val="auto"/>
          <w:highlight w:val="none"/>
        </w:rPr>
      </w:pPr>
      <w:bookmarkStart w:id="1110" w:name="_Toc4203"/>
      <w:bookmarkStart w:id="1111" w:name="_Toc23765"/>
      <w:bookmarkStart w:id="1112" w:name="_Toc28051"/>
      <w:bookmarkStart w:id="1113" w:name="_Toc466470818"/>
      <w:bookmarkStart w:id="1114" w:name="_Toc247085857"/>
      <w:bookmarkStart w:id="1115" w:name="_Toc246996342"/>
      <w:bookmarkStart w:id="1116" w:name="_Toc246997085"/>
      <w:bookmarkStart w:id="1117" w:name="_Toc179632791"/>
      <w:bookmarkStart w:id="1118" w:name="_Toc152042556"/>
      <w:bookmarkStart w:id="1119" w:name="_Toc152045774"/>
      <w:bookmarkStart w:id="1120" w:name="_Toc144974836"/>
      <w:bookmarkStart w:id="1121" w:name="_Toc466470948"/>
      <w:r>
        <w:rPr>
          <w:rFonts w:hint="eastAsia" w:ascii="宋体" w:hAnsi="宋体" w:eastAsia="宋体" w:cs="宋体"/>
          <w:color w:val="auto"/>
          <w:highlight w:val="none"/>
        </w:rPr>
        <w:t>2. 投标报价说明</w:t>
      </w:r>
      <w:bookmarkEnd w:id="1110"/>
      <w:bookmarkEnd w:id="1111"/>
      <w:bookmarkEnd w:id="1112"/>
      <w:bookmarkEnd w:id="1113"/>
      <w:bookmarkEnd w:id="1114"/>
      <w:bookmarkEnd w:id="1115"/>
      <w:bookmarkEnd w:id="1116"/>
      <w:bookmarkEnd w:id="1117"/>
      <w:bookmarkEnd w:id="1118"/>
      <w:bookmarkEnd w:id="1119"/>
      <w:bookmarkEnd w:id="1120"/>
      <w:bookmarkEnd w:id="1121"/>
    </w:p>
    <w:p>
      <w:pPr>
        <w:spacing w:line="400" w:lineRule="exact"/>
        <w:rPr>
          <w:rFonts w:ascii="宋体" w:hAnsi="宋体" w:cs="宋体"/>
          <w:color w:val="auto"/>
          <w:highlight w:val="none"/>
        </w:rPr>
      </w:pPr>
      <w:r>
        <w:rPr>
          <w:rFonts w:hint="eastAsia" w:ascii="宋体" w:hAnsi="宋体" w:cs="宋体"/>
          <w:color w:val="auto"/>
          <w:highlight w:val="none"/>
        </w:rPr>
        <w:t>2.1 工程量清单中的每一子目须填入单价或价格，且只允许有一个报价。</w:t>
      </w:r>
    </w:p>
    <w:p>
      <w:pPr>
        <w:spacing w:line="400" w:lineRule="exact"/>
        <w:rPr>
          <w:rFonts w:ascii="宋体" w:hAnsi="宋体" w:cs="宋体"/>
          <w:color w:val="auto"/>
          <w:highlight w:val="none"/>
        </w:rPr>
      </w:pPr>
      <w:r>
        <w:rPr>
          <w:rFonts w:hint="eastAsia" w:ascii="宋体" w:hAnsi="宋体" w:cs="宋体"/>
          <w:color w:val="auto"/>
          <w:highlight w:val="none"/>
        </w:rPr>
        <w:t>2.2 工程量清单中标价的单价或金额，应包括所需的人工费、材料和施工机具使用费和企业管理费、利润以及一定范围内的风险费用等。</w:t>
      </w:r>
    </w:p>
    <w:p>
      <w:pPr>
        <w:spacing w:line="400" w:lineRule="exact"/>
        <w:rPr>
          <w:rFonts w:ascii="宋体" w:hAnsi="宋体" w:cs="宋体"/>
          <w:color w:val="auto"/>
          <w:highlight w:val="none"/>
        </w:rPr>
      </w:pPr>
      <w:r>
        <w:rPr>
          <w:rFonts w:hint="eastAsia" w:ascii="宋体" w:hAnsi="宋体" w:cs="宋体"/>
          <w:color w:val="auto"/>
          <w:highlight w:val="none"/>
        </w:rPr>
        <w:t>2.3 工程量清单中投标人没有填入单价或价格的子目，其费用视为已分摊在工程量清单中其他相关子目的单价或价格之中。</w:t>
      </w:r>
    </w:p>
    <w:p>
      <w:pPr>
        <w:spacing w:line="400" w:lineRule="exact"/>
        <w:rPr>
          <w:rFonts w:ascii="宋体" w:hAnsi="宋体" w:cs="宋体"/>
          <w:color w:val="auto"/>
          <w:highlight w:val="none"/>
        </w:rPr>
      </w:pPr>
      <w:r>
        <w:rPr>
          <w:rFonts w:hint="eastAsia" w:ascii="宋体" w:hAnsi="宋体" w:cs="宋体"/>
          <w:color w:val="auto"/>
          <w:highlight w:val="none"/>
        </w:rPr>
        <w:t>2.4 暂列金额的数量及拟用子目的说明：</w:t>
      </w:r>
    </w:p>
    <w:p>
      <w:pPr>
        <w:pStyle w:val="4"/>
        <w:numPr>
          <w:ilvl w:val="0"/>
          <w:numId w:val="4"/>
        </w:numPr>
        <w:spacing w:line="400" w:lineRule="exact"/>
        <w:rPr>
          <w:rFonts w:ascii="宋体" w:hAnsi="宋体" w:eastAsia="宋体" w:cs="宋体"/>
          <w:color w:val="auto"/>
          <w:highlight w:val="none"/>
        </w:rPr>
      </w:pPr>
      <w:bookmarkStart w:id="1122" w:name="_Toc24281"/>
      <w:bookmarkStart w:id="1123" w:name="_Toc19063"/>
      <w:bookmarkStart w:id="1124" w:name="_Toc466470819"/>
      <w:bookmarkStart w:id="1125" w:name="_Toc152042557"/>
      <w:bookmarkStart w:id="1126" w:name="_Toc11727"/>
      <w:bookmarkStart w:id="1127" w:name="_Toc179632792"/>
      <w:bookmarkStart w:id="1128" w:name="_Toc246997086"/>
      <w:bookmarkStart w:id="1129" w:name="_Toc144974837"/>
      <w:bookmarkStart w:id="1130" w:name="_Toc466470949"/>
      <w:bookmarkStart w:id="1131" w:name="_Toc246996343"/>
      <w:bookmarkStart w:id="1132" w:name="_Toc247085858"/>
      <w:bookmarkStart w:id="1133" w:name="_Toc152045775"/>
      <w:r>
        <w:rPr>
          <w:rFonts w:hint="eastAsia" w:ascii="宋体" w:hAnsi="宋体" w:eastAsia="宋体" w:cs="宋体"/>
          <w:color w:val="auto"/>
          <w:highlight w:val="none"/>
        </w:rPr>
        <w:t>其他说明</w:t>
      </w:r>
      <w:bookmarkEnd w:id="1122"/>
      <w:bookmarkEnd w:id="1123"/>
      <w:bookmarkEnd w:id="1124"/>
      <w:bookmarkEnd w:id="1125"/>
      <w:bookmarkEnd w:id="1126"/>
      <w:bookmarkEnd w:id="1127"/>
      <w:bookmarkEnd w:id="1128"/>
      <w:bookmarkEnd w:id="1129"/>
      <w:bookmarkEnd w:id="1130"/>
      <w:bookmarkEnd w:id="1131"/>
      <w:bookmarkEnd w:id="1132"/>
      <w:bookmarkEnd w:id="1133"/>
    </w:p>
    <w:p>
      <w:pPr>
        <w:pStyle w:val="3"/>
        <w:rPr>
          <w:rFonts w:ascii="宋体" w:hAnsi="宋体" w:cs="宋体"/>
          <w:color w:val="auto"/>
          <w:sz w:val="32"/>
          <w:szCs w:val="32"/>
          <w:highlight w:val="none"/>
        </w:rPr>
      </w:pPr>
      <w:r>
        <w:rPr>
          <w:rFonts w:hint="eastAsia" w:ascii="宋体" w:hAnsi="宋体" w:cs="宋体"/>
          <w:color w:val="auto"/>
          <w:sz w:val="32"/>
          <w:szCs w:val="32"/>
          <w:highlight w:val="none"/>
        </w:rPr>
        <w:t xml:space="preserve"> 图纸另付</w:t>
      </w:r>
    </w:p>
    <w:p>
      <w:pPr>
        <w:pStyle w:val="3"/>
        <w:rPr>
          <w:rFonts w:ascii="宋体" w:hAnsi="宋体" w:cs="宋体"/>
          <w:color w:val="auto"/>
          <w:highlight w:val="none"/>
        </w:rPr>
      </w:pPr>
      <w:r>
        <w:rPr>
          <w:rFonts w:hint="eastAsia" w:ascii="宋体" w:hAnsi="宋体" w:cs="宋体"/>
          <w:color w:val="auto"/>
          <w:highlight w:val="none"/>
        </w:rPr>
        <w:t xml:space="preserve"> </w:t>
      </w: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pStyle w:val="3"/>
        <w:jc w:val="center"/>
        <w:rPr>
          <w:rFonts w:ascii="宋体" w:hAnsi="宋体" w:cs="宋体"/>
          <w:color w:val="auto"/>
          <w:highlight w:val="none"/>
        </w:rPr>
      </w:pPr>
      <w:bookmarkStart w:id="1134" w:name="_Toc144974854"/>
      <w:bookmarkStart w:id="1135" w:name="_Toc246996353"/>
      <w:bookmarkStart w:id="1136" w:name="_Toc246997096"/>
      <w:bookmarkStart w:id="1137" w:name="_Toc466470950"/>
      <w:bookmarkStart w:id="1138" w:name="_Toc466470820"/>
      <w:bookmarkStart w:id="1139" w:name="_Toc152042574"/>
      <w:bookmarkStart w:id="1140" w:name="_Toc179632804"/>
      <w:bookmarkStart w:id="1141" w:name="_Toc247085870"/>
      <w:bookmarkStart w:id="1142" w:name="_Toc152045785"/>
      <w:r>
        <w:rPr>
          <w:rFonts w:hint="eastAsia" w:ascii="宋体" w:hAnsi="宋体" w:cs="宋体"/>
          <w:color w:val="auto"/>
          <w:highlight w:val="none"/>
        </w:rPr>
        <w:t>第六章  技术标准和要求</w:t>
      </w:r>
      <w:bookmarkEnd w:id="1134"/>
      <w:bookmarkEnd w:id="1135"/>
      <w:bookmarkEnd w:id="1136"/>
      <w:bookmarkEnd w:id="1137"/>
      <w:bookmarkEnd w:id="1138"/>
      <w:bookmarkEnd w:id="1139"/>
      <w:bookmarkEnd w:id="1140"/>
      <w:bookmarkEnd w:id="1141"/>
      <w:bookmarkEnd w:id="1142"/>
      <w:r>
        <w:rPr>
          <w:rFonts w:hint="eastAsia" w:ascii="宋体" w:hAnsi="宋体" w:cs="宋体"/>
          <w:color w:val="auto"/>
          <w:highlight w:val="none"/>
        </w:rPr>
        <w:t xml:space="preserve">            </w:t>
      </w:r>
    </w:p>
    <w:p>
      <w:pPr>
        <w:spacing w:line="540" w:lineRule="exact"/>
        <w:rPr>
          <w:rFonts w:ascii="宋体" w:hAnsi="宋体" w:cs="宋体"/>
          <w:color w:val="auto"/>
          <w:highlight w:val="none"/>
        </w:rPr>
      </w:pPr>
      <w:bookmarkStart w:id="1143" w:name="_Toc225762482"/>
      <w:bookmarkStart w:id="1144" w:name="_Toc246996354"/>
      <w:bookmarkStart w:id="1145" w:name="_Toc152045786"/>
      <w:bookmarkStart w:id="1146" w:name="_Toc179632806"/>
      <w:bookmarkStart w:id="1147" w:name="_Toc144974855"/>
      <w:bookmarkStart w:id="1148" w:name="_Toc152042575"/>
      <w:bookmarkStart w:id="1149" w:name="_Toc247085872"/>
      <w:bookmarkStart w:id="1150" w:name="_Toc246997097"/>
      <w:r>
        <w:rPr>
          <w:rFonts w:hint="eastAsia" w:ascii="宋体" w:hAnsi="宋体" w:cs="宋体"/>
          <w:color w:val="auto"/>
          <w:highlight w:val="none"/>
        </w:rPr>
        <w:t>一、施工及验收规范</w:t>
      </w:r>
      <w:bookmarkEnd w:id="1143"/>
    </w:p>
    <w:p>
      <w:pPr>
        <w:spacing w:line="540" w:lineRule="exact"/>
        <w:rPr>
          <w:rFonts w:ascii="宋体" w:hAnsi="宋体" w:cs="宋体"/>
          <w:color w:val="auto"/>
          <w:highlight w:val="none"/>
        </w:rPr>
      </w:pPr>
      <w:r>
        <w:rPr>
          <w:rFonts w:hint="eastAsia" w:ascii="宋体" w:hAnsi="宋体" w:cs="宋体"/>
          <w:color w:val="auto"/>
          <w:highlight w:val="none"/>
        </w:rPr>
        <w:t>本工程执行国家现行的与本工程有关的施工及验收规范、标准图集。</w:t>
      </w:r>
      <w:bookmarkStart w:id="1151" w:name="_Toc44048771"/>
      <w:bookmarkStart w:id="1152" w:name="_Toc49095973"/>
      <w:bookmarkStart w:id="1153" w:name="_Toc43887553"/>
      <w:bookmarkStart w:id="1154" w:name="_Toc37732597"/>
      <w:bookmarkStart w:id="1155" w:name="_Toc40852128"/>
      <w:bookmarkStart w:id="1156" w:name="_Toc43959692"/>
      <w:bookmarkStart w:id="1157" w:name="_Toc40798148"/>
      <w:bookmarkStart w:id="1158" w:name="_Toc36905303"/>
      <w:bookmarkStart w:id="1159" w:name="_Toc70311376"/>
      <w:bookmarkStart w:id="1160" w:name="_Toc37732768"/>
      <w:bookmarkStart w:id="1161" w:name="_Toc37669849"/>
      <w:bookmarkStart w:id="1162" w:name="_Toc36903462"/>
      <w:bookmarkStart w:id="1163" w:name="_Toc46031205"/>
      <w:bookmarkStart w:id="1164" w:name="_Toc37732519"/>
      <w:bookmarkStart w:id="1165" w:name="_Toc49095163"/>
    </w:p>
    <w:p>
      <w:pPr>
        <w:spacing w:line="540" w:lineRule="exact"/>
        <w:rPr>
          <w:rFonts w:ascii="宋体" w:hAnsi="宋体" w:cs="宋体"/>
          <w:color w:val="auto"/>
          <w:highlight w:val="none"/>
        </w:rPr>
      </w:pPr>
      <w:bookmarkStart w:id="1166" w:name="_Toc225762483"/>
      <w:r>
        <w:rPr>
          <w:rFonts w:hint="eastAsia" w:ascii="宋体" w:hAnsi="宋体" w:cs="宋体"/>
          <w:color w:val="auto"/>
          <w:highlight w:val="none"/>
        </w:rPr>
        <w:t>二、主要质量检验评定标准</w:t>
      </w:r>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p>
    <w:p>
      <w:pPr>
        <w:spacing w:line="540" w:lineRule="exact"/>
        <w:rPr>
          <w:rFonts w:ascii="宋体" w:hAnsi="宋体" w:cs="宋体"/>
          <w:b/>
          <w:bCs/>
          <w:color w:val="auto"/>
          <w:kern w:val="44"/>
          <w:sz w:val="44"/>
          <w:szCs w:val="44"/>
          <w:highlight w:val="none"/>
        </w:rPr>
      </w:pPr>
      <w:r>
        <w:rPr>
          <w:rFonts w:hint="eastAsia" w:ascii="宋体" w:hAnsi="宋体" w:cs="宋体"/>
          <w:color w:val="auto"/>
          <w:highlight w:val="none"/>
        </w:rPr>
        <w:t>本工程执行国家现行的与本工程有关的质量检验评定标准。</w:t>
      </w:r>
    </w:p>
    <w:p>
      <w:pPr>
        <w:spacing w:line="540" w:lineRule="exact"/>
        <w:rPr>
          <w:rFonts w:ascii="宋体" w:hAnsi="宋体" w:cs="宋体"/>
          <w:b/>
          <w:bCs/>
          <w:color w:val="auto"/>
          <w:kern w:val="44"/>
          <w:sz w:val="44"/>
          <w:szCs w:val="44"/>
          <w:highlight w:val="none"/>
        </w:rPr>
      </w:pPr>
    </w:p>
    <w:p>
      <w:pPr>
        <w:spacing w:line="540" w:lineRule="exact"/>
        <w:rPr>
          <w:rFonts w:ascii="宋体" w:hAnsi="宋体" w:cs="宋体"/>
          <w:b/>
          <w:bCs/>
          <w:color w:val="auto"/>
          <w:kern w:val="44"/>
          <w:sz w:val="44"/>
          <w:szCs w:val="44"/>
          <w:highlight w:val="none"/>
        </w:rPr>
      </w:pPr>
    </w:p>
    <w:p>
      <w:pPr>
        <w:spacing w:line="540" w:lineRule="exact"/>
        <w:rPr>
          <w:rFonts w:ascii="宋体" w:hAnsi="宋体" w:cs="宋体"/>
          <w:b/>
          <w:bCs/>
          <w:color w:val="auto"/>
          <w:kern w:val="44"/>
          <w:sz w:val="44"/>
          <w:szCs w:val="44"/>
          <w:highlight w:val="none"/>
        </w:rPr>
      </w:pPr>
    </w:p>
    <w:p>
      <w:pPr>
        <w:spacing w:line="540" w:lineRule="exact"/>
        <w:rPr>
          <w:rFonts w:ascii="宋体" w:hAnsi="宋体" w:cs="宋体"/>
          <w:b/>
          <w:bCs/>
          <w:color w:val="auto"/>
          <w:kern w:val="44"/>
          <w:sz w:val="44"/>
          <w:szCs w:val="44"/>
          <w:highlight w:val="none"/>
        </w:rPr>
      </w:pPr>
    </w:p>
    <w:p>
      <w:pPr>
        <w:spacing w:line="540" w:lineRule="exact"/>
        <w:rPr>
          <w:rFonts w:ascii="宋体" w:hAnsi="宋体" w:cs="宋体"/>
          <w:b/>
          <w:bCs/>
          <w:color w:val="auto"/>
          <w:kern w:val="44"/>
          <w:sz w:val="44"/>
          <w:szCs w:val="44"/>
          <w:highlight w:val="none"/>
        </w:rPr>
      </w:pPr>
    </w:p>
    <w:p>
      <w:pPr>
        <w:spacing w:line="540" w:lineRule="exact"/>
        <w:rPr>
          <w:rFonts w:ascii="宋体" w:hAnsi="宋体" w:cs="宋体"/>
          <w:b/>
          <w:bCs/>
          <w:color w:val="auto"/>
          <w:kern w:val="44"/>
          <w:sz w:val="44"/>
          <w:szCs w:val="44"/>
          <w:highlight w:val="none"/>
        </w:rPr>
      </w:pPr>
    </w:p>
    <w:p>
      <w:pPr>
        <w:spacing w:line="540" w:lineRule="exact"/>
        <w:rPr>
          <w:rFonts w:ascii="宋体" w:hAnsi="宋体" w:cs="宋体"/>
          <w:b/>
          <w:bCs/>
          <w:color w:val="auto"/>
          <w:kern w:val="44"/>
          <w:sz w:val="44"/>
          <w:szCs w:val="44"/>
          <w:highlight w:val="none"/>
        </w:rPr>
      </w:pPr>
    </w:p>
    <w:p>
      <w:pPr>
        <w:spacing w:line="540" w:lineRule="exact"/>
        <w:rPr>
          <w:rFonts w:ascii="宋体" w:hAnsi="宋体" w:cs="宋体"/>
          <w:b/>
          <w:bCs/>
          <w:color w:val="auto"/>
          <w:kern w:val="44"/>
          <w:sz w:val="44"/>
          <w:szCs w:val="44"/>
          <w:highlight w:val="none"/>
        </w:rPr>
      </w:pPr>
    </w:p>
    <w:p>
      <w:pPr>
        <w:spacing w:line="540" w:lineRule="exact"/>
        <w:rPr>
          <w:rFonts w:ascii="宋体" w:hAnsi="宋体" w:cs="宋体"/>
          <w:b/>
          <w:bCs/>
          <w:color w:val="auto"/>
          <w:kern w:val="44"/>
          <w:sz w:val="44"/>
          <w:szCs w:val="44"/>
          <w:highlight w:val="none"/>
        </w:rPr>
      </w:pPr>
    </w:p>
    <w:p>
      <w:pPr>
        <w:spacing w:line="540" w:lineRule="exact"/>
        <w:rPr>
          <w:rFonts w:ascii="宋体" w:hAnsi="宋体" w:cs="宋体"/>
          <w:b/>
          <w:bCs/>
          <w:color w:val="auto"/>
          <w:kern w:val="44"/>
          <w:sz w:val="44"/>
          <w:szCs w:val="44"/>
          <w:highlight w:val="none"/>
        </w:rPr>
      </w:pPr>
    </w:p>
    <w:p>
      <w:pPr>
        <w:spacing w:line="540" w:lineRule="exact"/>
        <w:rPr>
          <w:rFonts w:ascii="宋体" w:hAnsi="宋体" w:cs="宋体"/>
          <w:b/>
          <w:bCs/>
          <w:color w:val="auto"/>
          <w:kern w:val="44"/>
          <w:sz w:val="44"/>
          <w:szCs w:val="44"/>
          <w:highlight w:val="none"/>
        </w:rPr>
      </w:pPr>
    </w:p>
    <w:p>
      <w:pPr>
        <w:spacing w:line="540" w:lineRule="exact"/>
        <w:rPr>
          <w:rFonts w:ascii="宋体" w:hAnsi="宋体" w:cs="宋体"/>
          <w:b/>
          <w:bCs/>
          <w:color w:val="auto"/>
          <w:kern w:val="44"/>
          <w:sz w:val="44"/>
          <w:szCs w:val="44"/>
          <w:highlight w:val="none"/>
        </w:rPr>
      </w:pPr>
    </w:p>
    <w:p>
      <w:pPr>
        <w:spacing w:line="540" w:lineRule="exact"/>
        <w:rPr>
          <w:rFonts w:ascii="宋体" w:hAnsi="宋体" w:cs="宋体"/>
          <w:b/>
          <w:bCs/>
          <w:color w:val="auto"/>
          <w:kern w:val="44"/>
          <w:sz w:val="44"/>
          <w:szCs w:val="44"/>
          <w:highlight w:val="none"/>
        </w:rPr>
      </w:pPr>
    </w:p>
    <w:p>
      <w:pPr>
        <w:spacing w:line="540" w:lineRule="exact"/>
        <w:rPr>
          <w:rFonts w:ascii="宋体" w:hAnsi="宋体" w:cs="宋体"/>
          <w:b/>
          <w:bCs/>
          <w:color w:val="auto"/>
          <w:kern w:val="44"/>
          <w:sz w:val="44"/>
          <w:szCs w:val="44"/>
          <w:highlight w:val="none"/>
        </w:rPr>
      </w:pPr>
    </w:p>
    <w:p>
      <w:pPr>
        <w:spacing w:line="540" w:lineRule="exact"/>
        <w:rPr>
          <w:rFonts w:ascii="宋体" w:hAnsi="宋体" w:cs="宋体"/>
          <w:b/>
          <w:bCs/>
          <w:color w:val="auto"/>
          <w:kern w:val="44"/>
          <w:sz w:val="44"/>
          <w:szCs w:val="44"/>
          <w:highlight w:val="none"/>
        </w:rPr>
      </w:pPr>
    </w:p>
    <w:p>
      <w:pPr>
        <w:spacing w:line="540" w:lineRule="exact"/>
        <w:rPr>
          <w:rFonts w:ascii="宋体" w:hAnsi="宋体" w:cs="宋体"/>
          <w:b/>
          <w:bCs/>
          <w:color w:val="auto"/>
          <w:kern w:val="44"/>
          <w:sz w:val="44"/>
          <w:szCs w:val="44"/>
          <w:highlight w:val="none"/>
        </w:rPr>
      </w:pPr>
    </w:p>
    <w:p>
      <w:pPr>
        <w:spacing w:line="540" w:lineRule="exact"/>
        <w:rPr>
          <w:rFonts w:ascii="宋体" w:hAnsi="宋体" w:cs="宋体"/>
          <w:b/>
          <w:bCs/>
          <w:color w:val="auto"/>
          <w:kern w:val="44"/>
          <w:sz w:val="44"/>
          <w:szCs w:val="44"/>
          <w:highlight w:val="none"/>
        </w:rPr>
      </w:pPr>
    </w:p>
    <w:p>
      <w:pPr>
        <w:spacing w:line="540" w:lineRule="exact"/>
        <w:rPr>
          <w:rFonts w:ascii="宋体" w:hAnsi="宋体" w:cs="宋体"/>
          <w:b/>
          <w:bCs/>
          <w:color w:val="auto"/>
          <w:kern w:val="44"/>
          <w:sz w:val="44"/>
          <w:szCs w:val="44"/>
          <w:highlight w:val="none"/>
        </w:rPr>
      </w:pPr>
    </w:p>
    <w:p>
      <w:pPr>
        <w:spacing w:line="540" w:lineRule="exact"/>
        <w:rPr>
          <w:rFonts w:ascii="宋体" w:hAnsi="宋体" w:cs="宋体"/>
          <w:b/>
          <w:bCs/>
          <w:color w:val="auto"/>
          <w:kern w:val="44"/>
          <w:sz w:val="44"/>
          <w:szCs w:val="44"/>
          <w:highlight w:val="none"/>
        </w:rPr>
      </w:pPr>
    </w:p>
    <w:p>
      <w:pPr>
        <w:pStyle w:val="3"/>
        <w:jc w:val="center"/>
        <w:rPr>
          <w:rFonts w:ascii="宋体" w:hAnsi="宋体" w:cs="宋体"/>
          <w:color w:val="auto"/>
          <w:highlight w:val="none"/>
        </w:rPr>
      </w:pPr>
      <w:bookmarkStart w:id="1167" w:name="_Toc466470821"/>
      <w:bookmarkStart w:id="1168" w:name="_Toc466470951"/>
      <w:r>
        <w:rPr>
          <w:rFonts w:hint="eastAsia" w:ascii="宋体" w:hAnsi="宋体" w:cs="宋体"/>
          <w:color w:val="auto"/>
          <w:highlight w:val="none"/>
        </w:rPr>
        <w:t>第七章  投标文件格式</w:t>
      </w:r>
      <w:bookmarkEnd w:id="1144"/>
      <w:bookmarkEnd w:id="1145"/>
      <w:bookmarkEnd w:id="1146"/>
      <w:bookmarkEnd w:id="1147"/>
      <w:bookmarkEnd w:id="1148"/>
      <w:bookmarkEnd w:id="1149"/>
      <w:bookmarkEnd w:id="1150"/>
      <w:bookmarkEnd w:id="1167"/>
      <w:bookmarkEnd w:id="1168"/>
    </w:p>
    <w:p>
      <w:pPr>
        <w:spacing w:line="400" w:lineRule="exact"/>
        <w:jc w:val="right"/>
        <w:rPr>
          <w:rFonts w:ascii="宋体" w:hAnsi="宋体" w:cs="宋体"/>
          <w:color w:val="auto"/>
          <w:sz w:val="22"/>
          <w:szCs w:val="22"/>
          <w:highlight w:val="none"/>
        </w:rPr>
      </w:pPr>
      <w:r>
        <w:rPr>
          <w:rFonts w:hint="eastAsia" w:ascii="宋体" w:hAnsi="宋体" w:cs="宋体"/>
          <w:color w:val="auto"/>
          <w:sz w:val="22"/>
          <w:szCs w:val="22"/>
          <w:highlight w:val="none"/>
        </w:rPr>
        <w:t>正（副）本</w:t>
      </w:r>
    </w:p>
    <w:p>
      <w:pPr>
        <w:spacing w:line="360" w:lineRule="auto"/>
        <w:ind w:firstLine="643" w:firstLineChars="200"/>
        <w:rPr>
          <w:rFonts w:ascii="宋体" w:hAnsi="宋体" w:cs="宋体"/>
          <w:b/>
          <w:color w:val="auto"/>
          <w:sz w:val="32"/>
          <w:szCs w:val="32"/>
          <w:highlight w:val="none"/>
          <w:u w:val="single"/>
        </w:rPr>
      </w:pPr>
      <w:r>
        <w:rPr>
          <w:rFonts w:hint="eastAsia" w:ascii="宋体" w:hAnsi="宋体" w:cs="宋体"/>
          <w:b/>
          <w:color w:val="auto"/>
          <w:sz w:val="32"/>
          <w:szCs w:val="32"/>
          <w:highlight w:val="none"/>
          <w:u w:val="single"/>
        </w:rPr>
        <w:t xml:space="preserve">                        </w:t>
      </w:r>
      <w:r>
        <w:rPr>
          <w:rFonts w:hint="eastAsia" w:ascii="宋体" w:hAnsi="宋体" w:cs="宋体"/>
          <w:b/>
          <w:color w:val="auto"/>
          <w:sz w:val="32"/>
          <w:szCs w:val="32"/>
          <w:highlight w:val="none"/>
        </w:rPr>
        <w:t>（项目名称）</w:t>
      </w:r>
    </w:p>
    <w:p>
      <w:pPr>
        <w:spacing w:line="360" w:lineRule="auto"/>
        <w:ind w:firstLine="420" w:firstLineChars="200"/>
        <w:rPr>
          <w:rFonts w:ascii="宋体" w:hAnsi="宋体" w:cs="宋体"/>
          <w:color w:val="auto"/>
          <w:szCs w:val="21"/>
          <w:highlight w:val="none"/>
        </w:rPr>
      </w:pPr>
    </w:p>
    <w:p>
      <w:pPr>
        <w:spacing w:line="360" w:lineRule="auto"/>
        <w:ind w:firstLine="1440" w:firstLineChars="200"/>
        <w:jc w:val="center"/>
        <w:rPr>
          <w:rFonts w:ascii="宋体" w:hAnsi="宋体" w:cs="宋体"/>
          <w:color w:val="auto"/>
          <w:sz w:val="72"/>
          <w:szCs w:val="72"/>
          <w:highlight w:val="none"/>
        </w:rPr>
      </w:pPr>
      <w:r>
        <w:rPr>
          <w:rFonts w:hint="eastAsia" w:ascii="宋体" w:hAnsi="宋体" w:cs="宋体"/>
          <w:color w:val="auto"/>
          <w:sz w:val="72"/>
          <w:szCs w:val="72"/>
          <w:highlight w:val="none"/>
        </w:rPr>
        <w:t>投 标 文 件</w:t>
      </w:r>
    </w:p>
    <w:p>
      <w:pPr>
        <w:spacing w:line="360" w:lineRule="auto"/>
        <w:ind w:firstLine="420" w:firstLineChars="200"/>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90" w:lineRule="exact"/>
        <w:jc w:val="center"/>
        <w:rPr>
          <w:rFonts w:hint="eastAsia" w:ascii="宋体" w:hAnsi="宋体" w:eastAsia="宋体" w:cs="宋体"/>
          <w:b/>
          <w:bCs/>
          <w:color w:val="auto"/>
          <w:sz w:val="24"/>
          <w:highlight w:val="none"/>
          <w:lang w:eastAsia="zh-CN"/>
        </w:rPr>
      </w:pPr>
      <w:r>
        <w:rPr>
          <w:rFonts w:hint="eastAsia" w:ascii="宋体" w:hAnsi="宋体" w:cs="宋体"/>
          <w:b/>
          <w:color w:val="auto"/>
          <w:sz w:val="28"/>
          <w:szCs w:val="28"/>
          <w:highlight w:val="none"/>
        </w:rPr>
        <w:t xml:space="preserve">      </w:t>
      </w:r>
      <w:r>
        <w:rPr>
          <w:rFonts w:hint="eastAsia" w:ascii="宋体" w:hAnsi="宋体" w:cs="宋体"/>
          <w:b/>
          <w:bCs/>
          <w:color w:val="auto"/>
          <w:sz w:val="20"/>
          <w:szCs w:val="20"/>
          <w:highlight w:val="none"/>
        </w:rPr>
        <w:t xml:space="preserve"> </w:t>
      </w:r>
      <w:r>
        <w:rPr>
          <w:rFonts w:hint="eastAsia" w:ascii="宋体" w:hAnsi="宋体" w:cs="宋体"/>
          <w:b/>
          <w:bCs/>
          <w:color w:val="auto"/>
          <w:sz w:val="24"/>
          <w:highlight w:val="none"/>
        </w:rPr>
        <w:t>项目编号：</w:t>
      </w:r>
      <w:r>
        <w:rPr>
          <w:rFonts w:hint="eastAsia" w:ascii="宋体" w:hAnsi="宋体" w:cs="宋体"/>
          <w:b/>
          <w:bCs/>
          <w:color w:val="auto"/>
          <w:sz w:val="24"/>
          <w:highlight w:val="none"/>
          <w:lang w:eastAsia="zh-CN"/>
        </w:rPr>
        <w:t>温交易【20</w:t>
      </w:r>
      <w:r>
        <w:rPr>
          <w:rFonts w:hint="eastAsia" w:ascii="宋体" w:hAnsi="宋体" w:cs="宋体"/>
          <w:b/>
          <w:bCs/>
          <w:color w:val="auto"/>
          <w:sz w:val="24"/>
          <w:highlight w:val="none"/>
          <w:lang w:val="en-US" w:eastAsia="zh-CN"/>
        </w:rPr>
        <w:t>20</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26</w:t>
      </w:r>
      <w:r>
        <w:rPr>
          <w:rFonts w:hint="eastAsia" w:ascii="宋体" w:hAnsi="宋体" w:cs="宋体"/>
          <w:b/>
          <w:bCs/>
          <w:color w:val="auto"/>
          <w:sz w:val="24"/>
          <w:highlight w:val="none"/>
          <w:lang w:eastAsia="zh-CN"/>
        </w:rPr>
        <w:t>号</w:t>
      </w:r>
    </w:p>
    <w:p>
      <w:pPr>
        <w:widowControl/>
        <w:spacing w:before="100" w:beforeAutospacing="1" w:after="100" w:afterAutospacing="1" w:line="300" w:lineRule="auto"/>
        <w:rPr>
          <w:rFonts w:ascii="宋体" w:hAnsi="宋体" w:cs="宋体"/>
          <w:b/>
          <w:color w:val="auto"/>
          <w:sz w:val="28"/>
          <w:szCs w:val="28"/>
          <w:highlight w:val="none"/>
        </w:rPr>
      </w:pPr>
      <w:r>
        <w:rPr>
          <w:rFonts w:hint="eastAsia" w:ascii="宋体" w:hAnsi="宋体" w:cs="宋体"/>
          <w:b/>
          <w:bCs/>
          <w:color w:val="auto"/>
          <w:sz w:val="24"/>
          <w:highlight w:val="none"/>
        </w:rPr>
        <w:t xml:space="preserve"> </w:t>
      </w:r>
      <w:r>
        <w:rPr>
          <w:rFonts w:hint="eastAsia" w:ascii="宋体" w:hAnsi="宋体" w:cs="宋体"/>
          <w:b/>
          <w:bCs/>
          <w:color w:val="auto"/>
          <w:sz w:val="24"/>
          <w:highlight w:val="none"/>
          <w:lang w:val="en-US" w:eastAsia="zh-CN"/>
        </w:rPr>
        <w:t xml:space="preserve">                       </w:t>
      </w:r>
      <w:r>
        <w:rPr>
          <w:rFonts w:hint="eastAsia" w:ascii="宋体" w:hAnsi="宋体" w:cs="宋体"/>
          <w:b/>
          <w:bCs/>
          <w:color w:val="auto"/>
          <w:sz w:val="24"/>
          <w:highlight w:val="none"/>
        </w:rPr>
        <w:t>采购编号：</w:t>
      </w:r>
      <w:r>
        <w:rPr>
          <w:rFonts w:hint="eastAsia" w:ascii="宋体" w:hAnsi="宋体" w:cs="宋体"/>
          <w:b/>
          <w:bCs/>
          <w:color w:val="auto"/>
          <w:sz w:val="24"/>
          <w:highlight w:val="none"/>
          <w:lang w:eastAsia="zh-CN"/>
        </w:rPr>
        <w:t>温政采【20</w:t>
      </w:r>
      <w:r>
        <w:rPr>
          <w:rFonts w:hint="eastAsia" w:ascii="宋体" w:hAnsi="宋体" w:cs="宋体"/>
          <w:b/>
          <w:bCs/>
          <w:color w:val="auto"/>
          <w:sz w:val="24"/>
          <w:highlight w:val="none"/>
          <w:lang w:val="en-US" w:eastAsia="zh-CN"/>
        </w:rPr>
        <w:t>20</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-03-16</w:t>
      </w:r>
      <w:r>
        <w:rPr>
          <w:rFonts w:hint="eastAsia" w:ascii="宋体" w:hAnsi="宋体" w:cs="宋体"/>
          <w:b/>
          <w:bCs/>
          <w:color w:val="auto"/>
          <w:sz w:val="24"/>
          <w:highlight w:val="none"/>
          <w:lang w:eastAsia="zh-CN"/>
        </w:rPr>
        <w:t>号</w:t>
      </w:r>
    </w:p>
    <w:p>
      <w:pPr>
        <w:spacing w:line="360" w:lineRule="auto"/>
        <w:ind w:firstLine="420" w:firstLineChars="200"/>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 xml:space="preserve">            投标人：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（盖单位章）</w:t>
      </w:r>
    </w:p>
    <w:p>
      <w:pPr>
        <w:spacing w:line="360" w:lineRule="auto"/>
        <w:ind w:firstLine="560" w:firstLineChars="200"/>
        <w:rPr>
          <w:rFonts w:ascii="宋体" w:hAnsi="宋体" w:cs="宋体"/>
          <w:color w:val="auto"/>
          <w:sz w:val="28"/>
          <w:szCs w:val="28"/>
          <w:highlight w:val="none"/>
        </w:rPr>
      </w:pPr>
    </w:p>
    <w:p>
      <w:pPr>
        <w:spacing w:line="360" w:lineRule="auto"/>
        <w:ind w:firstLine="1960" w:firstLineChars="700"/>
        <w:rPr>
          <w:rFonts w:ascii="宋体" w:hAnsi="宋体" w:cs="宋体"/>
          <w:color w:val="auto"/>
          <w:sz w:val="28"/>
          <w:szCs w:val="28"/>
          <w:highlight w:val="none"/>
        </w:rPr>
      </w:pPr>
      <w:r>
        <w:rPr>
          <w:rFonts w:hint="eastAsia" w:ascii="宋体" w:hAnsi="宋体" w:cs="宋体"/>
          <w:color w:val="auto"/>
          <w:sz w:val="28"/>
          <w:szCs w:val="28"/>
          <w:highlight w:val="none"/>
        </w:rPr>
        <w:t>法定代表人或其委托代理人：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（签字）</w:t>
      </w:r>
    </w:p>
    <w:p>
      <w:pPr>
        <w:spacing w:line="360" w:lineRule="auto"/>
        <w:jc w:val="center"/>
        <w:rPr>
          <w:rFonts w:ascii="宋体" w:hAnsi="宋体" w:cs="宋体"/>
          <w:color w:val="auto"/>
          <w:szCs w:val="21"/>
          <w:highlight w:val="none"/>
          <w:u w:val="single"/>
        </w:rPr>
      </w:pPr>
    </w:p>
    <w:p>
      <w:pPr>
        <w:spacing w:line="360" w:lineRule="auto"/>
        <w:jc w:val="center"/>
        <w:rPr>
          <w:rFonts w:ascii="宋体" w:hAnsi="宋体" w:cs="宋体"/>
          <w:color w:val="auto"/>
          <w:sz w:val="28"/>
          <w:szCs w:val="28"/>
          <w:highlight w:val="none"/>
        </w:rPr>
      </w:pPr>
      <w:r>
        <w:rPr>
          <w:rFonts w:hint="eastAsia" w:ascii="宋体" w:hAnsi="宋体" w:cs="宋体"/>
          <w:color w:val="auto"/>
          <w:szCs w:val="21"/>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pPr>
        <w:spacing w:line="360" w:lineRule="auto"/>
        <w:jc w:val="center"/>
        <w:rPr>
          <w:rFonts w:ascii="宋体" w:hAnsi="宋体" w:cs="宋体"/>
          <w:color w:val="auto"/>
          <w:sz w:val="20"/>
          <w:szCs w:val="20"/>
          <w:highlight w:val="none"/>
        </w:rPr>
      </w:pPr>
    </w:p>
    <w:p>
      <w:pPr>
        <w:pStyle w:val="18"/>
      </w:pPr>
    </w:p>
    <w:p>
      <w:pPr>
        <w:pStyle w:val="4"/>
        <w:jc w:val="center"/>
        <w:rPr>
          <w:rFonts w:ascii="宋体" w:hAnsi="宋体" w:eastAsia="宋体" w:cs="宋体"/>
          <w:color w:val="auto"/>
          <w:highlight w:val="none"/>
        </w:rPr>
      </w:pPr>
      <w:bookmarkStart w:id="1169" w:name="_Toc144974856"/>
      <w:bookmarkStart w:id="1170" w:name="_Toc179632807"/>
      <w:bookmarkStart w:id="1171" w:name="_Toc246996355"/>
      <w:bookmarkStart w:id="1172" w:name="_Toc246997098"/>
      <w:bookmarkStart w:id="1173" w:name="_Toc247085873"/>
      <w:bookmarkStart w:id="1174" w:name="_Toc466470822"/>
      <w:bookmarkStart w:id="1175" w:name="_Toc466470952"/>
      <w:bookmarkStart w:id="1176" w:name="_Toc152042576"/>
      <w:bookmarkStart w:id="1177" w:name="_Toc152045787"/>
      <w:r>
        <w:rPr>
          <w:rFonts w:hint="eastAsia" w:ascii="宋体" w:hAnsi="宋体" w:eastAsia="宋体" w:cs="宋体"/>
          <w:color w:val="auto"/>
          <w:highlight w:val="none"/>
        </w:rPr>
        <w:t>目    录</w:t>
      </w:r>
      <w:bookmarkEnd w:id="1169"/>
      <w:bookmarkEnd w:id="1170"/>
      <w:bookmarkEnd w:id="1171"/>
      <w:bookmarkEnd w:id="1172"/>
      <w:bookmarkEnd w:id="1173"/>
      <w:bookmarkEnd w:id="1174"/>
      <w:bookmarkEnd w:id="1175"/>
      <w:bookmarkEnd w:id="1176"/>
      <w:bookmarkEnd w:id="1177"/>
    </w:p>
    <w:p>
      <w:pPr>
        <w:spacing w:line="540" w:lineRule="exact"/>
        <w:rPr>
          <w:rFonts w:ascii="宋体" w:hAnsi="宋体" w:cs="宋体"/>
          <w:color w:val="auto"/>
          <w:highlight w:val="none"/>
        </w:rPr>
      </w:pPr>
    </w:p>
    <w:p>
      <w:pPr>
        <w:spacing w:line="540" w:lineRule="exact"/>
        <w:rPr>
          <w:rFonts w:ascii="宋体" w:hAnsi="宋体" w:cs="宋体"/>
          <w:color w:val="auto"/>
          <w:highlight w:val="none"/>
        </w:rPr>
      </w:pPr>
      <w:r>
        <w:rPr>
          <w:rFonts w:hint="eastAsia" w:ascii="宋体" w:hAnsi="宋体" w:cs="宋体"/>
          <w:color w:val="auto"/>
          <w:highlight w:val="none"/>
        </w:rPr>
        <w:t>一、投标函及投标函附录</w:t>
      </w:r>
    </w:p>
    <w:p>
      <w:pPr>
        <w:spacing w:line="540" w:lineRule="exact"/>
        <w:rPr>
          <w:rFonts w:ascii="宋体" w:hAnsi="宋体" w:cs="宋体"/>
          <w:color w:val="auto"/>
          <w:highlight w:val="none"/>
        </w:rPr>
      </w:pPr>
      <w:r>
        <w:rPr>
          <w:rFonts w:hint="eastAsia" w:ascii="宋体" w:hAnsi="宋体" w:cs="宋体"/>
          <w:color w:val="auto"/>
          <w:highlight w:val="none"/>
        </w:rPr>
        <w:t>二、法定代表人身份证明</w:t>
      </w:r>
    </w:p>
    <w:p>
      <w:pPr>
        <w:spacing w:line="540" w:lineRule="exact"/>
        <w:rPr>
          <w:rFonts w:ascii="宋体" w:hAnsi="宋体" w:cs="宋体"/>
          <w:color w:val="auto"/>
          <w:highlight w:val="none"/>
        </w:rPr>
      </w:pPr>
      <w:r>
        <w:rPr>
          <w:rFonts w:hint="eastAsia" w:ascii="宋体" w:hAnsi="宋体" w:cs="宋体"/>
          <w:color w:val="auto"/>
          <w:highlight w:val="none"/>
        </w:rPr>
        <w:t>三、授权委托书</w:t>
      </w:r>
    </w:p>
    <w:p>
      <w:pPr>
        <w:spacing w:line="540" w:lineRule="exact"/>
        <w:rPr>
          <w:rFonts w:ascii="宋体" w:hAnsi="宋体" w:cs="宋体"/>
          <w:color w:val="auto"/>
          <w:highlight w:val="none"/>
        </w:rPr>
      </w:pPr>
      <w:r>
        <w:rPr>
          <w:rFonts w:hint="eastAsia" w:ascii="宋体" w:hAnsi="宋体" w:cs="宋体"/>
          <w:color w:val="auto"/>
          <w:highlight w:val="none"/>
        </w:rPr>
        <w:t xml:space="preserve">四、投标保证金 </w:t>
      </w:r>
    </w:p>
    <w:p>
      <w:pPr>
        <w:spacing w:line="540" w:lineRule="exact"/>
        <w:rPr>
          <w:rFonts w:ascii="宋体" w:hAnsi="宋体" w:cs="宋体"/>
          <w:color w:val="auto"/>
          <w:highlight w:val="none"/>
        </w:rPr>
      </w:pPr>
      <w:r>
        <w:rPr>
          <w:rFonts w:hint="eastAsia" w:ascii="宋体" w:hAnsi="宋体" w:cs="宋体"/>
          <w:color w:val="auto"/>
          <w:highlight w:val="none"/>
        </w:rPr>
        <w:t>五、已标价工程量清单</w:t>
      </w:r>
    </w:p>
    <w:p>
      <w:pPr>
        <w:spacing w:line="540" w:lineRule="exact"/>
        <w:rPr>
          <w:rFonts w:ascii="宋体" w:hAnsi="宋体" w:cs="宋体"/>
          <w:color w:val="auto"/>
          <w:highlight w:val="none"/>
        </w:rPr>
      </w:pPr>
      <w:r>
        <w:rPr>
          <w:rFonts w:hint="eastAsia" w:ascii="宋体" w:hAnsi="宋体" w:cs="宋体"/>
          <w:color w:val="auto"/>
          <w:highlight w:val="none"/>
        </w:rPr>
        <w:t>六、施工组织设计</w:t>
      </w:r>
    </w:p>
    <w:p>
      <w:pPr>
        <w:spacing w:line="540" w:lineRule="exact"/>
        <w:rPr>
          <w:rFonts w:ascii="宋体" w:hAnsi="宋体" w:cs="宋体"/>
          <w:color w:val="auto"/>
          <w:highlight w:val="none"/>
        </w:rPr>
      </w:pPr>
      <w:r>
        <w:rPr>
          <w:rFonts w:hint="eastAsia" w:ascii="宋体" w:hAnsi="宋体" w:cs="宋体"/>
          <w:color w:val="auto"/>
          <w:highlight w:val="none"/>
        </w:rPr>
        <w:t>七、项目管理机构</w:t>
      </w:r>
    </w:p>
    <w:p>
      <w:pPr>
        <w:spacing w:line="540" w:lineRule="exact"/>
        <w:rPr>
          <w:rFonts w:ascii="宋体" w:hAnsi="宋体" w:cs="宋体"/>
          <w:color w:val="auto"/>
          <w:highlight w:val="none"/>
        </w:rPr>
      </w:pPr>
      <w:r>
        <w:rPr>
          <w:rFonts w:hint="eastAsia" w:ascii="宋体" w:hAnsi="宋体" w:cs="宋体"/>
          <w:color w:val="auto"/>
          <w:highlight w:val="none"/>
        </w:rPr>
        <w:t>八、资格审查资料</w:t>
      </w:r>
    </w:p>
    <w:p>
      <w:pPr>
        <w:spacing w:line="540" w:lineRule="exact"/>
        <w:rPr>
          <w:rFonts w:ascii="宋体" w:hAnsi="宋体" w:cs="宋体"/>
          <w:color w:val="auto"/>
          <w:highlight w:val="none"/>
        </w:rPr>
      </w:pPr>
      <w:r>
        <w:rPr>
          <w:rFonts w:hint="eastAsia" w:ascii="宋体" w:hAnsi="宋体" w:cs="宋体"/>
          <w:color w:val="auto"/>
          <w:highlight w:val="none"/>
        </w:rPr>
        <w:t>九、承诺书</w:t>
      </w:r>
    </w:p>
    <w:p>
      <w:pPr>
        <w:spacing w:line="540" w:lineRule="exact"/>
        <w:rPr>
          <w:rFonts w:ascii="宋体" w:hAnsi="宋体" w:cs="宋体"/>
          <w:color w:val="auto"/>
          <w:highlight w:val="none"/>
        </w:rPr>
      </w:pPr>
      <w:r>
        <w:rPr>
          <w:rFonts w:hint="eastAsia" w:ascii="宋体" w:hAnsi="宋体" w:cs="宋体"/>
          <w:color w:val="auto"/>
          <w:highlight w:val="none"/>
        </w:rPr>
        <w:t>十、廉政建设承诺书</w:t>
      </w:r>
    </w:p>
    <w:p>
      <w:pPr>
        <w:spacing w:line="540" w:lineRule="exact"/>
        <w:rPr>
          <w:rFonts w:ascii="宋体" w:hAnsi="宋体" w:cs="宋体"/>
          <w:color w:val="auto"/>
          <w:highlight w:val="none"/>
        </w:rPr>
      </w:pPr>
      <w:r>
        <w:rPr>
          <w:rFonts w:hint="eastAsia" w:ascii="宋体" w:hAnsi="宋体" w:cs="宋体"/>
          <w:color w:val="auto"/>
          <w:highlight w:val="none"/>
        </w:rPr>
        <w:t>十一、无行贿犯罪记录承诺书</w:t>
      </w:r>
    </w:p>
    <w:p>
      <w:pPr>
        <w:spacing w:line="540" w:lineRule="exact"/>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spacing w:line="540" w:lineRule="exact"/>
        <w:rPr>
          <w:rFonts w:ascii="宋体" w:hAnsi="宋体" w:cs="宋体"/>
          <w:color w:val="auto"/>
          <w:sz w:val="20"/>
          <w:szCs w:val="20"/>
          <w:highlight w:val="none"/>
        </w:rPr>
      </w:pPr>
    </w:p>
    <w:p>
      <w:pPr>
        <w:spacing w:line="540" w:lineRule="exact"/>
        <w:rPr>
          <w:rFonts w:ascii="宋体" w:hAnsi="宋体" w:cs="宋体"/>
          <w:color w:val="auto"/>
          <w:sz w:val="20"/>
          <w:szCs w:val="20"/>
          <w:highlight w:val="none"/>
        </w:rPr>
      </w:pPr>
    </w:p>
    <w:p>
      <w:pPr>
        <w:spacing w:line="540" w:lineRule="exact"/>
        <w:rPr>
          <w:rFonts w:ascii="宋体" w:hAnsi="宋体" w:cs="宋体"/>
          <w:color w:val="auto"/>
          <w:sz w:val="20"/>
          <w:szCs w:val="20"/>
          <w:highlight w:val="none"/>
        </w:rPr>
      </w:pPr>
    </w:p>
    <w:p>
      <w:pPr>
        <w:spacing w:line="540" w:lineRule="exact"/>
        <w:rPr>
          <w:rFonts w:ascii="宋体" w:hAnsi="宋体" w:cs="宋体"/>
          <w:color w:val="auto"/>
          <w:sz w:val="20"/>
          <w:szCs w:val="20"/>
          <w:highlight w:val="none"/>
        </w:rPr>
      </w:pPr>
    </w:p>
    <w:p>
      <w:pPr>
        <w:spacing w:line="540" w:lineRule="exact"/>
        <w:rPr>
          <w:rFonts w:ascii="宋体" w:hAnsi="宋体" w:cs="宋体"/>
          <w:color w:val="auto"/>
          <w:sz w:val="20"/>
          <w:szCs w:val="20"/>
          <w:highlight w:val="none"/>
        </w:rPr>
      </w:pPr>
    </w:p>
    <w:p>
      <w:pPr>
        <w:pStyle w:val="4"/>
        <w:jc w:val="center"/>
        <w:rPr>
          <w:rFonts w:ascii="宋体" w:hAnsi="宋体" w:eastAsia="宋体" w:cs="宋体"/>
          <w:color w:val="auto"/>
          <w:highlight w:val="none"/>
        </w:rPr>
      </w:pPr>
      <w:bookmarkStart w:id="1178" w:name="_Toc144974857"/>
      <w:bookmarkStart w:id="1179" w:name="_Toc466470953"/>
      <w:bookmarkStart w:id="1180" w:name="_Toc246996356"/>
      <w:bookmarkStart w:id="1181" w:name="_Toc179632808"/>
      <w:bookmarkStart w:id="1182" w:name="_Toc152045788"/>
      <w:bookmarkStart w:id="1183" w:name="_Toc246997099"/>
      <w:bookmarkStart w:id="1184" w:name="_Toc247085874"/>
      <w:bookmarkStart w:id="1185" w:name="_Toc466470823"/>
      <w:bookmarkStart w:id="1186" w:name="_Toc152042577"/>
      <w:r>
        <w:rPr>
          <w:rFonts w:hint="eastAsia" w:ascii="宋体" w:hAnsi="宋体" w:eastAsia="宋体" w:cs="宋体"/>
          <w:color w:val="auto"/>
          <w:highlight w:val="none"/>
        </w:rPr>
        <w:t>一、投标函及投标函附录</w:t>
      </w:r>
      <w:bookmarkEnd w:id="1178"/>
      <w:bookmarkEnd w:id="1179"/>
      <w:bookmarkEnd w:id="1180"/>
      <w:bookmarkEnd w:id="1181"/>
      <w:bookmarkEnd w:id="1182"/>
      <w:bookmarkEnd w:id="1183"/>
      <w:bookmarkEnd w:id="1184"/>
      <w:bookmarkEnd w:id="1185"/>
      <w:bookmarkEnd w:id="1186"/>
    </w:p>
    <w:p>
      <w:pPr>
        <w:pStyle w:val="5"/>
        <w:jc w:val="center"/>
        <w:rPr>
          <w:rFonts w:ascii="宋体" w:hAnsi="宋体" w:cs="宋体"/>
          <w:color w:val="auto"/>
          <w:highlight w:val="none"/>
        </w:rPr>
      </w:pPr>
      <w:bookmarkStart w:id="1187" w:name="_Toc246997100"/>
      <w:bookmarkStart w:id="1188" w:name="_Toc144974858"/>
      <w:bookmarkStart w:id="1189" w:name="_Toc466470954"/>
      <w:bookmarkStart w:id="1190" w:name="_Toc246996357"/>
      <w:bookmarkStart w:id="1191" w:name="_Toc179632809"/>
      <w:bookmarkStart w:id="1192" w:name="_Toc247085875"/>
      <w:bookmarkStart w:id="1193" w:name="_Toc152045789"/>
      <w:bookmarkStart w:id="1194" w:name="_Toc152042578"/>
      <w:bookmarkStart w:id="1195" w:name="_Toc466470824"/>
      <w:r>
        <w:rPr>
          <w:rFonts w:hint="eastAsia" w:ascii="宋体" w:hAnsi="宋体" w:cs="宋体"/>
          <w:color w:val="auto"/>
          <w:highlight w:val="none"/>
        </w:rPr>
        <w:t>（一）投标函</w:t>
      </w:r>
      <w:bookmarkEnd w:id="1187"/>
      <w:bookmarkEnd w:id="1188"/>
      <w:bookmarkEnd w:id="1189"/>
      <w:bookmarkEnd w:id="1190"/>
      <w:bookmarkEnd w:id="1191"/>
      <w:bookmarkEnd w:id="1192"/>
      <w:bookmarkEnd w:id="1193"/>
      <w:bookmarkEnd w:id="1194"/>
      <w:bookmarkEnd w:id="1195"/>
    </w:p>
    <w:p>
      <w:pPr>
        <w:spacing w:line="440" w:lineRule="exact"/>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（招标人名称）：</w:t>
      </w:r>
    </w:p>
    <w:p>
      <w:pPr>
        <w:spacing w:line="440" w:lineRule="exact"/>
        <w:rPr>
          <w:rFonts w:ascii="宋体" w:hAnsi="宋体" w:cs="宋体"/>
          <w:color w:val="auto"/>
          <w:szCs w:val="21"/>
          <w:highlight w:val="none"/>
        </w:rPr>
      </w:pP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1．我方已仔细研究了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（项目名称）招标文件的全部内容，愿意以人民币（大写）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）的投标总报价。</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天，按合同约定实施和完成承包工程，修补工程中的任何缺陷，工程质量达到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2．我方承诺在招标文件规定的投标有效期内不修改、撤销投标文件。</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3．随同本投标函提交投标保证金一份，金额为人民币（大写）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4．如我方中标：</w:t>
      </w:r>
    </w:p>
    <w:p>
      <w:pPr>
        <w:spacing w:line="440" w:lineRule="exact"/>
        <w:ind w:firstLine="718" w:firstLineChars="342"/>
        <w:rPr>
          <w:rFonts w:ascii="宋体" w:hAnsi="宋体" w:cs="宋体"/>
          <w:color w:val="auto"/>
          <w:szCs w:val="21"/>
          <w:highlight w:val="none"/>
        </w:rPr>
      </w:pPr>
      <w:r>
        <w:rPr>
          <w:rFonts w:hint="eastAsia" w:ascii="宋体" w:hAnsi="宋体" w:cs="宋体"/>
          <w:color w:val="auto"/>
          <w:szCs w:val="21"/>
          <w:highlight w:val="none"/>
        </w:rPr>
        <w:t>（1）我方承诺在收到中标通知书后，在中标通知书规定的期限内与你方签订合同。</w:t>
      </w:r>
    </w:p>
    <w:p>
      <w:pPr>
        <w:spacing w:line="440" w:lineRule="exact"/>
        <w:ind w:firstLine="718" w:firstLineChars="342"/>
        <w:rPr>
          <w:rFonts w:ascii="宋体" w:hAnsi="宋体" w:cs="宋体"/>
          <w:color w:val="auto"/>
          <w:szCs w:val="21"/>
          <w:highlight w:val="none"/>
        </w:rPr>
      </w:pPr>
      <w:r>
        <w:rPr>
          <w:rFonts w:hint="eastAsia" w:ascii="宋体" w:hAnsi="宋体" w:cs="宋体"/>
          <w:color w:val="auto"/>
          <w:szCs w:val="21"/>
          <w:highlight w:val="none"/>
        </w:rPr>
        <w:t>（2）随同本投标函递交的投标函附录属于合同文件的组成部分。</w:t>
      </w:r>
    </w:p>
    <w:p>
      <w:pPr>
        <w:spacing w:line="440" w:lineRule="exact"/>
        <w:ind w:firstLine="718" w:firstLineChars="342"/>
        <w:rPr>
          <w:rFonts w:ascii="宋体" w:hAnsi="宋体" w:cs="宋体"/>
          <w:color w:val="auto"/>
          <w:szCs w:val="21"/>
          <w:highlight w:val="none"/>
        </w:rPr>
      </w:pPr>
      <w:r>
        <w:rPr>
          <w:rFonts w:hint="eastAsia" w:ascii="宋体" w:hAnsi="宋体" w:cs="宋体"/>
          <w:color w:val="auto"/>
          <w:szCs w:val="21"/>
          <w:highlight w:val="none"/>
        </w:rPr>
        <w:t>（3）我方承诺在合同约定的期限内完成并移交全部合同工程。</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highlight w:val="none"/>
        </w:rPr>
        <w:t>我方在此声明，所递交的投标文件及有关资料内容完整、真实和准确，且不存在第二章“投标人须知”第1.4.2项和第1.4.3项规定的任何一种情形。</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（其他补充说明）。</w:t>
      </w:r>
    </w:p>
    <w:p>
      <w:pPr>
        <w:spacing w:line="440" w:lineRule="exact"/>
        <w:rPr>
          <w:rFonts w:ascii="宋体" w:hAnsi="宋体" w:cs="宋体"/>
          <w:color w:val="auto"/>
          <w:szCs w:val="21"/>
          <w:highlight w:val="none"/>
        </w:rPr>
      </w:pPr>
    </w:p>
    <w:p>
      <w:pPr>
        <w:spacing w:line="440" w:lineRule="exact"/>
        <w:ind w:firstLine="3675" w:firstLineChars="1750"/>
        <w:rPr>
          <w:rFonts w:ascii="宋体" w:hAnsi="宋体" w:cs="宋体"/>
          <w:color w:val="auto"/>
          <w:szCs w:val="21"/>
          <w:highlight w:val="none"/>
        </w:rPr>
      </w:pPr>
      <w:r>
        <w:rPr>
          <w:rFonts w:hint="eastAsia" w:ascii="宋体" w:hAnsi="宋体" w:cs="宋体"/>
          <w:color w:val="auto"/>
          <w:szCs w:val="21"/>
          <w:highlight w:val="none"/>
        </w:rPr>
        <w:t>投 标 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pPr>
        <w:spacing w:line="440" w:lineRule="exact"/>
        <w:ind w:firstLine="3675" w:firstLineChars="1750"/>
        <w:rPr>
          <w:rFonts w:ascii="宋体" w:hAnsi="宋体" w:cs="宋体"/>
          <w:color w:val="auto"/>
          <w:szCs w:val="21"/>
          <w:highlight w:val="non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pPr>
        <w:spacing w:line="440" w:lineRule="exact"/>
        <w:ind w:firstLine="3675" w:firstLineChars="1750"/>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 xml:space="preserve">                                     </w:t>
      </w:r>
    </w:p>
    <w:p>
      <w:pPr>
        <w:spacing w:line="440" w:lineRule="exact"/>
        <w:ind w:firstLine="3675" w:firstLineChars="1750"/>
        <w:rPr>
          <w:rFonts w:ascii="宋体" w:hAnsi="宋体" w:cs="宋体"/>
          <w:color w:val="auto"/>
          <w:szCs w:val="21"/>
          <w:highlight w:val="none"/>
        </w:rPr>
      </w:pPr>
      <w:r>
        <w:rPr>
          <w:rFonts w:hint="eastAsia" w:ascii="宋体" w:hAnsi="宋体" w:cs="宋体"/>
          <w:color w:val="auto"/>
          <w:szCs w:val="21"/>
          <w:highlight w:val="none"/>
        </w:rPr>
        <w:t>网址：</w:t>
      </w:r>
      <w:r>
        <w:rPr>
          <w:rFonts w:hint="eastAsia" w:ascii="宋体" w:hAnsi="宋体" w:cs="宋体"/>
          <w:color w:val="auto"/>
          <w:szCs w:val="21"/>
          <w:highlight w:val="none"/>
          <w:u w:val="single"/>
        </w:rPr>
        <w:t xml:space="preserve">                                     </w:t>
      </w:r>
    </w:p>
    <w:p>
      <w:pPr>
        <w:spacing w:line="440" w:lineRule="exact"/>
        <w:ind w:firstLine="3675" w:firstLineChars="1750"/>
        <w:rPr>
          <w:rFonts w:ascii="宋体" w:hAnsi="宋体" w:cs="宋体"/>
          <w:color w:val="auto"/>
          <w:szCs w:val="21"/>
          <w:highlight w:val="none"/>
        </w:rPr>
      </w:pPr>
      <w:r>
        <w:rPr>
          <w:rFonts w:hint="eastAsia" w:ascii="宋体" w:hAnsi="宋体" w:cs="宋体"/>
          <w:color w:val="auto"/>
          <w:szCs w:val="21"/>
          <w:highlight w:val="none"/>
        </w:rPr>
        <w:t>电话：</w:t>
      </w:r>
      <w:r>
        <w:rPr>
          <w:rFonts w:hint="eastAsia" w:ascii="宋体" w:hAnsi="宋体" w:cs="宋体"/>
          <w:color w:val="auto"/>
          <w:szCs w:val="21"/>
          <w:highlight w:val="none"/>
          <w:u w:val="single"/>
        </w:rPr>
        <w:t xml:space="preserve">                                     </w:t>
      </w:r>
    </w:p>
    <w:p>
      <w:pPr>
        <w:spacing w:line="440" w:lineRule="exact"/>
        <w:ind w:firstLine="3675" w:firstLineChars="1750"/>
        <w:rPr>
          <w:rFonts w:ascii="宋体" w:hAnsi="宋体" w:cs="宋体"/>
          <w:color w:val="auto"/>
          <w:szCs w:val="21"/>
          <w:highlight w:val="none"/>
        </w:rPr>
      </w:pPr>
      <w:r>
        <w:rPr>
          <w:rFonts w:hint="eastAsia" w:ascii="宋体" w:hAnsi="宋体" w:cs="宋体"/>
          <w:color w:val="auto"/>
          <w:szCs w:val="21"/>
          <w:highlight w:val="none"/>
        </w:rPr>
        <w:t>传真：</w:t>
      </w:r>
      <w:r>
        <w:rPr>
          <w:rFonts w:hint="eastAsia" w:ascii="宋体" w:hAnsi="宋体" w:cs="宋体"/>
          <w:color w:val="auto"/>
          <w:szCs w:val="21"/>
          <w:highlight w:val="none"/>
          <w:u w:val="single"/>
        </w:rPr>
        <w:t xml:space="preserve">                                     </w:t>
      </w:r>
    </w:p>
    <w:p>
      <w:pPr>
        <w:spacing w:line="440" w:lineRule="exact"/>
        <w:ind w:firstLine="3675" w:firstLineChars="1750"/>
        <w:rPr>
          <w:rFonts w:ascii="宋体" w:hAnsi="宋体" w:cs="宋体"/>
          <w:color w:val="auto"/>
          <w:szCs w:val="21"/>
          <w:highlight w:val="non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w:t>
      </w:r>
    </w:p>
    <w:p>
      <w:pPr>
        <w:spacing w:line="440" w:lineRule="exact"/>
        <w:ind w:firstLine="5040" w:firstLineChars="2400"/>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p>
    <w:p>
      <w:pPr>
        <w:spacing w:line="440" w:lineRule="exact"/>
        <w:rPr>
          <w:rFonts w:ascii="宋体" w:hAnsi="宋体" w:cs="宋体"/>
          <w:color w:val="auto"/>
          <w:sz w:val="20"/>
          <w:szCs w:val="20"/>
          <w:highlight w:val="none"/>
        </w:rPr>
      </w:pPr>
    </w:p>
    <w:p>
      <w:pPr>
        <w:pStyle w:val="5"/>
        <w:jc w:val="center"/>
        <w:rPr>
          <w:rFonts w:ascii="宋体" w:hAnsi="宋体" w:cs="宋体"/>
          <w:color w:val="auto"/>
          <w:highlight w:val="none"/>
        </w:rPr>
      </w:pPr>
      <w:bookmarkStart w:id="1196" w:name="_Toc179632810"/>
      <w:bookmarkStart w:id="1197" w:name="_Toc466470955"/>
      <w:bookmarkStart w:id="1198" w:name="_Toc152042579"/>
      <w:bookmarkStart w:id="1199" w:name="_Toc246997101"/>
      <w:bookmarkStart w:id="1200" w:name="_Toc144974859"/>
      <w:bookmarkStart w:id="1201" w:name="_Toc246996358"/>
      <w:bookmarkStart w:id="1202" w:name="_Toc247085876"/>
      <w:bookmarkStart w:id="1203" w:name="_Toc152045790"/>
      <w:bookmarkStart w:id="1204" w:name="_Toc466470825"/>
      <w:r>
        <w:rPr>
          <w:rFonts w:hint="eastAsia" w:ascii="宋体" w:hAnsi="宋体" w:cs="宋体"/>
          <w:color w:val="auto"/>
          <w:highlight w:val="none"/>
        </w:rPr>
        <w:t>（二）投标函附录</w:t>
      </w:r>
      <w:bookmarkEnd w:id="1196"/>
      <w:bookmarkEnd w:id="1197"/>
      <w:bookmarkEnd w:id="1198"/>
      <w:bookmarkEnd w:id="1199"/>
      <w:bookmarkEnd w:id="1200"/>
      <w:bookmarkEnd w:id="1201"/>
      <w:bookmarkEnd w:id="1202"/>
      <w:bookmarkEnd w:id="1203"/>
      <w:bookmarkEnd w:id="1204"/>
    </w:p>
    <w:p>
      <w:pPr>
        <w:spacing w:line="440" w:lineRule="exact"/>
        <w:rPr>
          <w:rFonts w:ascii="宋体" w:hAnsi="宋体" w:cs="宋体"/>
          <w:color w:val="auto"/>
          <w:sz w:val="20"/>
          <w:szCs w:val="20"/>
          <w:highlight w:val="none"/>
        </w:rPr>
      </w:pPr>
    </w:p>
    <w:tbl>
      <w:tblPr>
        <w:tblStyle w:val="15"/>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2337"/>
        <w:gridCol w:w="2161"/>
        <w:gridCol w:w="2702"/>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pPr>
              <w:spacing w:line="440" w:lineRule="exact"/>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2337" w:type="dxa"/>
            <w:vAlign w:val="center"/>
          </w:tcPr>
          <w:p>
            <w:pPr>
              <w:spacing w:line="440" w:lineRule="exact"/>
              <w:jc w:val="center"/>
              <w:rPr>
                <w:rFonts w:ascii="宋体" w:hAnsi="宋体" w:cs="宋体"/>
                <w:b/>
                <w:color w:val="auto"/>
                <w:szCs w:val="21"/>
                <w:highlight w:val="none"/>
              </w:rPr>
            </w:pPr>
            <w:r>
              <w:rPr>
                <w:rFonts w:hint="eastAsia" w:ascii="宋体" w:hAnsi="宋体" w:cs="宋体"/>
                <w:b/>
                <w:color w:val="auto"/>
                <w:szCs w:val="21"/>
                <w:highlight w:val="none"/>
              </w:rPr>
              <w:t>条款名称</w:t>
            </w:r>
          </w:p>
        </w:tc>
        <w:tc>
          <w:tcPr>
            <w:tcW w:w="2161" w:type="dxa"/>
            <w:vAlign w:val="center"/>
          </w:tcPr>
          <w:p>
            <w:pPr>
              <w:spacing w:line="440" w:lineRule="exact"/>
              <w:jc w:val="center"/>
              <w:rPr>
                <w:rFonts w:ascii="宋体" w:hAnsi="宋体" w:cs="宋体"/>
                <w:b/>
                <w:color w:val="auto"/>
                <w:szCs w:val="21"/>
                <w:highlight w:val="none"/>
              </w:rPr>
            </w:pPr>
            <w:r>
              <w:rPr>
                <w:rFonts w:hint="eastAsia" w:ascii="宋体" w:hAnsi="宋体" w:cs="宋体"/>
                <w:b/>
                <w:color w:val="auto"/>
                <w:szCs w:val="21"/>
                <w:highlight w:val="none"/>
              </w:rPr>
              <w:t>合同条款号</w:t>
            </w:r>
          </w:p>
        </w:tc>
        <w:tc>
          <w:tcPr>
            <w:tcW w:w="2702" w:type="dxa"/>
            <w:vAlign w:val="center"/>
          </w:tcPr>
          <w:p>
            <w:pPr>
              <w:spacing w:line="440" w:lineRule="exact"/>
              <w:jc w:val="center"/>
              <w:rPr>
                <w:rFonts w:ascii="宋体" w:hAnsi="宋体" w:cs="宋体"/>
                <w:b/>
                <w:color w:val="auto"/>
                <w:szCs w:val="21"/>
                <w:highlight w:val="none"/>
              </w:rPr>
            </w:pPr>
            <w:r>
              <w:rPr>
                <w:rFonts w:hint="eastAsia" w:ascii="宋体" w:hAnsi="宋体" w:cs="宋体"/>
                <w:b/>
                <w:color w:val="auto"/>
                <w:szCs w:val="21"/>
                <w:highlight w:val="none"/>
              </w:rPr>
              <w:t>约定内容</w:t>
            </w:r>
          </w:p>
        </w:tc>
        <w:tc>
          <w:tcPr>
            <w:tcW w:w="718" w:type="dxa"/>
            <w:vAlign w:val="center"/>
          </w:tcPr>
          <w:p>
            <w:pPr>
              <w:spacing w:line="440" w:lineRule="exact"/>
              <w:jc w:val="center"/>
              <w:rPr>
                <w:rFonts w:ascii="宋体" w:hAnsi="宋体" w:cs="宋体"/>
                <w:b/>
                <w:color w:val="auto"/>
                <w:szCs w:val="21"/>
                <w:highlight w:val="none"/>
              </w:rPr>
            </w:pPr>
            <w:r>
              <w:rPr>
                <w:rFonts w:hint="eastAsia" w:ascii="宋体" w:hAnsi="宋体" w:cs="宋体"/>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2337" w:type="dxa"/>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项目经理</w:t>
            </w:r>
          </w:p>
        </w:tc>
        <w:tc>
          <w:tcPr>
            <w:tcW w:w="2161" w:type="dxa"/>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1.1.2.4</w:t>
            </w:r>
          </w:p>
        </w:tc>
        <w:tc>
          <w:tcPr>
            <w:tcW w:w="2702" w:type="dxa"/>
            <w:vAlign w:val="center"/>
          </w:tcPr>
          <w:p>
            <w:pPr>
              <w:spacing w:line="440" w:lineRule="exact"/>
              <w:rPr>
                <w:rFonts w:ascii="宋体" w:hAnsi="宋体" w:cs="宋体"/>
                <w:color w:val="auto"/>
                <w:szCs w:val="21"/>
                <w:highlight w:val="none"/>
                <w:u w:val="single"/>
              </w:rPr>
            </w:pPr>
            <w:r>
              <w:rPr>
                <w:rFonts w:hint="eastAsia" w:ascii="宋体" w:hAnsi="宋体" w:cs="宋体"/>
                <w:color w:val="auto"/>
                <w:szCs w:val="21"/>
                <w:highlight w:val="none"/>
              </w:rPr>
              <w:t>姓名：</w:t>
            </w:r>
            <w:r>
              <w:rPr>
                <w:rFonts w:hint="eastAsia" w:ascii="宋体" w:hAnsi="宋体" w:cs="宋体"/>
                <w:color w:val="auto"/>
                <w:szCs w:val="21"/>
                <w:highlight w:val="none"/>
                <w:u w:val="single"/>
              </w:rPr>
              <w:t xml:space="preserve">           </w:t>
            </w:r>
          </w:p>
        </w:tc>
        <w:tc>
          <w:tcPr>
            <w:tcW w:w="718" w:type="dxa"/>
            <w:vAlign w:val="center"/>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2337" w:type="dxa"/>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工期</w:t>
            </w:r>
          </w:p>
        </w:tc>
        <w:tc>
          <w:tcPr>
            <w:tcW w:w="2161" w:type="dxa"/>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1.1.4.3</w:t>
            </w:r>
          </w:p>
        </w:tc>
        <w:tc>
          <w:tcPr>
            <w:tcW w:w="2702" w:type="dxa"/>
            <w:vAlign w:val="center"/>
          </w:tcPr>
          <w:p>
            <w:pPr>
              <w:spacing w:line="440" w:lineRule="exact"/>
              <w:rPr>
                <w:rFonts w:ascii="宋体" w:hAnsi="宋体" w:cs="宋体"/>
                <w:color w:val="auto"/>
                <w:szCs w:val="21"/>
                <w:highlight w:val="none"/>
                <w:u w:val="single"/>
              </w:rPr>
            </w:pPr>
            <w:r>
              <w:rPr>
                <w:rFonts w:hint="eastAsia" w:ascii="宋体" w:hAnsi="宋体" w:cs="宋体"/>
                <w:color w:val="auto"/>
                <w:szCs w:val="21"/>
                <w:highlight w:val="none"/>
              </w:rPr>
              <w:t>天数：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日历天</w:t>
            </w:r>
          </w:p>
        </w:tc>
        <w:tc>
          <w:tcPr>
            <w:tcW w:w="718" w:type="dxa"/>
            <w:vAlign w:val="center"/>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2337" w:type="dxa"/>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缺陷责任期</w:t>
            </w:r>
          </w:p>
        </w:tc>
        <w:tc>
          <w:tcPr>
            <w:tcW w:w="2161" w:type="dxa"/>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1.1.4.5</w:t>
            </w:r>
          </w:p>
        </w:tc>
        <w:tc>
          <w:tcPr>
            <w:tcW w:w="2702" w:type="dxa"/>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24个月</w:t>
            </w:r>
          </w:p>
        </w:tc>
        <w:tc>
          <w:tcPr>
            <w:tcW w:w="718" w:type="dxa"/>
            <w:vAlign w:val="center"/>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2337" w:type="dxa"/>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2161" w:type="dxa"/>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2702" w:type="dxa"/>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718" w:type="dxa"/>
            <w:vAlign w:val="center"/>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2337" w:type="dxa"/>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2161" w:type="dxa"/>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2702" w:type="dxa"/>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718" w:type="dxa"/>
            <w:vAlign w:val="center"/>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2337" w:type="dxa"/>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2161" w:type="dxa"/>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2702" w:type="dxa"/>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718" w:type="dxa"/>
            <w:vAlign w:val="center"/>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2337" w:type="dxa"/>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2161" w:type="dxa"/>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2702" w:type="dxa"/>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718" w:type="dxa"/>
            <w:vAlign w:val="center"/>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2337" w:type="dxa"/>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2161" w:type="dxa"/>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2702" w:type="dxa"/>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718" w:type="dxa"/>
            <w:vAlign w:val="center"/>
          </w:tcPr>
          <w:p>
            <w:pPr>
              <w:spacing w:line="440" w:lineRule="exact"/>
              <w:jc w:val="center"/>
              <w:rPr>
                <w:rFonts w:ascii="宋体" w:hAnsi="宋体" w:cs="宋体"/>
                <w:color w:val="auto"/>
                <w:szCs w:val="21"/>
                <w:highlight w:val="none"/>
              </w:rPr>
            </w:pPr>
          </w:p>
        </w:tc>
      </w:tr>
    </w:tbl>
    <w:p>
      <w:pPr>
        <w:spacing w:line="440" w:lineRule="exact"/>
        <w:ind w:left="840" w:leftChars="400" w:firstLine="2200" w:firstLineChars="1100"/>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pStyle w:val="4"/>
        <w:jc w:val="center"/>
        <w:rPr>
          <w:rFonts w:ascii="宋体" w:hAnsi="宋体" w:eastAsia="宋体" w:cs="宋体"/>
          <w:color w:val="auto"/>
          <w:highlight w:val="none"/>
        </w:rPr>
      </w:pPr>
      <w:bookmarkStart w:id="1205" w:name="_Toc144974860"/>
      <w:bookmarkStart w:id="1206" w:name="_Toc466470826"/>
      <w:bookmarkStart w:id="1207" w:name="_Toc246996359"/>
      <w:bookmarkStart w:id="1208" w:name="_Toc152045791"/>
      <w:bookmarkStart w:id="1209" w:name="_Toc152042580"/>
      <w:bookmarkStart w:id="1210" w:name="_Toc179632811"/>
      <w:bookmarkStart w:id="1211" w:name="_Toc247085877"/>
      <w:bookmarkStart w:id="1212" w:name="_Toc466470956"/>
      <w:bookmarkStart w:id="1213" w:name="_Toc246997102"/>
      <w:r>
        <w:rPr>
          <w:rFonts w:hint="eastAsia" w:ascii="宋体" w:hAnsi="宋体" w:eastAsia="宋体" w:cs="宋体"/>
          <w:color w:val="auto"/>
          <w:highlight w:val="none"/>
        </w:rPr>
        <w:t>二、法定代表人身份证明</w:t>
      </w:r>
      <w:bookmarkEnd w:id="1205"/>
      <w:bookmarkEnd w:id="1206"/>
      <w:bookmarkEnd w:id="1207"/>
      <w:bookmarkEnd w:id="1208"/>
      <w:bookmarkEnd w:id="1209"/>
      <w:bookmarkEnd w:id="1210"/>
      <w:bookmarkEnd w:id="1211"/>
      <w:bookmarkEnd w:id="1212"/>
      <w:bookmarkEnd w:id="1213"/>
    </w:p>
    <w:p>
      <w:pPr>
        <w:spacing w:line="440" w:lineRule="exact"/>
        <w:rPr>
          <w:rFonts w:ascii="宋体" w:hAnsi="宋体" w:cs="宋体"/>
          <w:color w:val="auto"/>
          <w:sz w:val="20"/>
          <w:szCs w:val="20"/>
          <w:highlight w:val="none"/>
        </w:rPr>
      </w:pPr>
    </w:p>
    <w:p>
      <w:pPr>
        <w:spacing w:line="440" w:lineRule="exact"/>
        <w:rPr>
          <w:rFonts w:ascii="宋体" w:hAnsi="宋体" w:cs="宋体"/>
          <w:color w:val="auto"/>
          <w:szCs w:val="21"/>
          <w:highlight w:val="none"/>
        </w:rPr>
      </w:pPr>
    </w:p>
    <w:p>
      <w:pPr>
        <w:spacing w:line="440" w:lineRule="exact"/>
        <w:rPr>
          <w:rFonts w:ascii="宋体" w:hAnsi="宋体" w:cs="宋体"/>
          <w:color w:val="auto"/>
          <w:szCs w:val="21"/>
          <w:highlight w:val="none"/>
        </w:rPr>
      </w:pPr>
      <w:r>
        <w:rPr>
          <w:rFonts w:hint="eastAsia" w:ascii="宋体" w:hAnsi="宋体" w:cs="宋体"/>
          <w:color w:val="auto"/>
          <w:szCs w:val="21"/>
          <w:highlight w:val="none"/>
        </w:rPr>
        <w:t>投标人名称：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单位性质：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 xml:space="preserve">                                   </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成立时间：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经营期限：</w:t>
      </w:r>
      <w:r>
        <w:rPr>
          <w:rFonts w:hint="eastAsia" w:ascii="宋体" w:hAnsi="宋体" w:cs="宋体"/>
          <w:color w:val="auto"/>
          <w:szCs w:val="21"/>
          <w:highlight w:val="none"/>
          <w:u w:val="single"/>
        </w:rPr>
        <w:t xml:space="preserve">                               </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姓名：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性别：</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职务：</w:t>
      </w:r>
      <w:r>
        <w:rPr>
          <w:rFonts w:hint="eastAsia" w:ascii="宋体" w:hAnsi="宋体" w:cs="宋体"/>
          <w:color w:val="auto"/>
          <w:szCs w:val="21"/>
          <w:highlight w:val="none"/>
          <w:u w:val="single"/>
        </w:rPr>
        <w:t xml:space="preserve">        </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（投标人名称）的法定代表人。</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特此证明。</w:t>
      </w:r>
    </w:p>
    <w:p>
      <w:pPr>
        <w:spacing w:line="440" w:lineRule="exact"/>
        <w:rPr>
          <w:rFonts w:ascii="宋体" w:hAnsi="宋体" w:cs="宋体"/>
          <w:color w:val="auto"/>
          <w:szCs w:val="21"/>
          <w:highlight w:val="none"/>
        </w:rPr>
      </w:pPr>
    </w:p>
    <w:p>
      <w:pPr>
        <w:spacing w:line="440" w:lineRule="exact"/>
        <w:rPr>
          <w:rFonts w:ascii="宋体" w:hAnsi="宋体" w:cs="宋体"/>
          <w:color w:val="auto"/>
          <w:szCs w:val="21"/>
          <w:highlight w:val="none"/>
        </w:rPr>
      </w:pPr>
    </w:p>
    <w:p>
      <w:pPr>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                          投标人：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日           </w:t>
      </w: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pStyle w:val="4"/>
        <w:jc w:val="center"/>
        <w:rPr>
          <w:rFonts w:ascii="宋体" w:hAnsi="宋体" w:eastAsia="宋体" w:cs="宋体"/>
          <w:color w:val="auto"/>
          <w:highlight w:val="none"/>
        </w:rPr>
      </w:pPr>
      <w:bookmarkStart w:id="1214" w:name="_Toc152042581"/>
      <w:bookmarkStart w:id="1215" w:name="_Toc246997103"/>
      <w:bookmarkStart w:id="1216" w:name="_Toc246996360"/>
      <w:bookmarkStart w:id="1217" w:name="_Toc247085878"/>
      <w:bookmarkStart w:id="1218" w:name="_Toc144974861"/>
      <w:bookmarkStart w:id="1219" w:name="_Toc466470957"/>
      <w:bookmarkStart w:id="1220" w:name="_Toc179632812"/>
      <w:bookmarkStart w:id="1221" w:name="_Toc152045792"/>
      <w:bookmarkStart w:id="1222" w:name="_Toc466470827"/>
      <w:r>
        <w:rPr>
          <w:rFonts w:hint="eastAsia" w:ascii="宋体" w:hAnsi="宋体" w:eastAsia="宋体" w:cs="宋体"/>
          <w:color w:val="auto"/>
          <w:highlight w:val="none"/>
        </w:rPr>
        <w:t>三、授权委托书</w:t>
      </w:r>
      <w:bookmarkEnd w:id="1214"/>
      <w:bookmarkEnd w:id="1215"/>
      <w:bookmarkEnd w:id="1216"/>
      <w:bookmarkEnd w:id="1217"/>
      <w:bookmarkEnd w:id="1218"/>
      <w:bookmarkEnd w:id="1219"/>
      <w:bookmarkEnd w:id="1220"/>
      <w:bookmarkEnd w:id="1221"/>
      <w:bookmarkEnd w:id="1222"/>
    </w:p>
    <w:p>
      <w:pPr>
        <w:spacing w:line="440" w:lineRule="exact"/>
        <w:rPr>
          <w:rFonts w:ascii="宋体" w:hAnsi="宋体" w:cs="宋体"/>
          <w:color w:val="auto"/>
          <w:szCs w:val="21"/>
          <w:highlight w:val="none"/>
        </w:rPr>
      </w:pPr>
    </w:p>
    <w:p>
      <w:pPr>
        <w:topLinePunct/>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（投标人名称）的法定代表人，现委托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（姓名）为我方代理人。代理人根据授权，以我方名义签署、澄清、说明、补正、递交、撤回、修改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（项目名称） 投标文件、签订合同和处理有关事宜，其法律后果由我方承担。</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    委托期限：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代理人无转委托权。</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附：法定代表人身份证复印件加盖公章</w:t>
      </w:r>
    </w:p>
    <w:p>
      <w:pPr>
        <w:spacing w:line="440" w:lineRule="exact"/>
        <w:rPr>
          <w:rFonts w:ascii="宋体" w:hAnsi="宋体" w:cs="宋体"/>
          <w:color w:val="auto"/>
          <w:szCs w:val="21"/>
          <w:highlight w:val="none"/>
        </w:rPr>
      </w:pPr>
    </w:p>
    <w:p>
      <w:pPr>
        <w:spacing w:line="440" w:lineRule="exact"/>
        <w:rPr>
          <w:rFonts w:ascii="宋体" w:hAnsi="宋体" w:cs="宋体"/>
          <w:color w:val="auto"/>
          <w:szCs w:val="21"/>
          <w:highlight w:val="none"/>
        </w:rPr>
      </w:pPr>
    </w:p>
    <w:p>
      <w:pPr>
        <w:spacing w:line="440" w:lineRule="exact"/>
        <w:rPr>
          <w:rFonts w:ascii="宋体" w:hAnsi="宋体" w:cs="宋体"/>
          <w:color w:val="auto"/>
          <w:szCs w:val="21"/>
          <w:highlight w:val="none"/>
        </w:rPr>
      </w:pPr>
    </w:p>
    <w:p>
      <w:pPr>
        <w:spacing w:line="440" w:lineRule="exact"/>
        <w:rPr>
          <w:rFonts w:ascii="宋体" w:hAnsi="宋体" w:cs="宋体"/>
          <w:color w:val="auto"/>
          <w:szCs w:val="21"/>
          <w:highlight w:val="none"/>
        </w:rPr>
      </w:pPr>
    </w:p>
    <w:p>
      <w:pPr>
        <w:spacing w:line="440" w:lineRule="exact"/>
        <w:rPr>
          <w:rFonts w:ascii="宋体" w:hAnsi="宋体" w:cs="宋体"/>
          <w:color w:val="auto"/>
          <w:szCs w:val="21"/>
          <w:highlight w:val="none"/>
        </w:rPr>
      </w:pPr>
    </w:p>
    <w:p>
      <w:pPr>
        <w:spacing w:line="440" w:lineRule="exact"/>
        <w:rPr>
          <w:rFonts w:ascii="宋体" w:hAnsi="宋体" w:cs="宋体"/>
          <w:color w:val="auto"/>
          <w:szCs w:val="21"/>
          <w:highlight w:val="none"/>
        </w:rPr>
      </w:pPr>
    </w:p>
    <w:p>
      <w:pPr>
        <w:spacing w:line="440" w:lineRule="exact"/>
        <w:rPr>
          <w:rFonts w:ascii="宋体" w:hAnsi="宋体" w:cs="宋体"/>
          <w:color w:val="auto"/>
          <w:szCs w:val="21"/>
          <w:highlight w:val="none"/>
        </w:rPr>
      </w:pPr>
    </w:p>
    <w:p>
      <w:pPr>
        <w:spacing w:line="440" w:lineRule="exact"/>
        <w:rPr>
          <w:rFonts w:ascii="宋体" w:hAnsi="宋体" w:cs="宋体"/>
          <w:color w:val="auto"/>
          <w:szCs w:val="21"/>
          <w:highlight w:val="none"/>
        </w:rPr>
      </w:pPr>
      <w:r>
        <w:rPr>
          <w:rFonts w:hint="eastAsia" w:ascii="宋体" w:hAnsi="宋体" w:cs="宋体"/>
          <w:color w:val="auto"/>
          <w:szCs w:val="21"/>
          <w:highlight w:val="none"/>
        </w:rPr>
        <w:t>投标人：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pPr>
        <w:spacing w:line="440" w:lineRule="exact"/>
        <w:rPr>
          <w:rFonts w:ascii="宋体" w:hAnsi="宋体" w:cs="宋体"/>
          <w:color w:val="auto"/>
          <w:szCs w:val="21"/>
          <w:highlight w:val="none"/>
        </w:rPr>
      </w:pPr>
    </w:p>
    <w:p>
      <w:pPr>
        <w:spacing w:line="440" w:lineRule="exact"/>
        <w:rPr>
          <w:rFonts w:ascii="宋体" w:hAnsi="宋体" w:cs="宋体"/>
          <w:color w:val="auto"/>
          <w:szCs w:val="21"/>
          <w:highlight w:val="none"/>
        </w:rPr>
      </w:pPr>
      <w:r>
        <w:rPr>
          <w:rFonts w:hint="eastAsia" w:ascii="宋体" w:hAnsi="宋体" w:cs="宋体"/>
          <w:color w:val="auto"/>
          <w:szCs w:val="21"/>
          <w:highlight w:val="none"/>
        </w:rPr>
        <w:t>法定代表人：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pPr>
        <w:spacing w:line="440" w:lineRule="exact"/>
        <w:rPr>
          <w:rFonts w:ascii="宋体" w:hAnsi="宋体" w:cs="宋体"/>
          <w:color w:val="auto"/>
          <w:szCs w:val="21"/>
          <w:highlight w:val="none"/>
        </w:rPr>
      </w:pPr>
    </w:p>
    <w:p>
      <w:pPr>
        <w:spacing w:line="440" w:lineRule="exact"/>
        <w:rPr>
          <w:rFonts w:ascii="宋体" w:hAnsi="宋体" w:cs="宋体"/>
          <w:color w:val="auto"/>
          <w:szCs w:val="21"/>
          <w:highlight w:val="none"/>
        </w:rPr>
      </w:pPr>
      <w:r>
        <w:rPr>
          <w:rFonts w:hint="eastAsia" w:ascii="宋体" w:hAnsi="宋体" w:cs="宋体"/>
          <w:color w:val="auto"/>
          <w:szCs w:val="21"/>
          <w:highlight w:val="none"/>
        </w:rPr>
        <w:t>身份证号码：</w:t>
      </w:r>
      <w:r>
        <w:rPr>
          <w:rFonts w:hint="eastAsia" w:ascii="宋体" w:hAnsi="宋体" w:cs="宋体"/>
          <w:color w:val="auto"/>
          <w:szCs w:val="21"/>
          <w:highlight w:val="none"/>
          <w:u w:val="single"/>
        </w:rPr>
        <w:t xml:space="preserve">                                     </w:t>
      </w:r>
    </w:p>
    <w:p>
      <w:pPr>
        <w:spacing w:line="440" w:lineRule="exact"/>
        <w:rPr>
          <w:rFonts w:ascii="宋体" w:hAnsi="宋体" w:cs="宋体"/>
          <w:color w:val="auto"/>
          <w:szCs w:val="21"/>
          <w:highlight w:val="none"/>
        </w:rPr>
      </w:pPr>
    </w:p>
    <w:p>
      <w:pPr>
        <w:spacing w:line="440" w:lineRule="exact"/>
        <w:rPr>
          <w:rFonts w:ascii="宋体" w:hAnsi="宋体" w:cs="宋体"/>
          <w:color w:val="auto"/>
          <w:szCs w:val="21"/>
          <w:highlight w:val="none"/>
        </w:rPr>
      </w:pPr>
      <w:r>
        <w:rPr>
          <w:rFonts w:hint="eastAsia" w:ascii="宋体" w:hAnsi="宋体" w:cs="宋体"/>
          <w:color w:val="auto"/>
          <w:szCs w:val="21"/>
          <w:highlight w:val="none"/>
        </w:rPr>
        <w:t>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（签字） </w:t>
      </w:r>
    </w:p>
    <w:p>
      <w:pPr>
        <w:spacing w:line="440" w:lineRule="exact"/>
        <w:rPr>
          <w:rFonts w:ascii="宋体" w:hAnsi="宋体" w:cs="宋体"/>
          <w:color w:val="auto"/>
          <w:szCs w:val="21"/>
          <w:highlight w:val="none"/>
        </w:rPr>
      </w:pPr>
    </w:p>
    <w:p>
      <w:pPr>
        <w:spacing w:line="440" w:lineRule="exact"/>
        <w:rPr>
          <w:rFonts w:ascii="宋体" w:hAnsi="宋体" w:cs="宋体"/>
          <w:color w:val="auto"/>
          <w:szCs w:val="21"/>
          <w:highlight w:val="none"/>
        </w:rPr>
      </w:pPr>
      <w:r>
        <w:rPr>
          <w:rFonts w:hint="eastAsia" w:ascii="宋体" w:hAnsi="宋体" w:cs="宋体"/>
          <w:color w:val="auto"/>
          <w:szCs w:val="21"/>
          <w:highlight w:val="none"/>
        </w:rPr>
        <w:t>身份证号码：</w:t>
      </w:r>
      <w:r>
        <w:rPr>
          <w:rFonts w:hint="eastAsia" w:ascii="宋体" w:hAnsi="宋体" w:cs="宋体"/>
          <w:color w:val="auto"/>
          <w:szCs w:val="21"/>
          <w:highlight w:val="none"/>
          <w:u w:val="single"/>
        </w:rPr>
        <w:t xml:space="preserve">                                      </w:t>
      </w:r>
    </w:p>
    <w:p>
      <w:pPr>
        <w:spacing w:line="440" w:lineRule="exact"/>
        <w:rPr>
          <w:rFonts w:ascii="宋体" w:hAnsi="宋体" w:cs="宋体"/>
          <w:color w:val="auto"/>
          <w:szCs w:val="21"/>
          <w:highlight w:val="none"/>
        </w:rPr>
      </w:pPr>
    </w:p>
    <w:p>
      <w:pPr>
        <w:spacing w:line="440" w:lineRule="exact"/>
        <w:rPr>
          <w:rFonts w:ascii="宋体" w:hAnsi="宋体" w:cs="宋体"/>
          <w:color w:val="auto"/>
          <w:szCs w:val="21"/>
          <w:highlight w:val="none"/>
        </w:rPr>
      </w:pPr>
    </w:p>
    <w:p>
      <w:pPr>
        <w:spacing w:line="440" w:lineRule="exact"/>
        <w:ind w:firstLine="2310" w:firstLineChars="1100"/>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spacing w:line="400" w:lineRule="exact"/>
        <w:rPr>
          <w:rFonts w:ascii="宋体" w:hAnsi="宋体" w:cs="宋体"/>
          <w:color w:val="auto"/>
          <w:highlight w:val="none"/>
        </w:rPr>
      </w:pPr>
      <w:r>
        <w:rPr>
          <w:rFonts w:hint="eastAsia" w:ascii="宋体" w:hAnsi="宋体" w:cs="宋体"/>
          <w:color w:val="auto"/>
          <w:sz w:val="20"/>
          <w:szCs w:val="20"/>
          <w:highlight w:val="none"/>
        </w:rPr>
        <w:br w:type="page"/>
      </w:r>
    </w:p>
    <w:p>
      <w:pPr>
        <w:pStyle w:val="4"/>
        <w:jc w:val="center"/>
        <w:rPr>
          <w:rFonts w:ascii="宋体" w:hAnsi="宋体" w:eastAsia="宋体" w:cs="宋体"/>
          <w:color w:val="auto"/>
          <w:highlight w:val="none"/>
        </w:rPr>
      </w:pPr>
      <w:bookmarkStart w:id="1223" w:name="_Toc247085880"/>
      <w:bookmarkStart w:id="1224" w:name="_Toc246997105"/>
      <w:bookmarkStart w:id="1225" w:name="_Toc152042583"/>
      <w:bookmarkStart w:id="1226" w:name="_Toc144974862"/>
      <w:bookmarkStart w:id="1227" w:name="_Toc152045794"/>
      <w:bookmarkStart w:id="1228" w:name="_Toc246996362"/>
      <w:bookmarkStart w:id="1229" w:name="_Toc466470828"/>
      <w:bookmarkStart w:id="1230" w:name="_Toc179632814"/>
      <w:bookmarkStart w:id="1231" w:name="_Toc466470958"/>
      <w:r>
        <w:rPr>
          <w:rFonts w:hint="eastAsia" w:ascii="宋体" w:hAnsi="宋体" w:eastAsia="宋体" w:cs="宋体"/>
          <w:color w:val="auto"/>
          <w:highlight w:val="none"/>
        </w:rPr>
        <w:t>四、投标保证金</w:t>
      </w:r>
      <w:bookmarkEnd w:id="1223"/>
      <w:bookmarkEnd w:id="1224"/>
      <w:bookmarkEnd w:id="1225"/>
      <w:bookmarkEnd w:id="1226"/>
      <w:bookmarkEnd w:id="1227"/>
      <w:bookmarkEnd w:id="1228"/>
      <w:bookmarkEnd w:id="1229"/>
      <w:bookmarkEnd w:id="1230"/>
      <w:bookmarkEnd w:id="1231"/>
    </w:p>
    <w:p>
      <w:pPr>
        <w:spacing w:line="440" w:lineRule="exact"/>
        <w:rPr>
          <w:rFonts w:ascii="宋体" w:hAnsi="宋体" w:cs="宋体"/>
          <w:color w:val="auto"/>
          <w:szCs w:val="21"/>
          <w:highlight w:val="none"/>
        </w:rPr>
      </w:pPr>
    </w:p>
    <w:p>
      <w:pPr>
        <w:spacing w:line="440" w:lineRule="exact"/>
        <w:jc w:val="center"/>
        <w:rPr>
          <w:rFonts w:ascii="宋体" w:hAnsi="宋体" w:cs="宋体"/>
          <w:color w:val="auto"/>
          <w:sz w:val="27"/>
          <w:szCs w:val="27"/>
          <w:highlight w:val="none"/>
        </w:rPr>
      </w:pPr>
      <w:r>
        <w:rPr>
          <w:rFonts w:hint="eastAsia" w:ascii="宋体" w:hAnsi="宋体" w:cs="宋体"/>
          <w:b/>
          <w:color w:val="auto"/>
          <w:szCs w:val="21"/>
          <w:highlight w:val="none"/>
        </w:rPr>
        <w:t>银行转账凭证</w:t>
      </w:r>
      <w:r>
        <w:rPr>
          <w:rFonts w:hint="eastAsia" w:ascii="宋体" w:hAnsi="宋体" w:cs="宋体"/>
          <w:color w:val="auto"/>
          <w:sz w:val="20"/>
          <w:szCs w:val="20"/>
          <w:highlight w:val="none"/>
        </w:rPr>
        <w:br w:type="page"/>
      </w:r>
    </w:p>
    <w:p>
      <w:pPr>
        <w:pStyle w:val="4"/>
        <w:jc w:val="center"/>
        <w:rPr>
          <w:rFonts w:ascii="宋体" w:hAnsi="宋体" w:eastAsia="宋体" w:cs="宋体"/>
          <w:color w:val="auto"/>
          <w:highlight w:val="none"/>
        </w:rPr>
      </w:pPr>
      <w:bookmarkStart w:id="1232" w:name="_Toc466470959"/>
      <w:bookmarkStart w:id="1233" w:name="_Toc246997106"/>
      <w:bookmarkStart w:id="1234" w:name="_Toc246996363"/>
      <w:bookmarkStart w:id="1235" w:name="_Toc247085881"/>
      <w:bookmarkStart w:id="1236" w:name="_Toc144974863"/>
      <w:bookmarkStart w:id="1237" w:name="_Toc152042584"/>
      <w:bookmarkStart w:id="1238" w:name="_Toc179632815"/>
      <w:bookmarkStart w:id="1239" w:name="_Toc466470829"/>
      <w:bookmarkStart w:id="1240" w:name="_Toc152045795"/>
      <w:r>
        <w:rPr>
          <w:rFonts w:hint="eastAsia" w:ascii="宋体" w:hAnsi="宋体" w:eastAsia="宋体" w:cs="宋体"/>
          <w:color w:val="auto"/>
          <w:highlight w:val="none"/>
        </w:rPr>
        <w:t>五、已标价工程量清单</w:t>
      </w:r>
      <w:bookmarkEnd w:id="1232"/>
      <w:bookmarkEnd w:id="1233"/>
      <w:bookmarkEnd w:id="1234"/>
      <w:bookmarkEnd w:id="1235"/>
      <w:bookmarkEnd w:id="1236"/>
      <w:bookmarkEnd w:id="1237"/>
      <w:bookmarkEnd w:id="1238"/>
      <w:bookmarkEnd w:id="1239"/>
      <w:bookmarkEnd w:id="1240"/>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pStyle w:val="4"/>
        <w:jc w:val="center"/>
        <w:rPr>
          <w:rFonts w:ascii="宋体" w:hAnsi="宋体" w:eastAsia="宋体" w:cs="宋体"/>
          <w:color w:val="auto"/>
          <w:highlight w:val="none"/>
        </w:rPr>
      </w:pPr>
      <w:bookmarkStart w:id="1241" w:name="_Toc152042585"/>
      <w:bookmarkStart w:id="1242" w:name="_Toc179632816"/>
      <w:bookmarkStart w:id="1243" w:name="_Toc144974864"/>
      <w:bookmarkStart w:id="1244" w:name="_Toc152045796"/>
      <w:bookmarkStart w:id="1245" w:name="_Toc246996364"/>
      <w:bookmarkStart w:id="1246" w:name="_Toc246997107"/>
      <w:bookmarkStart w:id="1247" w:name="_Toc247085882"/>
      <w:bookmarkStart w:id="1248" w:name="_Toc466470960"/>
      <w:bookmarkStart w:id="1249" w:name="_Toc466470830"/>
      <w:r>
        <w:rPr>
          <w:rFonts w:hint="eastAsia" w:ascii="宋体" w:hAnsi="宋体" w:eastAsia="宋体" w:cs="宋体"/>
          <w:color w:val="auto"/>
          <w:highlight w:val="none"/>
        </w:rPr>
        <w:t>六、施工组织设计</w:t>
      </w:r>
      <w:bookmarkEnd w:id="1241"/>
      <w:bookmarkEnd w:id="1242"/>
      <w:bookmarkEnd w:id="1243"/>
      <w:bookmarkEnd w:id="1244"/>
      <w:bookmarkEnd w:id="1245"/>
      <w:bookmarkEnd w:id="1246"/>
      <w:bookmarkEnd w:id="1247"/>
      <w:bookmarkEnd w:id="1248"/>
      <w:bookmarkEnd w:id="1249"/>
    </w:p>
    <w:p>
      <w:pPr>
        <w:spacing w:line="440" w:lineRule="exact"/>
        <w:rPr>
          <w:rFonts w:ascii="宋体" w:hAnsi="宋体" w:cs="宋体"/>
          <w:color w:val="auto"/>
          <w:szCs w:val="21"/>
          <w:highlight w:val="none"/>
        </w:rPr>
      </w:pPr>
    </w:p>
    <w:p>
      <w:pPr>
        <w:tabs>
          <w:tab w:val="left" w:pos="720"/>
        </w:tabs>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 </w:t>
      </w:r>
      <w:r>
        <w:rPr>
          <w:rFonts w:hint="eastAsia" w:ascii="宋体" w:hAnsi="宋体" w:cs="宋体"/>
          <w:color w:val="auto"/>
          <w:szCs w:val="21"/>
          <w:highlight w:val="none"/>
        </w:rPr>
        <w:tab/>
      </w:r>
      <w:r>
        <w:rPr>
          <w:rFonts w:hint="eastAsia" w:ascii="宋体" w:hAnsi="宋体" w:cs="宋体"/>
          <w:color w:val="auto"/>
          <w:szCs w:val="21"/>
          <w:highlight w:val="none"/>
        </w:rPr>
        <w:t>投标人编制施工组织设计的要求：编制时应简明扼要地说明施工方法，工程质量、安全生产、文明施工、环境保护、冬雨季施工、工程进度、技术组织等主要措施。用图表形式阐明本项目的施工总平面、进度计划以及拟投入主要施工设备、劳动力、项目管理机构等。</w:t>
      </w:r>
    </w:p>
    <w:p>
      <w:pPr>
        <w:tabs>
          <w:tab w:val="left" w:pos="720"/>
        </w:tabs>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 图表及格式要求：</w:t>
      </w:r>
    </w:p>
    <w:p>
      <w:pPr>
        <w:tabs>
          <w:tab w:val="left" w:pos="720"/>
        </w:tabs>
        <w:spacing w:line="440" w:lineRule="exact"/>
        <w:ind w:firstLine="756" w:firstLineChars="360"/>
        <w:rPr>
          <w:rFonts w:ascii="宋体" w:hAnsi="宋体" w:cs="宋体"/>
          <w:color w:val="auto"/>
          <w:szCs w:val="21"/>
          <w:highlight w:val="none"/>
        </w:rPr>
      </w:pPr>
      <w:r>
        <w:rPr>
          <w:rFonts w:hint="eastAsia" w:ascii="宋体" w:hAnsi="宋体" w:cs="宋体"/>
          <w:color w:val="auto"/>
          <w:szCs w:val="21"/>
          <w:highlight w:val="none"/>
        </w:rPr>
        <w:t>附表一  拟投入的主要施工设备表</w:t>
      </w:r>
    </w:p>
    <w:p>
      <w:pPr>
        <w:tabs>
          <w:tab w:val="left" w:pos="720"/>
        </w:tabs>
        <w:spacing w:line="440" w:lineRule="exact"/>
        <w:ind w:firstLine="756" w:firstLineChars="360"/>
        <w:rPr>
          <w:rFonts w:ascii="宋体" w:hAnsi="宋体" w:cs="宋体"/>
          <w:color w:val="auto"/>
          <w:szCs w:val="21"/>
          <w:highlight w:val="none"/>
        </w:rPr>
      </w:pPr>
      <w:r>
        <w:rPr>
          <w:rFonts w:hint="eastAsia" w:ascii="宋体" w:hAnsi="宋体" w:cs="宋体"/>
          <w:color w:val="auto"/>
          <w:szCs w:val="21"/>
          <w:highlight w:val="none"/>
        </w:rPr>
        <w:t>附表二  劳动力计划表</w:t>
      </w:r>
    </w:p>
    <w:p>
      <w:pPr>
        <w:tabs>
          <w:tab w:val="left" w:pos="720"/>
        </w:tabs>
        <w:spacing w:line="440" w:lineRule="exact"/>
        <w:ind w:firstLine="756" w:firstLineChars="360"/>
        <w:rPr>
          <w:rFonts w:ascii="宋体" w:hAnsi="宋体" w:cs="宋体"/>
          <w:color w:val="auto"/>
          <w:szCs w:val="21"/>
          <w:highlight w:val="none"/>
        </w:rPr>
      </w:pPr>
      <w:r>
        <w:rPr>
          <w:rFonts w:hint="eastAsia" w:ascii="宋体" w:hAnsi="宋体" w:cs="宋体"/>
          <w:color w:val="auto"/>
          <w:szCs w:val="21"/>
          <w:highlight w:val="none"/>
        </w:rPr>
        <w:t>附表三  进度计划</w:t>
      </w:r>
    </w:p>
    <w:p>
      <w:pPr>
        <w:tabs>
          <w:tab w:val="left" w:pos="720"/>
        </w:tabs>
        <w:spacing w:line="440" w:lineRule="exact"/>
        <w:ind w:firstLine="756" w:firstLineChars="360"/>
        <w:rPr>
          <w:rFonts w:ascii="宋体" w:hAnsi="宋体" w:cs="宋体"/>
          <w:color w:val="auto"/>
          <w:szCs w:val="21"/>
          <w:highlight w:val="none"/>
        </w:rPr>
      </w:pPr>
      <w:r>
        <w:rPr>
          <w:rFonts w:hint="eastAsia" w:ascii="宋体" w:hAnsi="宋体" w:cs="宋体"/>
          <w:color w:val="auto"/>
          <w:szCs w:val="21"/>
          <w:highlight w:val="none"/>
        </w:rPr>
        <w:t>附表四  施工总平面图</w:t>
      </w:r>
    </w:p>
    <w:p>
      <w:pPr>
        <w:spacing w:line="440" w:lineRule="exact"/>
        <w:rPr>
          <w:rFonts w:ascii="宋体" w:hAnsi="宋体" w:cs="宋体"/>
          <w:color w:val="auto"/>
          <w:sz w:val="20"/>
          <w:szCs w:val="20"/>
          <w:highlight w:val="none"/>
        </w:rPr>
      </w:pPr>
      <w:r>
        <w:rPr>
          <w:rFonts w:hint="eastAsia" w:ascii="宋体" w:hAnsi="宋体" w:cs="宋体"/>
          <w:color w:val="auto"/>
          <w:sz w:val="20"/>
          <w:szCs w:val="20"/>
          <w:highlight w:val="none"/>
        </w:rPr>
        <w:br w:type="page"/>
      </w:r>
      <w:bookmarkStart w:id="1250" w:name="_Toc246996365"/>
      <w:bookmarkStart w:id="1251" w:name="_Toc152045797"/>
      <w:bookmarkStart w:id="1252" w:name="_Toc179632817"/>
      <w:bookmarkStart w:id="1253" w:name="_Toc466470961"/>
      <w:bookmarkStart w:id="1254" w:name="_Toc466470831"/>
      <w:bookmarkStart w:id="1255" w:name="_Toc246997108"/>
      <w:bookmarkStart w:id="1256" w:name="_Toc247085883"/>
      <w:bookmarkStart w:id="1257" w:name="_Toc152042586"/>
      <w:bookmarkStart w:id="1258" w:name="_Toc144974865"/>
    </w:p>
    <w:p>
      <w:pPr>
        <w:spacing w:line="440" w:lineRule="exact"/>
        <w:rPr>
          <w:rFonts w:ascii="宋体" w:hAnsi="宋体" w:cs="宋体"/>
          <w:color w:val="auto"/>
          <w:highlight w:val="none"/>
        </w:rPr>
      </w:pPr>
      <w:r>
        <w:rPr>
          <w:rFonts w:hint="eastAsia" w:ascii="宋体" w:hAnsi="宋体" w:cs="宋体"/>
          <w:b/>
          <w:bCs/>
          <w:color w:val="auto"/>
          <w:kern w:val="0"/>
          <w:sz w:val="32"/>
          <w:szCs w:val="32"/>
          <w:highlight w:val="none"/>
        </w:rPr>
        <w:t>附表一：拟投入本项目的主要施工设备表</w:t>
      </w:r>
      <w:bookmarkEnd w:id="1250"/>
      <w:bookmarkEnd w:id="1251"/>
      <w:bookmarkEnd w:id="1252"/>
      <w:bookmarkEnd w:id="1253"/>
      <w:bookmarkEnd w:id="1254"/>
      <w:bookmarkEnd w:id="1255"/>
      <w:bookmarkEnd w:id="1256"/>
      <w:bookmarkEnd w:id="1257"/>
      <w:bookmarkEnd w:id="1258"/>
    </w:p>
    <w:tbl>
      <w:tblPr>
        <w:tblStyle w:val="15"/>
        <w:tblW w:w="874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086"/>
        <w:gridCol w:w="761"/>
        <w:gridCol w:w="990"/>
        <w:gridCol w:w="672"/>
        <w:gridCol w:w="738"/>
        <w:gridCol w:w="1212"/>
        <w:gridCol w:w="874"/>
        <w:gridCol w:w="1055"/>
        <w:gridCol w:w="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序号</w:t>
            </w:r>
          </w:p>
        </w:tc>
        <w:tc>
          <w:tcPr>
            <w:tcW w:w="1086" w:type="dxa"/>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设备名称</w:t>
            </w:r>
          </w:p>
        </w:tc>
        <w:tc>
          <w:tcPr>
            <w:tcW w:w="761" w:type="dxa"/>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型号</w:t>
            </w:r>
          </w:p>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规格</w:t>
            </w:r>
          </w:p>
        </w:tc>
        <w:tc>
          <w:tcPr>
            <w:tcW w:w="990" w:type="dxa"/>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672" w:type="dxa"/>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国别</w:t>
            </w:r>
          </w:p>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产地</w:t>
            </w:r>
          </w:p>
        </w:tc>
        <w:tc>
          <w:tcPr>
            <w:tcW w:w="738" w:type="dxa"/>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制造</w:t>
            </w:r>
          </w:p>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年份</w:t>
            </w:r>
          </w:p>
        </w:tc>
        <w:tc>
          <w:tcPr>
            <w:tcW w:w="1212" w:type="dxa"/>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额定功率（kW）</w:t>
            </w:r>
          </w:p>
        </w:tc>
        <w:tc>
          <w:tcPr>
            <w:tcW w:w="874" w:type="dxa"/>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生产</w:t>
            </w:r>
          </w:p>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能力</w:t>
            </w:r>
          </w:p>
        </w:tc>
        <w:tc>
          <w:tcPr>
            <w:tcW w:w="1055" w:type="dxa"/>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用于施工部位</w:t>
            </w:r>
          </w:p>
        </w:tc>
        <w:tc>
          <w:tcPr>
            <w:tcW w:w="691" w:type="dxa"/>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pPr>
              <w:spacing w:line="440" w:lineRule="exact"/>
              <w:jc w:val="center"/>
              <w:rPr>
                <w:rFonts w:ascii="宋体" w:hAnsi="宋体" w:cs="宋体"/>
                <w:color w:val="auto"/>
                <w:szCs w:val="21"/>
                <w:highlight w:val="none"/>
              </w:rPr>
            </w:pPr>
          </w:p>
        </w:tc>
        <w:tc>
          <w:tcPr>
            <w:tcW w:w="1086" w:type="dxa"/>
            <w:vAlign w:val="center"/>
          </w:tcPr>
          <w:p>
            <w:pPr>
              <w:spacing w:line="440" w:lineRule="exact"/>
              <w:jc w:val="center"/>
              <w:rPr>
                <w:rFonts w:ascii="宋体" w:hAnsi="宋体" w:cs="宋体"/>
                <w:color w:val="auto"/>
                <w:szCs w:val="21"/>
                <w:highlight w:val="none"/>
              </w:rPr>
            </w:pPr>
          </w:p>
        </w:tc>
        <w:tc>
          <w:tcPr>
            <w:tcW w:w="761" w:type="dxa"/>
            <w:vAlign w:val="center"/>
          </w:tcPr>
          <w:p>
            <w:pPr>
              <w:spacing w:line="440" w:lineRule="exact"/>
              <w:jc w:val="center"/>
              <w:rPr>
                <w:rFonts w:ascii="宋体" w:hAnsi="宋体" w:cs="宋体"/>
                <w:color w:val="auto"/>
                <w:szCs w:val="21"/>
                <w:highlight w:val="none"/>
              </w:rPr>
            </w:pPr>
          </w:p>
        </w:tc>
        <w:tc>
          <w:tcPr>
            <w:tcW w:w="990" w:type="dxa"/>
            <w:vAlign w:val="center"/>
          </w:tcPr>
          <w:p>
            <w:pPr>
              <w:spacing w:line="440" w:lineRule="exact"/>
              <w:jc w:val="center"/>
              <w:rPr>
                <w:rFonts w:ascii="宋体" w:hAnsi="宋体" w:cs="宋体"/>
                <w:color w:val="auto"/>
                <w:szCs w:val="21"/>
                <w:highlight w:val="none"/>
              </w:rPr>
            </w:pPr>
          </w:p>
        </w:tc>
        <w:tc>
          <w:tcPr>
            <w:tcW w:w="672" w:type="dxa"/>
            <w:vAlign w:val="center"/>
          </w:tcPr>
          <w:p>
            <w:pPr>
              <w:spacing w:line="440" w:lineRule="exact"/>
              <w:jc w:val="center"/>
              <w:rPr>
                <w:rFonts w:ascii="宋体" w:hAnsi="宋体" w:cs="宋体"/>
                <w:color w:val="auto"/>
                <w:szCs w:val="21"/>
                <w:highlight w:val="none"/>
              </w:rPr>
            </w:pPr>
          </w:p>
        </w:tc>
        <w:tc>
          <w:tcPr>
            <w:tcW w:w="738" w:type="dxa"/>
            <w:vAlign w:val="center"/>
          </w:tcPr>
          <w:p>
            <w:pPr>
              <w:spacing w:line="440" w:lineRule="exact"/>
              <w:jc w:val="center"/>
              <w:rPr>
                <w:rFonts w:ascii="宋体" w:hAnsi="宋体" w:cs="宋体"/>
                <w:color w:val="auto"/>
                <w:szCs w:val="21"/>
                <w:highlight w:val="none"/>
              </w:rPr>
            </w:pPr>
          </w:p>
        </w:tc>
        <w:tc>
          <w:tcPr>
            <w:tcW w:w="1212" w:type="dxa"/>
            <w:vAlign w:val="center"/>
          </w:tcPr>
          <w:p>
            <w:pPr>
              <w:spacing w:line="440" w:lineRule="exact"/>
              <w:jc w:val="center"/>
              <w:rPr>
                <w:rFonts w:ascii="宋体" w:hAnsi="宋体" w:cs="宋体"/>
                <w:color w:val="auto"/>
                <w:szCs w:val="21"/>
                <w:highlight w:val="none"/>
              </w:rPr>
            </w:pPr>
          </w:p>
        </w:tc>
        <w:tc>
          <w:tcPr>
            <w:tcW w:w="874" w:type="dxa"/>
            <w:vAlign w:val="center"/>
          </w:tcPr>
          <w:p>
            <w:pPr>
              <w:spacing w:line="440" w:lineRule="exact"/>
              <w:jc w:val="center"/>
              <w:rPr>
                <w:rFonts w:ascii="宋体" w:hAnsi="宋体" w:cs="宋体"/>
                <w:color w:val="auto"/>
                <w:szCs w:val="21"/>
                <w:highlight w:val="none"/>
              </w:rPr>
            </w:pPr>
          </w:p>
        </w:tc>
        <w:tc>
          <w:tcPr>
            <w:tcW w:w="1055" w:type="dxa"/>
            <w:vAlign w:val="center"/>
          </w:tcPr>
          <w:p>
            <w:pPr>
              <w:spacing w:line="440" w:lineRule="exact"/>
              <w:jc w:val="center"/>
              <w:rPr>
                <w:rFonts w:ascii="宋体" w:hAnsi="宋体" w:cs="宋体"/>
                <w:color w:val="auto"/>
                <w:szCs w:val="21"/>
                <w:highlight w:val="none"/>
              </w:rPr>
            </w:pPr>
          </w:p>
        </w:tc>
        <w:tc>
          <w:tcPr>
            <w:tcW w:w="691" w:type="dxa"/>
            <w:vAlign w:val="center"/>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pPr>
              <w:spacing w:line="440" w:lineRule="exact"/>
              <w:jc w:val="center"/>
              <w:rPr>
                <w:rFonts w:ascii="宋体" w:hAnsi="宋体" w:cs="宋体"/>
                <w:color w:val="auto"/>
                <w:szCs w:val="21"/>
                <w:highlight w:val="none"/>
              </w:rPr>
            </w:pPr>
          </w:p>
        </w:tc>
        <w:tc>
          <w:tcPr>
            <w:tcW w:w="1086" w:type="dxa"/>
            <w:vAlign w:val="center"/>
          </w:tcPr>
          <w:p>
            <w:pPr>
              <w:spacing w:line="440" w:lineRule="exact"/>
              <w:jc w:val="center"/>
              <w:rPr>
                <w:rFonts w:ascii="宋体" w:hAnsi="宋体" w:cs="宋体"/>
                <w:color w:val="auto"/>
                <w:szCs w:val="21"/>
                <w:highlight w:val="none"/>
              </w:rPr>
            </w:pPr>
          </w:p>
        </w:tc>
        <w:tc>
          <w:tcPr>
            <w:tcW w:w="761" w:type="dxa"/>
            <w:vAlign w:val="center"/>
          </w:tcPr>
          <w:p>
            <w:pPr>
              <w:spacing w:line="440" w:lineRule="exact"/>
              <w:jc w:val="center"/>
              <w:rPr>
                <w:rFonts w:ascii="宋体" w:hAnsi="宋体" w:cs="宋体"/>
                <w:color w:val="auto"/>
                <w:szCs w:val="21"/>
                <w:highlight w:val="none"/>
              </w:rPr>
            </w:pPr>
          </w:p>
        </w:tc>
        <w:tc>
          <w:tcPr>
            <w:tcW w:w="990" w:type="dxa"/>
            <w:vAlign w:val="center"/>
          </w:tcPr>
          <w:p>
            <w:pPr>
              <w:spacing w:line="440" w:lineRule="exact"/>
              <w:jc w:val="center"/>
              <w:rPr>
                <w:rFonts w:ascii="宋体" w:hAnsi="宋体" w:cs="宋体"/>
                <w:color w:val="auto"/>
                <w:szCs w:val="21"/>
                <w:highlight w:val="none"/>
              </w:rPr>
            </w:pPr>
          </w:p>
        </w:tc>
        <w:tc>
          <w:tcPr>
            <w:tcW w:w="672" w:type="dxa"/>
            <w:vAlign w:val="center"/>
          </w:tcPr>
          <w:p>
            <w:pPr>
              <w:spacing w:line="440" w:lineRule="exact"/>
              <w:jc w:val="center"/>
              <w:rPr>
                <w:rFonts w:ascii="宋体" w:hAnsi="宋体" w:cs="宋体"/>
                <w:color w:val="auto"/>
                <w:szCs w:val="21"/>
                <w:highlight w:val="none"/>
              </w:rPr>
            </w:pPr>
          </w:p>
        </w:tc>
        <w:tc>
          <w:tcPr>
            <w:tcW w:w="738" w:type="dxa"/>
            <w:vAlign w:val="center"/>
          </w:tcPr>
          <w:p>
            <w:pPr>
              <w:spacing w:line="440" w:lineRule="exact"/>
              <w:jc w:val="center"/>
              <w:rPr>
                <w:rFonts w:ascii="宋体" w:hAnsi="宋体" w:cs="宋体"/>
                <w:color w:val="auto"/>
                <w:szCs w:val="21"/>
                <w:highlight w:val="none"/>
              </w:rPr>
            </w:pPr>
          </w:p>
        </w:tc>
        <w:tc>
          <w:tcPr>
            <w:tcW w:w="1212" w:type="dxa"/>
            <w:vAlign w:val="center"/>
          </w:tcPr>
          <w:p>
            <w:pPr>
              <w:spacing w:line="440" w:lineRule="exact"/>
              <w:jc w:val="center"/>
              <w:rPr>
                <w:rFonts w:ascii="宋体" w:hAnsi="宋体" w:cs="宋体"/>
                <w:color w:val="auto"/>
                <w:szCs w:val="21"/>
                <w:highlight w:val="none"/>
              </w:rPr>
            </w:pPr>
          </w:p>
        </w:tc>
        <w:tc>
          <w:tcPr>
            <w:tcW w:w="874" w:type="dxa"/>
            <w:vAlign w:val="center"/>
          </w:tcPr>
          <w:p>
            <w:pPr>
              <w:spacing w:line="440" w:lineRule="exact"/>
              <w:jc w:val="center"/>
              <w:rPr>
                <w:rFonts w:ascii="宋体" w:hAnsi="宋体" w:cs="宋体"/>
                <w:color w:val="auto"/>
                <w:szCs w:val="21"/>
                <w:highlight w:val="none"/>
              </w:rPr>
            </w:pPr>
          </w:p>
        </w:tc>
        <w:tc>
          <w:tcPr>
            <w:tcW w:w="1055" w:type="dxa"/>
            <w:vAlign w:val="center"/>
          </w:tcPr>
          <w:p>
            <w:pPr>
              <w:spacing w:line="440" w:lineRule="exact"/>
              <w:jc w:val="center"/>
              <w:rPr>
                <w:rFonts w:ascii="宋体" w:hAnsi="宋体" w:cs="宋体"/>
                <w:color w:val="auto"/>
                <w:szCs w:val="21"/>
                <w:highlight w:val="none"/>
              </w:rPr>
            </w:pPr>
          </w:p>
        </w:tc>
        <w:tc>
          <w:tcPr>
            <w:tcW w:w="691" w:type="dxa"/>
            <w:vAlign w:val="center"/>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top"/>
          </w:tcPr>
          <w:p>
            <w:pPr>
              <w:spacing w:line="440" w:lineRule="exact"/>
              <w:jc w:val="center"/>
              <w:rPr>
                <w:rFonts w:ascii="宋体" w:hAnsi="宋体" w:cs="宋体"/>
                <w:color w:val="auto"/>
                <w:szCs w:val="21"/>
                <w:highlight w:val="none"/>
              </w:rPr>
            </w:pPr>
          </w:p>
        </w:tc>
        <w:tc>
          <w:tcPr>
            <w:tcW w:w="1086" w:type="dxa"/>
            <w:vAlign w:val="top"/>
          </w:tcPr>
          <w:p>
            <w:pPr>
              <w:spacing w:line="440" w:lineRule="exact"/>
              <w:jc w:val="center"/>
              <w:rPr>
                <w:rFonts w:ascii="宋体" w:hAnsi="宋体" w:cs="宋体"/>
                <w:color w:val="auto"/>
                <w:szCs w:val="21"/>
                <w:highlight w:val="none"/>
              </w:rPr>
            </w:pPr>
          </w:p>
        </w:tc>
        <w:tc>
          <w:tcPr>
            <w:tcW w:w="761" w:type="dxa"/>
            <w:vAlign w:val="top"/>
          </w:tcPr>
          <w:p>
            <w:pPr>
              <w:spacing w:line="440" w:lineRule="exact"/>
              <w:jc w:val="center"/>
              <w:rPr>
                <w:rFonts w:ascii="宋体" w:hAnsi="宋体" w:cs="宋体"/>
                <w:color w:val="auto"/>
                <w:szCs w:val="21"/>
                <w:highlight w:val="none"/>
              </w:rPr>
            </w:pPr>
          </w:p>
        </w:tc>
        <w:tc>
          <w:tcPr>
            <w:tcW w:w="990" w:type="dxa"/>
            <w:vAlign w:val="top"/>
          </w:tcPr>
          <w:p>
            <w:pPr>
              <w:spacing w:line="440" w:lineRule="exact"/>
              <w:jc w:val="center"/>
              <w:rPr>
                <w:rFonts w:ascii="宋体" w:hAnsi="宋体" w:cs="宋体"/>
                <w:color w:val="auto"/>
                <w:szCs w:val="21"/>
                <w:highlight w:val="none"/>
              </w:rPr>
            </w:pPr>
          </w:p>
        </w:tc>
        <w:tc>
          <w:tcPr>
            <w:tcW w:w="672" w:type="dxa"/>
            <w:vAlign w:val="top"/>
          </w:tcPr>
          <w:p>
            <w:pPr>
              <w:spacing w:line="440" w:lineRule="exact"/>
              <w:jc w:val="center"/>
              <w:rPr>
                <w:rFonts w:ascii="宋体" w:hAnsi="宋体" w:cs="宋体"/>
                <w:color w:val="auto"/>
                <w:szCs w:val="21"/>
                <w:highlight w:val="none"/>
              </w:rPr>
            </w:pPr>
          </w:p>
        </w:tc>
        <w:tc>
          <w:tcPr>
            <w:tcW w:w="738" w:type="dxa"/>
            <w:vAlign w:val="top"/>
          </w:tcPr>
          <w:p>
            <w:pPr>
              <w:spacing w:line="440" w:lineRule="exact"/>
              <w:jc w:val="center"/>
              <w:rPr>
                <w:rFonts w:ascii="宋体" w:hAnsi="宋体" w:cs="宋体"/>
                <w:color w:val="auto"/>
                <w:szCs w:val="21"/>
                <w:highlight w:val="none"/>
              </w:rPr>
            </w:pPr>
          </w:p>
        </w:tc>
        <w:tc>
          <w:tcPr>
            <w:tcW w:w="1212" w:type="dxa"/>
            <w:vAlign w:val="top"/>
          </w:tcPr>
          <w:p>
            <w:pPr>
              <w:spacing w:line="440" w:lineRule="exact"/>
              <w:jc w:val="center"/>
              <w:rPr>
                <w:rFonts w:ascii="宋体" w:hAnsi="宋体" w:cs="宋体"/>
                <w:color w:val="auto"/>
                <w:szCs w:val="21"/>
                <w:highlight w:val="none"/>
              </w:rPr>
            </w:pPr>
          </w:p>
        </w:tc>
        <w:tc>
          <w:tcPr>
            <w:tcW w:w="874" w:type="dxa"/>
            <w:vAlign w:val="top"/>
          </w:tcPr>
          <w:p>
            <w:pPr>
              <w:spacing w:line="440" w:lineRule="exact"/>
              <w:jc w:val="center"/>
              <w:rPr>
                <w:rFonts w:ascii="宋体" w:hAnsi="宋体" w:cs="宋体"/>
                <w:color w:val="auto"/>
                <w:szCs w:val="21"/>
                <w:highlight w:val="none"/>
              </w:rPr>
            </w:pPr>
          </w:p>
        </w:tc>
        <w:tc>
          <w:tcPr>
            <w:tcW w:w="1055" w:type="dxa"/>
            <w:vAlign w:val="top"/>
          </w:tcPr>
          <w:p>
            <w:pPr>
              <w:spacing w:line="440" w:lineRule="exact"/>
              <w:jc w:val="center"/>
              <w:rPr>
                <w:rFonts w:ascii="宋体" w:hAnsi="宋体" w:cs="宋体"/>
                <w:color w:val="auto"/>
                <w:szCs w:val="21"/>
                <w:highlight w:val="none"/>
              </w:rPr>
            </w:pPr>
          </w:p>
        </w:tc>
        <w:tc>
          <w:tcPr>
            <w:tcW w:w="691" w:type="dxa"/>
            <w:vAlign w:val="top"/>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top"/>
          </w:tcPr>
          <w:p>
            <w:pPr>
              <w:spacing w:line="440" w:lineRule="exact"/>
              <w:jc w:val="center"/>
              <w:rPr>
                <w:rFonts w:ascii="宋体" w:hAnsi="宋体" w:cs="宋体"/>
                <w:color w:val="auto"/>
                <w:szCs w:val="21"/>
                <w:highlight w:val="none"/>
              </w:rPr>
            </w:pPr>
          </w:p>
        </w:tc>
        <w:tc>
          <w:tcPr>
            <w:tcW w:w="1086" w:type="dxa"/>
            <w:vAlign w:val="top"/>
          </w:tcPr>
          <w:p>
            <w:pPr>
              <w:spacing w:line="440" w:lineRule="exact"/>
              <w:jc w:val="center"/>
              <w:rPr>
                <w:rFonts w:ascii="宋体" w:hAnsi="宋体" w:cs="宋体"/>
                <w:color w:val="auto"/>
                <w:szCs w:val="21"/>
                <w:highlight w:val="none"/>
              </w:rPr>
            </w:pPr>
          </w:p>
        </w:tc>
        <w:tc>
          <w:tcPr>
            <w:tcW w:w="761" w:type="dxa"/>
            <w:vAlign w:val="top"/>
          </w:tcPr>
          <w:p>
            <w:pPr>
              <w:spacing w:line="440" w:lineRule="exact"/>
              <w:jc w:val="center"/>
              <w:rPr>
                <w:rFonts w:ascii="宋体" w:hAnsi="宋体" w:cs="宋体"/>
                <w:color w:val="auto"/>
                <w:szCs w:val="21"/>
                <w:highlight w:val="none"/>
              </w:rPr>
            </w:pPr>
          </w:p>
        </w:tc>
        <w:tc>
          <w:tcPr>
            <w:tcW w:w="990" w:type="dxa"/>
            <w:vAlign w:val="top"/>
          </w:tcPr>
          <w:p>
            <w:pPr>
              <w:spacing w:line="440" w:lineRule="exact"/>
              <w:jc w:val="center"/>
              <w:rPr>
                <w:rFonts w:ascii="宋体" w:hAnsi="宋体" w:cs="宋体"/>
                <w:color w:val="auto"/>
                <w:szCs w:val="21"/>
                <w:highlight w:val="none"/>
              </w:rPr>
            </w:pPr>
          </w:p>
        </w:tc>
        <w:tc>
          <w:tcPr>
            <w:tcW w:w="672" w:type="dxa"/>
            <w:vAlign w:val="top"/>
          </w:tcPr>
          <w:p>
            <w:pPr>
              <w:spacing w:line="440" w:lineRule="exact"/>
              <w:jc w:val="center"/>
              <w:rPr>
                <w:rFonts w:ascii="宋体" w:hAnsi="宋体" w:cs="宋体"/>
                <w:color w:val="auto"/>
                <w:szCs w:val="21"/>
                <w:highlight w:val="none"/>
              </w:rPr>
            </w:pPr>
          </w:p>
        </w:tc>
        <w:tc>
          <w:tcPr>
            <w:tcW w:w="738" w:type="dxa"/>
            <w:vAlign w:val="top"/>
          </w:tcPr>
          <w:p>
            <w:pPr>
              <w:spacing w:line="440" w:lineRule="exact"/>
              <w:jc w:val="center"/>
              <w:rPr>
                <w:rFonts w:ascii="宋体" w:hAnsi="宋体" w:cs="宋体"/>
                <w:color w:val="auto"/>
                <w:szCs w:val="21"/>
                <w:highlight w:val="none"/>
              </w:rPr>
            </w:pPr>
          </w:p>
        </w:tc>
        <w:tc>
          <w:tcPr>
            <w:tcW w:w="1212" w:type="dxa"/>
            <w:vAlign w:val="top"/>
          </w:tcPr>
          <w:p>
            <w:pPr>
              <w:spacing w:line="440" w:lineRule="exact"/>
              <w:jc w:val="center"/>
              <w:rPr>
                <w:rFonts w:ascii="宋体" w:hAnsi="宋体" w:cs="宋体"/>
                <w:color w:val="auto"/>
                <w:szCs w:val="21"/>
                <w:highlight w:val="none"/>
              </w:rPr>
            </w:pPr>
          </w:p>
        </w:tc>
        <w:tc>
          <w:tcPr>
            <w:tcW w:w="874" w:type="dxa"/>
            <w:vAlign w:val="top"/>
          </w:tcPr>
          <w:p>
            <w:pPr>
              <w:spacing w:line="440" w:lineRule="exact"/>
              <w:jc w:val="center"/>
              <w:rPr>
                <w:rFonts w:ascii="宋体" w:hAnsi="宋体" w:cs="宋体"/>
                <w:color w:val="auto"/>
                <w:szCs w:val="21"/>
                <w:highlight w:val="none"/>
              </w:rPr>
            </w:pPr>
          </w:p>
        </w:tc>
        <w:tc>
          <w:tcPr>
            <w:tcW w:w="1055" w:type="dxa"/>
            <w:vAlign w:val="top"/>
          </w:tcPr>
          <w:p>
            <w:pPr>
              <w:spacing w:line="440" w:lineRule="exact"/>
              <w:jc w:val="center"/>
              <w:rPr>
                <w:rFonts w:ascii="宋体" w:hAnsi="宋体" w:cs="宋体"/>
                <w:color w:val="auto"/>
                <w:szCs w:val="21"/>
                <w:highlight w:val="none"/>
              </w:rPr>
            </w:pPr>
          </w:p>
        </w:tc>
        <w:tc>
          <w:tcPr>
            <w:tcW w:w="691" w:type="dxa"/>
            <w:vAlign w:val="top"/>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top"/>
          </w:tcPr>
          <w:p>
            <w:pPr>
              <w:spacing w:line="440" w:lineRule="exact"/>
              <w:jc w:val="center"/>
              <w:rPr>
                <w:rFonts w:ascii="宋体" w:hAnsi="宋体" w:cs="宋体"/>
                <w:color w:val="auto"/>
                <w:szCs w:val="21"/>
                <w:highlight w:val="none"/>
              </w:rPr>
            </w:pPr>
          </w:p>
        </w:tc>
        <w:tc>
          <w:tcPr>
            <w:tcW w:w="1086" w:type="dxa"/>
            <w:vAlign w:val="top"/>
          </w:tcPr>
          <w:p>
            <w:pPr>
              <w:spacing w:line="440" w:lineRule="exact"/>
              <w:jc w:val="center"/>
              <w:rPr>
                <w:rFonts w:ascii="宋体" w:hAnsi="宋体" w:cs="宋体"/>
                <w:color w:val="auto"/>
                <w:szCs w:val="21"/>
                <w:highlight w:val="none"/>
              </w:rPr>
            </w:pPr>
          </w:p>
        </w:tc>
        <w:tc>
          <w:tcPr>
            <w:tcW w:w="761" w:type="dxa"/>
            <w:vAlign w:val="top"/>
          </w:tcPr>
          <w:p>
            <w:pPr>
              <w:spacing w:line="440" w:lineRule="exact"/>
              <w:jc w:val="center"/>
              <w:rPr>
                <w:rFonts w:ascii="宋体" w:hAnsi="宋体" w:cs="宋体"/>
                <w:color w:val="auto"/>
                <w:szCs w:val="21"/>
                <w:highlight w:val="none"/>
              </w:rPr>
            </w:pPr>
          </w:p>
        </w:tc>
        <w:tc>
          <w:tcPr>
            <w:tcW w:w="990" w:type="dxa"/>
            <w:vAlign w:val="top"/>
          </w:tcPr>
          <w:p>
            <w:pPr>
              <w:spacing w:line="440" w:lineRule="exact"/>
              <w:jc w:val="center"/>
              <w:rPr>
                <w:rFonts w:ascii="宋体" w:hAnsi="宋体" w:cs="宋体"/>
                <w:color w:val="auto"/>
                <w:szCs w:val="21"/>
                <w:highlight w:val="none"/>
              </w:rPr>
            </w:pPr>
          </w:p>
        </w:tc>
        <w:tc>
          <w:tcPr>
            <w:tcW w:w="672" w:type="dxa"/>
            <w:vAlign w:val="top"/>
          </w:tcPr>
          <w:p>
            <w:pPr>
              <w:spacing w:line="440" w:lineRule="exact"/>
              <w:jc w:val="center"/>
              <w:rPr>
                <w:rFonts w:ascii="宋体" w:hAnsi="宋体" w:cs="宋体"/>
                <w:color w:val="auto"/>
                <w:szCs w:val="21"/>
                <w:highlight w:val="none"/>
              </w:rPr>
            </w:pPr>
          </w:p>
        </w:tc>
        <w:tc>
          <w:tcPr>
            <w:tcW w:w="738" w:type="dxa"/>
            <w:vAlign w:val="top"/>
          </w:tcPr>
          <w:p>
            <w:pPr>
              <w:spacing w:line="440" w:lineRule="exact"/>
              <w:jc w:val="center"/>
              <w:rPr>
                <w:rFonts w:ascii="宋体" w:hAnsi="宋体" w:cs="宋体"/>
                <w:color w:val="auto"/>
                <w:szCs w:val="21"/>
                <w:highlight w:val="none"/>
              </w:rPr>
            </w:pPr>
          </w:p>
        </w:tc>
        <w:tc>
          <w:tcPr>
            <w:tcW w:w="1212" w:type="dxa"/>
            <w:vAlign w:val="top"/>
          </w:tcPr>
          <w:p>
            <w:pPr>
              <w:spacing w:line="440" w:lineRule="exact"/>
              <w:jc w:val="center"/>
              <w:rPr>
                <w:rFonts w:ascii="宋体" w:hAnsi="宋体" w:cs="宋体"/>
                <w:color w:val="auto"/>
                <w:szCs w:val="21"/>
                <w:highlight w:val="none"/>
              </w:rPr>
            </w:pPr>
          </w:p>
        </w:tc>
        <w:tc>
          <w:tcPr>
            <w:tcW w:w="874" w:type="dxa"/>
            <w:vAlign w:val="top"/>
          </w:tcPr>
          <w:p>
            <w:pPr>
              <w:spacing w:line="440" w:lineRule="exact"/>
              <w:jc w:val="center"/>
              <w:rPr>
                <w:rFonts w:ascii="宋体" w:hAnsi="宋体" w:cs="宋体"/>
                <w:color w:val="auto"/>
                <w:szCs w:val="21"/>
                <w:highlight w:val="none"/>
              </w:rPr>
            </w:pPr>
          </w:p>
        </w:tc>
        <w:tc>
          <w:tcPr>
            <w:tcW w:w="1055" w:type="dxa"/>
            <w:vAlign w:val="top"/>
          </w:tcPr>
          <w:p>
            <w:pPr>
              <w:spacing w:line="440" w:lineRule="exact"/>
              <w:jc w:val="center"/>
              <w:rPr>
                <w:rFonts w:ascii="宋体" w:hAnsi="宋体" w:cs="宋体"/>
                <w:color w:val="auto"/>
                <w:szCs w:val="21"/>
                <w:highlight w:val="none"/>
              </w:rPr>
            </w:pPr>
          </w:p>
        </w:tc>
        <w:tc>
          <w:tcPr>
            <w:tcW w:w="691" w:type="dxa"/>
            <w:vAlign w:val="top"/>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top"/>
          </w:tcPr>
          <w:p>
            <w:pPr>
              <w:spacing w:line="440" w:lineRule="exact"/>
              <w:jc w:val="center"/>
              <w:rPr>
                <w:rFonts w:ascii="宋体" w:hAnsi="宋体" w:cs="宋体"/>
                <w:color w:val="auto"/>
                <w:szCs w:val="21"/>
                <w:highlight w:val="none"/>
              </w:rPr>
            </w:pPr>
          </w:p>
        </w:tc>
        <w:tc>
          <w:tcPr>
            <w:tcW w:w="1086" w:type="dxa"/>
            <w:vAlign w:val="top"/>
          </w:tcPr>
          <w:p>
            <w:pPr>
              <w:spacing w:line="440" w:lineRule="exact"/>
              <w:jc w:val="center"/>
              <w:rPr>
                <w:rFonts w:ascii="宋体" w:hAnsi="宋体" w:cs="宋体"/>
                <w:color w:val="auto"/>
                <w:szCs w:val="21"/>
                <w:highlight w:val="none"/>
              </w:rPr>
            </w:pPr>
          </w:p>
        </w:tc>
        <w:tc>
          <w:tcPr>
            <w:tcW w:w="761" w:type="dxa"/>
            <w:vAlign w:val="top"/>
          </w:tcPr>
          <w:p>
            <w:pPr>
              <w:spacing w:line="440" w:lineRule="exact"/>
              <w:jc w:val="center"/>
              <w:rPr>
                <w:rFonts w:ascii="宋体" w:hAnsi="宋体" w:cs="宋体"/>
                <w:color w:val="auto"/>
                <w:szCs w:val="21"/>
                <w:highlight w:val="none"/>
              </w:rPr>
            </w:pPr>
          </w:p>
        </w:tc>
        <w:tc>
          <w:tcPr>
            <w:tcW w:w="990" w:type="dxa"/>
            <w:vAlign w:val="top"/>
          </w:tcPr>
          <w:p>
            <w:pPr>
              <w:spacing w:line="440" w:lineRule="exact"/>
              <w:jc w:val="center"/>
              <w:rPr>
                <w:rFonts w:ascii="宋体" w:hAnsi="宋体" w:cs="宋体"/>
                <w:color w:val="auto"/>
                <w:szCs w:val="21"/>
                <w:highlight w:val="none"/>
              </w:rPr>
            </w:pPr>
          </w:p>
        </w:tc>
        <w:tc>
          <w:tcPr>
            <w:tcW w:w="672" w:type="dxa"/>
            <w:vAlign w:val="top"/>
          </w:tcPr>
          <w:p>
            <w:pPr>
              <w:spacing w:line="440" w:lineRule="exact"/>
              <w:jc w:val="center"/>
              <w:rPr>
                <w:rFonts w:ascii="宋体" w:hAnsi="宋体" w:cs="宋体"/>
                <w:color w:val="auto"/>
                <w:szCs w:val="21"/>
                <w:highlight w:val="none"/>
              </w:rPr>
            </w:pPr>
          </w:p>
        </w:tc>
        <w:tc>
          <w:tcPr>
            <w:tcW w:w="738" w:type="dxa"/>
            <w:vAlign w:val="top"/>
          </w:tcPr>
          <w:p>
            <w:pPr>
              <w:spacing w:line="440" w:lineRule="exact"/>
              <w:jc w:val="center"/>
              <w:rPr>
                <w:rFonts w:ascii="宋体" w:hAnsi="宋体" w:cs="宋体"/>
                <w:color w:val="auto"/>
                <w:szCs w:val="21"/>
                <w:highlight w:val="none"/>
              </w:rPr>
            </w:pPr>
          </w:p>
        </w:tc>
        <w:tc>
          <w:tcPr>
            <w:tcW w:w="1212" w:type="dxa"/>
            <w:vAlign w:val="top"/>
          </w:tcPr>
          <w:p>
            <w:pPr>
              <w:spacing w:line="440" w:lineRule="exact"/>
              <w:jc w:val="center"/>
              <w:rPr>
                <w:rFonts w:ascii="宋体" w:hAnsi="宋体" w:cs="宋体"/>
                <w:color w:val="auto"/>
                <w:szCs w:val="21"/>
                <w:highlight w:val="none"/>
              </w:rPr>
            </w:pPr>
          </w:p>
        </w:tc>
        <w:tc>
          <w:tcPr>
            <w:tcW w:w="874" w:type="dxa"/>
            <w:vAlign w:val="top"/>
          </w:tcPr>
          <w:p>
            <w:pPr>
              <w:spacing w:line="440" w:lineRule="exact"/>
              <w:jc w:val="center"/>
              <w:rPr>
                <w:rFonts w:ascii="宋体" w:hAnsi="宋体" w:cs="宋体"/>
                <w:color w:val="auto"/>
                <w:szCs w:val="21"/>
                <w:highlight w:val="none"/>
              </w:rPr>
            </w:pPr>
          </w:p>
        </w:tc>
        <w:tc>
          <w:tcPr>
            <w:tcW w:w="1055" w:type="dxa"/>
            <w:vAlign w:val="top"/>
          </w:tcPr>
          <w:p>
            <w:pPr>
              <w:spacing w:line="440" w:lineRule="exact"/>
              <w:jc w:val="center"/>
              <w:rPr>
                <w:rFonts w:ascii="宋体" w:hAnsi="宋体" w:cs="宋体"/>
                <w:color w:val="auto"/>
                <w:szCs w:val="21"/>
                <w:highlight w:val="none"/>
              </w:rPr>
            </w:pPr>
          </w:p>
        </w:tc>
        <w:tc>
          <w:tcPr>
            <w:tcW w:w="691" w:type="dxa"/>
            <w:vAlign w:val="top"/>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top"/>
          </w:tcPr>
          <w:p>
            <w:pPr>
              <w:spacing w:line="440" w:lineRule="exact"/>
              <w:jc w:val="center"/>
              <w:rPr>
                <w:rFonts w:ascii="宋体" w:hAnsi="宋体" w:cs="宋体"/>
                <w:color w:val="auto"/>
                <w:szCs w:val="21"/>
                <w:highlight w:val="none"/>
              </w:rPr>
            </w:pPr>
          </w:p>
        </w:tc>
        <w:tc>
          <w:tcPr>
            <w:tcW w:w="1086" w:type="dxa"/>
            <w:vAlign w:val="top"/>
          </w:tcPr>
          <w:p>
            <w:pPr>
              <w:spacing w:line="440" w:lineRule="exact"/>
              <w:jc w:val="center"/>
              <w:rPr>
                <w:rFonts w:ascii="宋体" w:hAnsi="宋体" w:cs="宋体"/>
                <w:color w:val="auto"/>
                <w:szCs w:val="21"/>
                <w:highlight w:val="none"/>
              </w:rPr>
            </w:pPr>
          </w:p>
        </w:tc>
        <w:tc>
          <w:tcPr>
            <w:tcW w:w="761" w:type="dxa"/>
            <w:vAlign w:val="top"/>
          </w:tcPr>
          <w:p>
            <w:pPr>
              <w:spacing w:line="440" w:lineRule="exact"/>
              <w:jc w:val="center"/>
              <w:rPr>
                <w:rFonts w:ascii="宋体" w:hAnsi="宋体" w:cs="宋体"/>
                <w:color w:val="auto"/>
                <w:szCs w:val="21"/>
                <w:highlight w:val="none"/>
              </w:rPr>
            </w:pPr>
          </w:p>
        </w:tc>
        <w:tc>
          <w:tcPr>
            <w:tcW w:w="990" w:type="dxa"/>
            <w:vAlign w:val="top"/>
          </w:tcPr>
          <w:p>
            <w:pPr>
              <w:spacing w:line="440" w:lineRule="exact"/>
              <w:jc w:val="center"/>
              <w:rPr>
                <w:rFonts w:ascii="宋体" w:hAnsi="宋体" w:cs="宋体"/>
                <w:color w:val="auto"/>
                <w:szCs w:val="21"/>
                <w:highlight w:val="none"/>
              </w:rPr>
            </w:pPr>
          </w:p>
        </w:tc>
        <w:tc>
          <w:tcPr>
            <w:tcW w:w="672" w:type="dxa"/>
            <w:vAlign w:val="top"/>
          </w:tcPr>
          <w:p>
            <w:pPr>
              <w:spacing w:line="440" w:lineRule="exact"/>
              <w:jc w:val="center"/>
              <w:rPr>
                <w:rFonts w:ascii="宋体" w:hAnsi="宋体" w:cs="宋体"/>
                <w:color w:val="auto"/>
                <w:szCs w:val="21"/>
                <w:highlight w:val="none"/>
              </w:rPr>
            </w:pPr>
          </w:p>
        </w:tc>
        <w:tc>
          <w:tcPr>
            <w:tcW w:w="738" w:type="dxa"/>
            <w:vAlign w:val="top"/>
          </w:tcPr>
          <w:p>
            <w:pPr>
              <w:spacing w:line="440" w:lineRule="exact"/>
              <w:jc w:val="center"/>
              <w:rPr>
                <w:rFonts w:ascii="宋体" w:hAnsi="宋体" w:cs="宋体"/>
                <w:color w:val="auto"/>
                <w:szCs w:val="21"/>
                <w:highlight w:val="none"/>
              </w:rPr>
            </w:pPr>
          </w:p>
        </w:tc>
        <w:tc>
          <w:tcPr>
            <w:tcW w:w="1212" w:type="dxa"/>
            <w:vAlign w:val="top"/>
          </w:tcPr>
          <w:p>
            <w:pPr>
              <w:spacing w:line="440" w:lineRule="exact"/>
              <w:jc w:val="center"/>
              <w:rPr>
                <w:rFonts w:ascii="宋体" w:hAnsi="宋体" w:cs="宋体"/>
                <w:color w:val="auto"/>
                <w:szCs w:val="21"/>
                <w:highlight w:val="none"/>
              </w:rPr>
            </w:pPr>
          </w:p>
        </w:tc>
        <w:tc>
          <w:tcPr>
            <w:tcW w:w="874" w:type="dxa"/>
            <w:vAlign w:val="top"/>
          </w:tcPr>
          <w:p>
            <w:pPr>
              <w:spacing w:line="440" w:lineRule="exact"/>
              <w:jc w:val="center"/>
              <w:rPr>
                <w:rFonts w:ascii="宋体" w:hAnsi="宋体" w:cs="宋体"/>
                <w:color w:val="auto"/>
                <w:szCs w:val="21"/>
                <w:highlight w:val="none"/>
              </w:rPr>
            </w:pPr>
          </w:p>
        </w:tc>
        <w:tc>
          <w:tcPr>
            <w:tcW w:w="1055" w:type="dxa"/>
            <w:vAlign w:val="top"/>
          </w:tcPr>
          <w:p>
            <w:pPr>
              <w:spacing w:line="440" w:lineRule="exact"/>
              <w:jc w:val="center"/>
              <w:rPr>
                <w:rFonts w:ascii="宋体" w:hAnsi="宋体" w:cs="宋体"/>
                <w:color w:val="auto"/>
                <w:szCs w:val="21"/>
                <w:highlight w:val="none"/>
              </w:rPr>
            </w:pPr>
          </w:p>
        </w:tc>
        <w:tc>
          <w:tcPr>
            <w:tcW w:w="691" w:type="dxa"/>
            <w:vAlign w:val="top"/>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top"/>
          </w:tcPr>
          <w:p>
            <w:pPr>
              <w:spacing w:line="440" w:lineRule="exact"/>
              <w:jc w:val="center"/>
              <w:rPr>
                <w:rFonts w:ascii="宋体" w:hAnsi="宋体" w:cs="宋体"/>
                <w:color w:val="auto"/>
                <w:szCs w:val="21"/>
                <w:highlight w:val="none"/>
              </w:rPr>
            </w:pPr>
          </w:p>
        </w:tc>
        <w:tc>
          <w:tcPr>
            <w:tcW w:w="1086" w:type="dxa"/>
            <w:vAlign w:val="top"/>
          </w:tcPr>
          <w:p>
            <w:pPr>
              <w:spacing w:line="440" w:lineRule="exact"/>
              <w:jc w:val="center"/>
              <w:rPr>
                <w:rFonts w:ascii="宋体" w:hAnsi="宋体" w:cs="宋体"/>
                <w:color w:val="auto"/>
                <w:szCs w:val="21"/>
                <w:highlight w:val="none"/>
              </w:rPr>
            </w:pPr>
          </w:p>
        </w:tc>
        <w:tc>
          <w:tcPr>
            <w:tcW w:w="761" w:type="dxa"/>
            <w:vAlign w:val="top"/>
          </w:tcPr>
          <w:p>
            <w:pPr>
              <w:spacing w:line="440" w:lineRule="exact"/>
              <w:jc w:val="center"/>
              <w:rPr>
                <w:rFonts w:ascii="宋体" w:hAnsi="宋体" w:cs="宋体"/>
                <w:color w:val="auto"/>
                <w:szCs w:val="21"/>
                <w:highlight w:val="none"/>
              </w:rPr>
            </w:pPr>
          </w:p>
        </w:tc>
        <w:tc>
          <w:tcPr>
            <w:tcW w:w="990" w:type="dxa"/>
            <w:vAlign w:val="top"/>
          </w:tcPr>
          <w:p>
            <w:pPr>
              <w:spacing w:line="440" w:lineRule="exact"/>
              <w:jc w:val="center"/>
              <w:rPr>
                <w:rFonts w:ascii="宋体" w:hAnsi="宋体" w:cs="宋体"/>
                <w:color w:val="auto"/>
                <w:szCs w:val="21"/>
                <w:highlight w:val="none"/>
              </w:rPr>
            </w:pPr>
          </w:p>
        </w:tc>
        <w:tc>
          <w:tcPr>
            <w:tcW w:w="672" w:type="dxa"/>
            <w:vAlign w:val="top"/>
          </w:tcPr>
          <w:p>
            <w:pPr>
              <w:spacing w:line="440" w:lineRule="exact"/>
              <w:jc w:val="center"/>
              <w:rPr>
                <w:rFonts w:ascii="宋体" w:hAnsi="宋体" w:cs="宋体"/>
                <w:color w:val="auto"/>
                <w:szCs w:val="21"/>
                <w:highlight w:val="none"/>
              </w:rPr>
            </w:pPr>
          </w:p>
        </w:tc>
        <w:tc>
          <w:tcPr>
            <w:tcW w:w="738" w:type="dxa"/>
            <w:vAlign w:val="top"/>
          </w:tcPr>
          <w:p>
            <w:pPr>
              <w:spacing w:line="440" w:lineRule="exact"/>
              <w:jc w:val="center"/>
              <w:rPr>
                <w:rFonts w:ascii="宋体" w:hAnsi="宋体" w:cs="宋体"/>
                <w:color w:val="auto"/>
                <w:szCs w:val="21"/>
                <w:highlight w:val="none"/>
              </w:rPr>
            </w:pPr>
          </w:p>
        </w:tc>
        <w:tc>
          <w:tcPr>
            <w:tcW w:w="1212" w:type="dxa"/>
            <w:vAlign w:val="top"/>
          </w:tcPr>
          <w:p>
            <w:pPr>
              <w:spacing w:line="440" w:lineRule="exact"/>
              <w:jc w:val="center"/>
              <w:rPr>
                <w:rFonts w:ascii="宋体" w:hAnsi="宋体" w:cs="宋体"/>
                <w:color w:val="auto"/>
                <w:szCs w:val="21"/>
                <w:highlight w:val="none"/>
              </w:rPr>
            </w:pPr>
          </w:p>
        </w:tc>
        <w:tc>
          <w:tcPr>
            <w:tcW w:w="874" w:type="dxa"/>
            <w:vAlign w:val="top"/>
          </w:tcPr>
          <w:p>
            <w:pPr>
              <w:spacing w:line="440" w:lineRule="exact"/>
              <w:jc w:val="center"/>
              <w:rPr>
                <w:rFonts w:ascii="宋体" w:hAnsi="宋体" w:cs="宋体"/>
                <w:color w:val="auto"/>
                <w:szCs w:val="21"/>
                <w:highlight w:val="none"/>
              </w:rPr>
            </w:pPr>
          </w:p>
        </w:tc>
        <w:tc>
          <w:tcPr>
            <w:tcW w:w="1055" w:type="dxa"/>
            <w:vAlign w:val="top"/>
          </w:tcPr>
          <w:p>
            <w:pPr>
              <w:spacing w:line="440" w:lineRule="exact"/>
              <w:jc w:val="center"/>
              <w:rPr>
                <w:rFonts w:ascii="宋体" w:hAnsi="宋体" w:cs="宋体"/>
                <w:color w:val="auto"/>
                <w:szCs w:val="21"/>
                <w:highlight w:val="none"/>
              </w:rPr>
            </w:pPr>
          </w:p>
        </w:tc>
        <w:tc>
          <w:tcPr>
            <w:tcW w:w="691" w:type="dxa"/>
            <w:vAlign w:val="top"/>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top"/>
          </w:tcPr>
          <w:p>
            <w:pPr>
              <w:spacing w:line="440" w:lineRule="exact"/>
              <w:jc w:val="center"/>
              <w:rPr>
                <w:rFonts w:ascii="宋体" w:hAnsi="宋体" w:cs="宋体"/>
                <w:color w:val="auto"/>
                <w:szCs w:val="21"/>
                <w:highlight w:val="none"/>
              </w:rPr>
            </w:pPr>
          </w:p>
        </w:tc>
        <w:tc>
          <w:tcPr>
            <w:tcW w:w="1086" w:type="dxa"/>
            <w:vAlign w:val="top"/>
          </w:tcPr>
          <w:p>
            <w:pPr>
              <w:spacing w:line="440" w:lineRule="exact"/>
              <w:jc w:val="center"/>
              <w:rPr>
                <w:rFonts w:ascii="宋体" w:hAnsi="宋体" w:cs="宋体"/>
                <w:color w:val="auto"/>
                <w:szCs w:val="21"/>
                <w:highlight w:val="none"/>
              </w:rPr>
            </w:pPr>
          </w:p>
        </w:tc>
        <w:tc>
          <w:tcPr>
            <w:tcW w:w="761" w:type="dxa"/>
            <w:vAlign w:val="top"/>
          </w:tcPr>
          <w:p>
            <w:pPr>
              <w:spacing w:line="440" w:lineRule="exact"/>
              <w:jc w:val="center"/>
              <w:rPr>
                <w:rFonts w:ascii="宋体" w:hAnsi="宋体" w:cs="宋体"/>
                <w:color w:val="auto"/>
                <w:szCs w:val="21"/>
                <w:highlight w:val="none"/>
              </w:rPr>
            </w:pPr>
          </w:p>
        </w:tc>
        <w:tc>
          <w:tcPr>
            <w:tcW w:w="990" w:type="dxa"/>
            <w:vAlign w:val="top"/>
          </w:tcPr>
          <w:p>
            <w:pPr>
              <w:spacing w:line="440" w:lineRule="exact"/>
              <w:jc w:val="center"/>
              <w:rPr>
                <w:rFonts w:ascii="宋体" w:hAnsi="宋体" w:cs="宋体"/>
                <w:color w:val="auto"/>
                <w:szCs w:val="21"/>
                <w:highlight w:val="none"/>
              </w:rPr>
            </w:pPr>
          </w:p>
        </w:tc>
        <w:tc>
          <w:tcPr>
            <w:tcW w:w="672" w:type="dxa"/>
            <w:vAlign w:val="top"/>
          </w:tcPr>
          <w:p>
            <w:pPr>
              <w:spacing w:line="440" w:lineRule="exact"/>
              <w:jc w:val="center"/>
              <w:rPr>
                <w:rFonts w:ascii="宋体" w:hAnsi="宋体" w:cs="宋体"/>
                <w:color w:val="auto"/>
                <w:szCs w:val="21"/>
                <w:highlight w:val="none"/>
              </w:rPr>
            </w:pPr>
          </w:p>
        </w:tc>
        <w:tc>
          <w:tcPr>
            <w:tcW w:w="738" w:type="dxa"/>
            <w:vAlign w:val="top"/>
          </w:tcPr>
          <w:p>
            <w:pPr>
              <w:spacing w:line="440" w:lineRule="exact"/>
              <w:jc w:val="center"/>
              <w:rPr>
                <w:rFonts w:ascii="宋体" w:hAnsi="宋体" w:cs="宋体"/>
                <w:color w:val="auto"/>
                <w:szCs w:val="21"/>
                <w:highlight w:val="none"/>
              </w:rPr>
            </w:pPr>
          </w:p>
        </w:tc>
        <w:tc>
          <w:tcPr>
            <w:tcW w:w="1212" w:type="dxa"/>
            <w:vAlign w:val="top"/>
          </w:tcPr>
          <w:p>
            <w:pPr>
              <w:spacing w:line="440" w:lineRule="exact"/>
              <w:jc w:val="center"/>
              <w:rPr>
                <w:rFonts w:ascii="宋体" w:hAnsi="宋体" w:cs="宋体"/>
                <w:color w:val="auto"/>
                <w:szCs w:val="21"/>
                <w:highlight w:val="none"/>
              </w:rPr>
            </w:pPr>
          </w:p>
        </w:tc>
        <w:tc>
          <w:tcPr>
            <w:tcW w:w="874" w:type="dxa"/>
            <w:vAlign w:val="top"/>
          </w:tcPr>
          <w:p>
            <w:pPr>
              <w:spacing w:line="440" w:lineRule="exact"/>
              <w:jc w:val="center"/>
              <w:rPr>
                <w:rFonts w:ascii="宋体" w:hAnsi="宋体" w:cs="宋体"/>
                <w:color w:val="auto"/>
                <w:szCs w:val="21"/>
                <w:highlight w:val="none"/>
              </w:rPr>
            </w:pPr>
          </w:p>
        </w:tc>
        <w:tc>
          <w:tcPr>
            <w:tcW w:w="1055" w:type="dxa"/>
            <w:vAlign w:val="top"/>
          </w:tcPr>
          <w:p>
            <w:pPr>
              <w:spacing w:line="440" w:lineRule="exact"/>
              <w:jc w:val="center"/>
              <w:rPr>
                <w:rFonts w:ascii="宋体" w:hAnsi="宋体" w:cs="宋体"/>
                <w:color w:val="auto"/>
                <w:szCs w:val="21"/>
                <w:highlight w:val="none"/>
              </w:rPr>
            </w:pPr>
          </w:p>
        </w:tc>
        <w:tc>
          <w:tcPr>
            <w:tcW w:w="691" w:type="dxa"/>
            <w:vAlign w:val="top"/>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top"/>
          </w:tcPr>
          <w:p>
            <w:pPr>
              <w:spacing w:line="440" w:lineRule="exact"/>
              <w:jc w:val="center"/>
              <w:rPr>
                <w:rFonts w:ascii="宋体" w:hAnsi="宋体" w:cs="宋体"/>
                <w:color w:val="auto"/>
                <w:szCs w:val="21"/>
                <w:highlight w:val="none"/>
              </w:rPr>
            </w:pPr>
          </w:p>
        </w:tc>
        <w:tc>
          <w:tcPr>
            <w:tcW w:w="1086" w:type="dxa"/>
            <w:vAlign w:val="top"/>
          </w:tcPr>
          <w:p>
            <w:pPr>
              <w:spacing w:line="440" w:lineRule="exact"/>
              <w:jc w:val="center"/>
              <w:rPr>
                <w:rFonts w:ascii="宋体" w:hAnsi="宋体" w:cs="宋体"/>
                <w:color w:val="auto"/>
                <w:szCs w:val="21"/>
                <w:highlight w:val="none"/>
              </w:rPr>
            </w:pPr>
          </w:p>
        </w:tc>
        <w:tc>
          <w:tcPr>
            <w:tcW w:w="761" w:type="dxa"/>
            <w:vAlign w:val="top"/>
          </w:tcPr>
          <w:p>
            <w:pPr>
              <w:spacing w:line="440" w:lineRule="exact"/>
              <w:jc w:val="center"/>
              <w:rPr>
                <w:rFonts w:ascii="宋体" w:hAnsi="宋体" w:cs="宋体"/>
                <w:color w:val="auto"/>
                <w:szCs w:val="21"/>
                <w:highlight w:val="none"/>
              </w:rPr>
            </w:pPr>
          </w:p>
        </w:tc>
        <w:tc>
          <w:tcPr>
            <w:tcW w:w="990" w:type="dxa"/>
            <w:vAlign w:val="top"/>
          </w:tcPr>
          <w:p>
            <w:pPr>
              <w:spacing w:line="440" w:lineRule="exact"/>
              <w:jc w:val="center"/>
              <w:rPr>
                <w:rFonts w:ascii="宋体" w:hAnsi="宋体" w:cs="宋体"/>
                <w:color w:val="auto"/>
                <w:szCs w:val="21"/>
                <w:highlight w:val="none"/>
              </w:rPr>
            </w:pPr>
          </w:p>
        </w:tc>
        <w:tc>
          <w:tcPr>
            <w:tcW w:w="672" w:type="dxa"/>
            <w:vAlign w:val="top"/>
          </w:tcPr>
          <w:p>
            <w:pPr>
              <w:spacing w:line="440" w:lineRule="exact"/>
              <w:jc w:val="center"/>
              <w:rPr>
                <w:rFonts w:ascii="宋体" w:hAnsi="宋体" w:cs="宋体"/>
                <w:color w:val="auto"/>
                <w:szCs w:val="21"/>
                <w:highlight w:val="none"/>
              </w:rPr>
            </w:pPr>
          </w:p>
        </w:tc>
        <w:tc>
          <w:tcPr>
            <w:tcW w:w="738" w:type="dxa"/>
            <w:vAlign w:val="top"/>
          </w:tcPr>
          <w:p>
            <w:pPr>
              <w:spacing w:line="440" w:lineRule="exact"/>
              <w:jc w:val="center"/>
              <w:rPr>
                <w:rFonts w:ascii="宋体" w:hAnsi="宋体" w:cs="宋体"/>
                <w:color w:val="auto"/>
                <w:szCs w:val="21"/>
                <w:highlight w:val="none"/>
              </w:rPr>
            </w:pPr>
          </w:p>
        </w:tc>
        <w:tc>
          <w:tcPr>
            <w:tcW w:w="1212" w:type="dxa"/>
            <w:vAlign w:val="top"/>
          </w:tcPr>
          <w:p>
            <w:pPr>
              <w:spacing w:line="440" w:lineRule="exact"/>
              <w:jc w:val="center"/>
              <w:rPr>
                <w:rFonts w:ascii="宋体" w:hAnsi="宋体" w:cs="宋体"/>
                <w:color w:val="auto"/>
                <w:szCs w:val="21"/>
                <w:highlight w:val="none"/>
              </w:rPr>
            </w:pPr>
          </w:p>
        </w:tc>
        <w:tc>
          <w:tcPr>
            <w:tcW w:w="874" w:type="dxa"/>
            <w:vAlign w:val="top"/>
          </w:tcPr>
          <w:p>
            <w:pPr>
              <w:spacing w:line="440" w:lineRule="exact"/>
              <w:jc w:val="center"/>
              <w:rPr>
                <w:rFonts w:ascii="宋体" w:hAnsi="宋体" w:cs="宋体"/>
                <w:color w:val="auto"/>
                <w:szCs w:val="21"/>
                <w:highlight w:val="none"/>
              </w:rPr>
            </w:pPr>
          </w:p>
        </w:tc>
        <w:tc>
          <w:tcPr>
            <w:tcW w:w="1055" w:type="dxa"/>
            <w:vAlign w:val="top"/>
          </w:tcPr>
          <w:p>
            <w:pPr>
              <w:spacing w:line="440" w:lineRule="exact"/>
              <w:jc w:val="center"/>
              <w:rPr>
                <w:rFonts w:ascii="宋体" w:hAnsi="宋体" w:cs="宋体"/>
                <w:color w:val="auto"/>
                <w:szCs w:val="21"/>
                <w:highlight w:val="none"/>
              </w:rPr>
            </w:pPr>
          </w:p>
        </w:tc>
        <w:tc>
          <w:tcPr>
            <w:tcW w:w="691" w:type="dxa"/>
            <w:vAlign w:val="top"/>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top"/>
          </w:tcPr>
          <w:p>
            <w:pPr>
              <w:spacing w:line="440" w:lineRule="exact"/>
              <w:jc w:val="center"/>
              <w:rPr>
                <w:rFonts w:ascii="宋体" w:hAnsi="宋体" w:cs="宋体"/>
                <w:color w:val="auto"/>
                <w:szCs w:val="21"/>
                <w:highlight w:val="none"/>
              </w:rPr>
            </w:pPr>
          </w:p>
        </w:tc>
        <w:tc>
          <w:tcPr>
            <w:tcW w:w="1086" w:type="dxa"/>
            <w:vAlign w:val="top"/>
          </w:tcPr>
          <w:p>
            <w:pPr>
              <w:spacing w:line="440" w:lineRule="exact"/>
              <w:jc w:val="center"/>
              <w:rPr>
                <w:rFonts w:ascii="宋体" w:hAnsi="宋体" w:cs="宋体"/>
                <w:color w:val="auto"/>
                <w:szCs w:val="21"/>
                <w:highlight w:val="none"/>
              </w:rPr>
            </w:pPr>
          </w:p>
        </w:tc>
        <w:tc>
          <w:tcPr>
            <w:tcW w:w="761" w:type="dxa"/>
            <w:vAlign w:val="top"/>
          </w:tcPr>
          <w:p>
            <w:pPr>
              <w:spacing w:line="440" w:lineRule="exact"/>
              <w:jc w:val="center"/>
              <w:rPr>
                <w:rFonts w:ascii="宋体" w:hAnsi="宋体" w:cs="宋体"/>
                <w:color w:val="auto"/>
                <w:szCs w:val="21"/>
                <w:highlight w:val="none"/>
              </w:rPr>
            </w:pPr>
          </w:p>
        </w:tc>
        <w:tc>
          <w:tcPr>
            <w:tcW w:w="990" w:type="dxa"/>
            <w:vAlign w:val="top"/>
          </w:tcPr>
          <w:p>
            <w:pPr>
              <w:spacing w:line="440" w:lineRule="exact"/>
              <w:jc w:val="center"/>
              <w:rPr>
                <w:rFonts w:ascii="宋体" w:hAnsi="宋体" w:cs="宋体"/>
                <w:color w:val="auto"/>
                <w:szCs w:val="21"/>
                <w:highlight w:val="none"/>
              </w:rPr>
            </w:pPr>
          </w:p>
        </w:tc>
        <w:tc>
          <w:tcPr>
            <w:tcW w:w="672" w:type="dxa"/>
            <w:vAlign w:val="top"/>
          </w:tcPr>
          <w:p>
            <w:pPr>
              <w:spacing w:line="440" w:lineRule="exact"/>
              <w:jc w:val="center"/>
              <w:rPr>
                <w:rFonts w:ascii="宋体" w:hAnsi="宋体" w:cs="宋体"/>
                <w:color w:val="auto"/>
                <w:szCs w:val="21"/>
                <w:highlight w:val="none"/>
              </w:rPr>
            </w:pPr>
          </w:p>
        </w:tc>
        <w:tc>
          <w:tcPr>
            <w:tcW w:w="738" w:type="dxa"/>
            <w:vAlign w:val="top"/>
          </w:tcPr>
          <w:p>
            <w:pPr>
              <w:spacing w:line="440" w:lineRule="exact"/>
              <w:jc w:val="center"/>
              <w:rPr>
                <w:rFonts w:ascii="宋体" w:hAnsi="宋体" w:cs="宋体"/>
                <w:color w:val="auto"/>
                <w:szCs w:val="21"/>
                <w:highlight w:val="none"/>
              </w:rPr>
            </w:pPr>
          </w:p>
        </w:tc>
        <w:tc>
          <w:tcPr>
            <w:tcW w:w="1212" w:type="dxa"/>
            <w:vAlign w:val="top"/>
          </w:tcPr>
          <w:p>
            <w:pPr>
              <w:spacing w:line="440" w:lineRule="exact"/>
              <w:jc w:val="center"/>
              <w:rPr>
                <w:rFonts w:ascii="宋体" w:hAnsi="宋体" w:cs="宋体"/>
                <w:color w:val="auto"/>
                <w:szCs w:val="21"/>
                <w:highlight w:val="none"/>
              </w:rPr>
            </w:pPr>
          </w:p>
        </w:tc>
        <w:tc>
          <w:tcPr>
            <w:tcW w:w="874" w:type="dxa"/>
            <w:vAlign w:val="top"/>
          </w:tcPr>
          <w:p>
            <w:pPr>
              <w:spacing w:line="440" w:lineRule="exact"/>
              <w:jc w:val="center"/>
              <w:rPr>
                <w:rFonts w:ascii="宋体" w:hAnsi="宋体" w:cs="宋体"/>
                <w:color w:val="auto"/>
                <w:szCs w:val="21"/>
                <w:highlight w:val="none"/>
              </w:rPr>
            </w:pPr>
          </w:p>
        </w:tc>
        <w:tc>
          <w:tcPr>
            <w:tcW w:w="1055" w:type="dxa"/>
            <w:vAlign w:val="top"/>
          </w:tcPr>
          <w:p>
            <w:pPr>
              <w:spacing w:line="440" w:lineRule="exact"/>
              <w:jc w:val="center"/>
              <w:rPr>
                <w:rFonts w:ascii="宋体" w:hAnsi="宋体" w:cs="宋体"/>
                <w:color w:val="auto"/>
                <w:szCs w:val="21"/>
                <w:highlight w:val="none"/>
              </w:rPr>
            </w:pPr>
          </w:p>
        </w:tc>
        <w:tc>
          <w:tcPr>
            <w:tcW w:w="691" w:type="dxa"/>
            <w:vAlign w:val="top"/>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top"/>
          </w:tcPr>
          <w:p>
            <w:pPr>
              <w:spacing w:line="440" w:lineRule="exact"/>
              <w:jc w:val="center"/>
              <w:rPr>
                <w:rFonts w:ascii="宋体" w:hAnsi="宋体" w:cs="宋体"/>
                <w:color w:val="auto"/>
                <w:szCs w:val="21"/>
                <w:highlight w:val="none"/>
              </w:rPr>
            </w:pPr>
          </w:p>
        </w:tc>
        <w:tc>
          <w:tcPr>
            <w:tcW w:w="1086" w:type="dxa"/>
            <w:vAlign w:val="top"/>
          </w:tcPr>
          <w:p>
            <w:pPr>
              <w:spacing w:line="440" w:lineRule="exact"/>
              <w:jc w:val="center"/>
              <w:rPr>
                <w:rFonts w:ascii="宋体" w:hAnsi="宋体" w:cs="宋体"/>
                <w:color w:val="auto"/>
                <w:szCs w:val="21"/>
                <w:highlight w:val="none"/>
              </w:rPr>
            </w:pPr>
          </w:p>
        </w:tc>
        <w:tc>
          <w:tcPr>
            <w:tcW w:w="761" w:type="dxa"/>
            <w:vAlign w:val="top"/>
          </w:tcPr>
          <w:p>
            <w:pPr>
              <w:spacing w:line="440" w:lineRule="exact"/>
              <w:jc w:val="center"/>
              <w:rPr>
                <w:rFonts w:ascii="宋体" w:hAnsi="宋体" w:cs="宋体"/>
                <w:color w:val="auto"/>
                <w:szCs w:val="21"/>
                <w:highlight w:val="none"/>
              </w:rPr>
            </w:pPr>
          </w:p>
        </w:tc>
        <w:tc>
          <w:tcPr>
            <w:tcW w:w="990" w:type="dxa"/>
            <w:vAlign w:val="top"/>
          </w:tcPr>
          <w:p>
            <w:pPr>
              <w:spacing w:line="440" w:lineRule="exact"/>
              <w:jc w:val="center"/>
              <w:rPr>
                <w:rFonts w:ascii="宋体" w:hAnsi="宋体" w:cs="宋体"/>
                <w:color w:val="auto"/>
                <w:szCs w:val="21"/>
                <w:highlight w:val="none"/>
              </w:rPr>
            </w:pPr>
          </w:p>
        </w:tc>
        <w:tc>
          <w:tcPr>
            <w:tcW w:w="672" w:type="dxa"/>
            <w:vAlign w:val="top"/>
          </w:tcPr>
          <w:p>
            <w:pPr>
              <w:spacing w:line="440" w:lineRule="exact"/>
              <w:jc w:val="center"/>
              <w:rPr>
                <w:rFonts w:ascii="宋体" w:hAnsi="宋体" w:cs="宋体"/>
                <w:color w:val="auto"/>
                <w:szCs w:val="21"/>
                <w:highlight w:val="none"/>
              </w:rPr>
            </w:pPr>
          </w:p>
        </w:tc>
        <w:tc>
          <w:tcPr>
            <w:tcW w:w="738" w:type="dxa"/>
            <w:vAlign w:val="top"/>
          </w:tcPr>
          <w:p>
            <w:pPr>
              <w:spacing w:line="440" w:lineRule="exact"/>
              <w:jc w:val="center"/>
              <w:rPr>
                <w:rFonts w:ascii="宋体" w:hAnsi="宋体" w:cs="宋体"/>
                <w:color w:val="auto"/>
                <w:szCs w:val="21"/>
                <w:highlight w:val="none"/>
              </w:rPr>
            </w:pPr>
          </w:p>
        </w:tc>
        <w:tc>
          <w:tcPr>
            <w:tcW w:w="1212" w:type="dxa"/>
            <w:vAlign w:val="top"/>
          </w:tcPr>
          <w:p>
            <w:pPr>
              <w:spacing w:line="440" w:lineRule="exact"/>
              <w:jc w:val="center"/>
              <w:rPr>
                <w:rFonts w:ascii="宋体" w:hAnsi="宋体" w:cs="宋体"/>
                <w:color w:val="auto"/>
                <w:szCs w:val="21"/>
                <w:highlight w:val="none"/>
              </w:rPr>
            </w:pPr>
          </w:p>
        </w:tc>
        <w:tc>
          <w:tcPr>
            <w:tcW w:w="874" w:type="dxa"/>
            <w:vAlign w:val="top"/>
          </w:tcPr>
          <w:p>
            <w:pPr>
              <w:spacing w:line="440" w:lineRule="exact"/>
              <w:jc w:val="center"/>
              <w:rPr>
                <w:rFonts w:ascii="宋体" w:hAnsi="宋体" w:cs="宋体"/>
                <w:color w:val="auto"/>
                <w:szCs w:val="21"/>
                <w:highlight w:val="none"/>
              </w:rPr>
            </w:pPr>
          </w:p>
        </w:tc>
        <w:tc>
          <w:tcPr>
            <w:tcW w:w="1055" w:type="dxa"/>
            <w:vAlign w:val="top"/>
          </w:tcPr>
          <w:p>
            <w:pPr>
              <w:spacing w:line="440" w:lineRule="exact"/>
              <w:jc w:val="center"/>
              <w:rPr>
                <w:rFonts w:ascii="宋体" w:hAnsi="宋体" w:cs="宋体"/>
                <w:color w:val="auto"/>
                <w:szCs w:val="21"/>
                <w:highlight w:val="none"/>
              </w:rPr>
            </w:pPr>
          </w:p>
        </w:tc>
        <w:tc>
          <w:tcPr>
            <w:tcW w:w="691" w:type="dxa"/>
            <w:vAlign w:val="top"/>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top"/>
          </w:tcPr>
          <w:p>
            <w:pPr>
              <w:spacing w:line="440" w:lineRule="exact"/>
              <w:jc w:val="center"/>
              <w:rPr>
                <w:rFonts w:ascii="宋体" w:hAnsi="宋体" w:cs="宋体"/>
                <w:color w:val="auto"/>
                <w:szCs w:val="21"/>
                <w:highlight w:val="none"/>
              </w:rPr>
            </w:pPr>
          </w:p>
        </w:tc>
        <w:tc>
          <w:tcPr>
            <w:tcW w:w="1086" w:type="dxa"/>
            <w:vAlign w:val="top"/>
          </w:tcPr>
          <w:p>
            <w:pPr>
              <w:spacing w:line="440" w:lineRule="exact"/>
              <w:jc w:val="center"/>
              <w:rPr>
                <w:rFonts w:ascii="宋体" w:hAnsi="宋体" w:cs="宋体"/>
                <w:color w:val="auto"/>
                <w:szCs w:val="21"/>
                <w:highlight w:val="none"/>
              </w:rPr>
            </w:pPr>
          </w:p>
        </w:tc>
        <w:tc>
          <w:tcPr>
            <w:tcW w:w="761" w:type="dxa"/>
            <w:vAlign w:val="top"/>
          </w:tcPr>
          <w:p>
            <w:pPr>
              <w:spacing w:line="440" w:lineRule="exact"/>
              <w:jc w:val="center"/>
              <w:rPr>
                <w:rFonts w:ascii="宋体" w:hAnsi="宋体" w:cs="宋体"/>
                <w:color w:val="auto"/>
                <w:szCs w:val="21"/>
                <w:highlight w:val="none"/>
              </w:rPr>
            </w:pPr>
          </w:p>
        </w:tc>
        <w:tc>
          <w:tcPr>
            <w:tcW w:w="990" w:type="dxa"/>
            <w:vAlign w:val="top"/>
          </w:tcPr>
          <w:p>
            <w:pPr>
              <w:spacing w:line="440" w:lineRule="exact"/>
              <w:jc w:val="center"/>
              <w:rPr>
                <w:rFonts w:ascii="宋体" w:hAnsi="宋体" w:cs="宋体"/>
                <w:color w:val="auto"/>
                <w:szCs w:val="21"/>
                <w:highlight w:val="none"/>
              </w:rPr>
            </w:pPr>
          </w:p>
        </w:tc>
        <w:tc>
          <w:tcPr>
            <w:tcW w:w="672" w:type="dxa"/>
            <w:vAlign w:val="top"/>
          </w:tcPr>
          <w:p>
            <w:pPr>
              <w:spacing w:line="440" w:lineRule="exact"/>
              <w:jc w:val="center"/>
              <w:rPr>
                <w:rFonts w:ascii="宋体" w:hAnsi="宋体" w:cs="宋体"/>
                <w:color w:val="auto"/>
                <w:szCs w:val="21"/>
                <w:highlight w:val="none"/>
              </w:rPr>
            </w:pPr>
          </w:p>
        </w:tc>
        <w:tc>
          <w:tcPr>
            <w:tcW w:w="738" w:type="dxa"/>
            <w:vAlign w:val="top"/>
          </w:tcPr>
          <w:p>
            <w:pPr>
              <w:spacing w:line="440" w:lineRule="exact"/>
              <w:jc w:val="center"/>
              <w:rPr>
                <w:rFonts w:ascii="宋体" w:hAnsi="宋体" w:cs="宋体"/>
                <w:color w:val="auto"/>
                <w:szCs w:val="21"/>
                <w:highlight w:val="none"/>
              </w:rPr>
            </w:pPr>
          </w:p>
        </w:tc>
        <w:tc>
          <w:tcPr>
            <w:tcW w:w="1212" w:type="dxa"/>
            <w:vAlign w:val="top"/>
          </w:tcPr>
          <w:p>
            <w:pPr>
              <w:spacing w:line="440" w:lineRule="exact"/>
              <w:jc w:val="center"/>
              <w:rPr>
                <w:rFonts w:ascii="宋体" w:hAnsi="宋体" w:cs="宋体"/>
                <w:color w:val="auto"/>
                <w:szCs w:val="21"/>
                <w:highlight w:val="none"/>
              </w:rPr>
            </w:pPr>
          </w:p>
        </w:tc>
        <w:tc>
          <w:tcPr>
            <w:tcW w:w="874" w:type="dxa"/>
            <w:vAlign w:val="top"/>
          </w:tcPr>
          <w:p>
            <w:pPr>
              <w:spacing w:line="440" w:lineRule="exact"/>
              <w:jc w:val="center"/>
              <w:rPr>
                <w:rFonts w:ascii="宋体" w:hAnsi="宋体" w:cs="宋体"/>
                <w:color w:val="auto"/>
                <w:szCs w:val="21"/>
                <w:highlight w:val="none"/>
              </w:rPr>
            </w:pPr>
          </w:p>
        </w:tc>
        <w:tc>
          <w:tcPr>
            <w:tcW w:w="1055" w:type="dxa"/>
            <w:vAlign w:val="top"/>
          </w:tcPr>
          <w:p>
            <w:pPr>
              <w:spacing w:line="440" w:lineRule="exact"/>
              <w:jc w:val="center"/>
              <w:rPr>
                <w:rFonts w:ascii="宋体" w:hAnsi="宋体" w:cs="宋体"/>
                <w:color w:val="auto"/>
                <w:szCs w:val="21"/>
                <w:highlight w:val="none"/>
              </w:rPr>
            </w:pPr>
          </w:p>
        </w:tc>
        <w:tc>
          <w:tcPr>
            <w:tcW w:w="691" w:type="dxa"/>
            <w:vAlign w:val="top"/>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top"/>
          </w:tcPr>
          <w:p>
            <w:pPr>
              <w:spacing w:line="440" w:lineRule="exact"/>
              <w:jc w:val="center"/>
              <w:rPr>
                <w:rFonts w:ascii="宋体" w:hAnsi="宋体" w:cs="宋体"/>
                <w:color w:val="auto"/>
                <w:szCs w:val="21"/>
                <w:highlight w:val="none"/>
              </w:rPr>
            </w:pPr>
          </w:p>
        </w:tc>
        <w:tc>
          <w:tcPr>
            <w:tcW w:w="1086" w:type="dxa"/>
            <w:vAlign w:val="top"/>
          </w:tcPr>
          <w:p>
            <w:pPr>
              <w:spacing w:line="440" w:lineRule="exact"/>
              <w:jc w:val="center"/>
              <w:rPr>
                <w:rFonts w:ascii="宋体" w:hAnsi="宋体" w:cs="宋体"/>
                <w:color w:val="auto"/>
                <w:szCs w:val="21"/>
                <w:highlight w:val="none"/>
              </w:rPr>
            </w:pPr>
          </w:p>
        </w:tc>
        <w:tc>
          <w:tcPr>
            <w:tcW w:w="761" w:type="dxa"/>
            <w:vAlign w:val="top"/>
          </w:tcPr>
          <w:p>
            <w:pPr>
              <w:spacing w:line="440" w:lineRule="exact"/>
              <w:jc w:val="center"/>
              <w:rPr>
                <w:rFonts w:ascii="宋体" w:hAnsi="宋体" w:cs="宋体"/>
                <w:color w:val="auto"/>
                <w:szCs w:val="21"/>
                <w:highlight w:val="none"/>
              </w:rPr>
            </w:pPr>
          </w:p>
        </w:tc>
        <w:tc>
          <w:tcPr>
            <w:tcW w:w="990" w:type="dxa"/>
            <w:vAlign w:val="top"/>
          </w:tcPr>
          <w:p>
            <w:pPr>
              <w:spacing w:line="440" w:lineRule="exact"/>
              <w:jc w:val="center"/>
              <w:rPr>
                <w:rFonts w:ascii="宋体" w:hAnsi="宋体" w:cs="宋体"/>
                <w:color w:val="auto"/>
                <w:szCs w:val="21"/>
                <w:highlight w:val="none"/>
              </w:rPr>
            </w:pPr>
          </w:p>
        </w:tc>
        <w:tc>
          <w:tcPr>
            <w:tcW w:w="672" w:type="dxa"/>
            <w:vAlign w:val="top"/>
          </w:tcPr>
          <w:p>
            <w:pPr>
              <w:spacing w:line="440" w:lineRule="exact"/>
              <w:jc w:val="center"/>
              <w:rPr>
                <w:rFonts w:ascii="宋体" w:hAnsi="宋体" w:cs="宋体"/>
                <w:color w:val="auto"/>
                <w:szCs w:val="21"/>
                <w:highlight w:val="none"/>
              </w:rPr>
            </w:pPr>
          </w:p>
        </w:tc>
        <w:tc>
          <w:tcPr>
            <w:tcW w:w="738" w:type="dxa"/>
            <w:vAlign w:val="top"/>
          </w:tcPr>
          <w:p>
            <w:pPr>
              <w:spacing w:line="440" w:lineRule="exact"/>
              <w:jc w:val="center"/>
              <w:rPr>
                <w:rFonts w:ascii="宋体" w:hAnsi="宋体" w:cs="宋体"/>
                <w:color w:val="auto"/>
                <w:szCs w:val="21"/>
                <w:highlight w:val="none"/>
              </w:rPr>
            </w:pPr>
          </w:p>
        </w:tc>
        <w:tc>
          <w:tcPr>
            <w:tcW w:w="1212" w:type="dxa"/>
            <w:vAlign w:val="top"/>
          </w:tcPr>
          <w:p>
            <w:pPr>
              <w:spacing w:line="440" w:lineRule="exact"/>
              <w:jc w:val="center"/>
              <w:rPr>
                <w:rFonts w:ascii="宋体" w:hAnsi="宋体" w:cs="宋体"/>
                <w:color w:val="auto"/>
                <w:szCs w:val="21"/>
                <w:highlight w:val="none"/>
              </w:rPr>
            </w:pPr>
          </w:p>
        </w:tc>
        <w:tc>
          <w:tcPr>
            <w:tcW w:w="874" w:type="dxa"/>
            <w:vAlign w:val="top"/>
          </w:tcPr>
          <w:p>
            <w:pPr>
              <w:spacing w:line="440" w:lineRule="exact"/>
              <w:jc w:val="center"/>
              <w:rPr>
                <w:rFonts w:ascii="宋体" w:hAnsi="宋体" w:cs="宋体"/>
                <w:color w:val="auto"/>
                <w:szCs w:val="21"/>
                <w:highlight w:val="none"/>
              </w:rPr>
            </w:pPr>
          </w:p>
        </w:tc>
        <w:tc>
          <w:tcPr>
            <w:tcW w:w="1055" w:type="dxa"/>
            <w:vAlign w:val="top"/>
          </w:tcPr>
          <w:p>
            <w:pPr>
              <w:spacing w:line="440" w:lineRule="exact"/>
              <w:jc w:val="center"/>
              <w:rPr>
                <w:rFonts w:ascii="宋体" w:hAnsi="宋体" w:cs="宋体"/>
                <w:color w:val="auto"/>
                <w:szCs w:val="21"/>
                <w:highlight w:val="none"/>
              </w:rPr>
            </w:pPr>
          </w:p>
        </w:tc>
        <w:tc>
          <w:tcPr>
            <w:tcW w:w="691" w:type="dxa"/>
            <w:vAlign w:val="top"/>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top"/>
          </w:tcPr>
          <w:p>
            <w:pPr>
              <w:spacing w:line="440" w:lineRule="exact"/>
              <w:jc w:val="center"/>
              <w:rPr>
                <w:rFonts w:ascii="宋体" w:hAnsi="宋体" w:cs="宋体"/>
                <w:color w:val="auto"/>
                <w:szCs w:val="21"/>
                <w:highlight w:val="none"/>
              </w:rPr>
            </w:pPr>
          </w:p>
        </w:tc>
        <w:tc>
          <w:tcPr>
            <w:tcW w:w="1086" w:type="dxa"/>
            <w:vAlign w:val="top"/>
          </w:tcPr>
          <w:p>
            <w:pPr>
              <w:spacing w:line="440" w:lineRule="exact"/>
              <w:jc w:val="center"/>
              <w:rPr>
                <w:rFonts w:ascii="宋体" w:hAnsi="宋体" w:cs="宋体"/>
                <w:color w:val="auto"/>
                <w:szCs w:val="21"/>
                <w:highlight w:val="none"/>
              </w:rPr>
            </w:pPr>
          </w:p>
        </w:tc>
        <w:tc>
          <w:tcPr>
            <w:tcW w:w="761" w:type="dxa"/>
            <w:vAlign w:val="top"/>
          </w:tcPr>
          <w:p>
            <w:pPr>
              <w:spacing w:line="440" w:lineRule="exact"/>
              <w:jc w:val="center"/>
              <w:rPr>
                <w:rFonts w:ascii="宋体" w:hAnsi="宋体" w:cs="宋体"/>
                <w:color w:val="auto"/>
                <w:szCs w:val="21"/>
                <w:highlight w:val="none"/>
              </w:rPr>
            </w:pPr>
          </w:p>
        </w:tc>
        <w:tc>
          <w:tcPr>
            <w:tcW w:w="990" w:type="dxa"/>
            <w:vAlign w:val="top"/>
          </w:tcPr>
          <w:p>
            <w:pPr>
              <w:spacing w:line="440" w:lineRule="exact"/>
              <w:jc w:val="center"/>
              <w:rPr>
                <w:rFonts w:ascii="宋体" w:hAnsi="宋体" w:cs="宋体"/>
                <w:color w:val="auto"/>
                <w:szCs w:val="21"/>
                <w:highlight w:val="none"/>
              </w:rPr>
            </w:pPr>
          </w:p>
        </w:tc>
        <w:tc>
          <w:tcPr>
            <w:tcW w:w="672" w:type="dxa"/>
            <w:vAlign w:val="top"/>
          </w:tcPr>
          <w:p>
            <w:pPr>
              <w:spacing w:line="440" w:lineRule="exact"/>
              <w:jc w:val="center"/>
              <w:rPr>
                <w:rFonts w:ascii="宋体" w:hAnsi="宋体" w:cs="宋体"/>
                <w:color w:val="auto"/>
                <w:szCs w:val="21"/>
                <w:highlight w:val="none"/>
              </w:rPr>
            </w:pPr>
          </w:p>
        </w:tc>
        <w:tc>
          <w:tcPr>
            <w:tcW w:w="738" w:type="dxa"/>
            <w:vAlign w:val="top"/>
          </w:tcPr>
          <w:p>
            <w:pPr>
              <w:spacing w:line="440" w:lineRule="exact"/>
              <w:jc w:val="center"/>
              <w:rPr>
                <w:rFonts w:ascii="宋体" w:hAnsi="宋体" w:cs="宋体"/>
                <w:color w:val="auto"/>
                <w:szCs w:val="21"/>
                <w:highlight w:val="none"/>
              </w:rPr>
            </w:pPr>
          </w:p>
        </w:tc>
        <w:tc>
          <w:tcPr>
            <w:tcW w:w="1212" w:type="dxa"/>
            <w:vAlign w:val="top"/>
          </w:tcPr>
          <w:p>
            <w:pPr>
              <w:spacing w:line="440" w:lineRule="exact"/>
              <w:jc w:val="center"/>
              <w:rPr>
                <w:rFonts w:ascii="宋体" w:hAnsi="宋体" w:cs="宋体"/>
                <w:color w:val="auto"/>
                <w:szCs w:val="21"/>
                <w:highlight w:val="none"/>
              </w:rPr>
            </w:pPr>
          </w:p>
        </w:tc>
        <w:tc>
          <w:tcPr>
            <w:tcW w:w="874" w:type="dxa"/>
            <w:vAlign w:val="top"/>
          </w:tcPr>
          <w:p>
            <w:pPr>
              <w:spacing w:line="440" w:lineRule="exact"/>
              <w:jc w:val="center"/>
              <w:rPr>
                <w:rFonts w:ascii="宋体" w:hAnsi="宋体" w:cs="宋体"/>
                <w:color w:val="auto"/>
                <w:szCs w:val="21"/>
                <w:highlight w:val="none"/>
              </w:rPr>
            </w:pPr>
          </w:p>
        </w:tc>
        <w:tc>
          <w:tcPr>
            <w:tcW w:w="1055" w:type="dxa"/>
            <w:vAlign w:val="top"/>
          </w:tcPr>
          <w:p>
            <w:pPr>
              <w:spacing w:line="440" w:lineRule="exact"/>
              <w:jc w:val="center"/>
              <w:rPr>
                <w:rFonts w:ascii="宋体" w:hAnsi="宋体" w:cs="宋体"/>
                <w:color w:val="auto"/>
                <w:szCs w:val="21"/>
                <w:highlight w:val="none"/>
              </w:rPr>
            </w:pPr>
          </w:p>
        </w:tc>
        <w:tc>
          <w:tcPr>
            <w:tcW w:w="691" w:type="dxa"/>
            <w:vAlign w:val="top"/>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top"/>
          </w:tcPr>
          <w:p>
            <w:pPr>
              <w:spacing w:line="440" w:lineRule="exact"/>
              <w:jc w:val="center"/>
              <w:rPr>
                <w:rFonts w:ascii="宋体" w:hAnsi="宋体" w:cs="宋体"/>
                <w:color w:val="auto"/>
                <w:szCs w:val="21"/>
                <w:highlight w:val="none"/>
              </w:rPr>
            </w:pPr>
          </w:p>
        </w:tc>
        <w:tc>
          <w:tcPr>
            <w:tcW w:w="1086" w:type="dxa"/>
            <w:vAlign w:val="top"/>
          </w:tcPr>
          <w:p>
            <w:pPr>
              <w:spacing w:line="440" w:lineRule="exact"/>
              <w:jc w:val="center"/>
              <w:rPr>
                <w:rFonts w:ascii="宋体" w:hAnsi="宋体" w:cs="宋体"/>
                <w:color w:val="auto"/>
                <w:szCs w:val="21"/>
                <w:highlight w:val="none"/>
              </w:rPr>
            </w:pPr>
          </w:p>
        </w:tc>
        <w:tc>
          <w:tcPr>
            <w:tcW w:w="761" w:type="dxa"/>
            <w:vAlign w:val="top"/>
          </w:tcPr>
          <w:p>
            <w:pPr>
              <w:spacing w:line="440" w:lineRule="exact"/>
              <w:jc w:val="center"/>
              <w:rPr>
                <w:rFonts w:ascii="宋体" w:hAnsi="宋体" w:cs="宋体"/>
                <w:color w:val="auto"/>
                <w:szCs w:val="21"/>
                <w:highlight w:val="none"/>
              </w:rPr>
            </w:pPr>
          </w:p>
        </w:tc>
        <w:tc>
          <w:tcPr>
            <w:tcW w:w="990" w:type="dxa"/>
            <w:vAlign w:val="top"/>
          </w:tcPr>
          <w:p>
            <w:pPr>
              <w:spacing w:line="440" w:lineRule="exact"/>
              <w:jc w:val="center"/>
              <w:rPr>
                <w:rFonts w:ascii="宋体" w:hAnsi="宋体" w:cs="宋体"/>
                <w:color w:val="auto"/>
                <w:szCs w:val="21"/>
                <w:highlight w:val="none"/>
              </w:rPr>
            </w:pPr>
          </w:p>
        </w:tc>
        <w:tc>
          <w:tcPr>
            <w:tcW w:w="672" w:type="dxa"/>
            <w:vAlign w:val="top"/>
          </w:tcPr>
          <w:p>
            <w:pPr>
              <w:spacing w:line="440" w:lineRule="exact"/>
              <w:jc w:val="center"/>
              <w:rPr>
                <w:rFonts w:ascii="宋体" w:hAnsi="宋体" w:cs="宋体"/>
                <w:color w:val="auto"/>
                <w:szCs w:val="21"/>
                <w:highlight w:val="none"/>
              </w:rPr>
            </w:pPr>
          </w:p>
        </w:tc>
        <w:tc>
          <w:tcPr>
            <w:tcW w:w="738" w:type="dxa"/>
            <w:vAlign w:val="top"/>
          </w:tcPr>
          <w:p>
            <w:pPr>
              <w:spacing w:line="440" w:lineRule="exact"/>
              <w:jc w:val="center"/>
              <w:rPr>
                <w:rFonts w:ascii="宋体" w:hAnsi="宋体" w:cs="宋体"/>
                <w:color w:val="auto"/>
                <w:szCs w:val="21"/>
                <w:highlight w:val="none"/>
              </w:rPr>
            </w:pPr>
          </w:p>
        </w:tc>
        <w:tc>
          <w:tcPr>
            <w:tcW w:w="1212" w:type="dxa"/>
            <w:vAlign w:val="top"/>
          </w:tcPr>
          <w:p>
            <w:pPr>
              <w:spacing w:line="440" w:lineRule="exact"/>
              <w:jc w:val="center"/>
              <w:rPr>
                <w:rFonts w:ascii="宋体" w:hAnsi="宋体" w:cs="宋体"/>
                <w:color w:val="auto"/>
                <w:szCs w:val="21"/>
                <w:highlight w:val="none"/>
              </w:rPr>
            </w:pPr>
          </w:p>
        </w:tc>
        <w:tc>
          <w:tcPr>
            <w:tcW w:w="874" w:type="dxa"/>
            <w:vAlign w:val="top"/>
          </w:tcPr>
          <w:p>
            <w:pPr>
              <w:spacing w:line="440" w:lineRule="exact"/>
              <w:jc w:val="center"/>
              <w:rPr>
                <w:rFonts w:ascii="宋体" w:hAnsi="宋体" w:cs="宋体"/>
                <w:color w:val="auto"/>
                <w:szCs w:val="21"/>
                <w:highlight w:val="none"/>
              </w:rPr>
            </w:pPr>
          </w:p>
        </w:tc>
        <w:tc>
          <w:tcPr>
            <w:tcW w:w="1055" w:type="dxa"/>
            <w:vAlign w:val="top"/>
          </w:tcPr>
          <w:p>
            <w:pPr>
              <w:spacing w:line="440" w:lineRule="exact"/>
              <w:jc w:val="center"/>
              <w:rPr>
                <w:rFonts w:ascii="宋体" w:hAnsi="宋体" w:cs="宋体"/>
                <w:color w:val="auto"/>
                <w:szCs w:val="21"/>
                <w:highlight w:val="none"/>
              </w:rPr>
            </w:pPr>
          </w:p>
        </w:tc>
        <w:tc>
          <w:tcPr>
            <w:tcW w:w="691" w:type="dxa"/>
            <w:vAlign w:val="top"/>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top"/>
          </w:tcPr>
          <w:p>
            <w:pPr>
              <w:spacing w:line="440" w:lineRule="exact"/>
              <w:jc w:val="center"/>
              <w:rPr>
                <w:rFonts w:ascii="宋体" w:hAnsi="宋体" w:cs="宋体"/>
                <w:color w:val="auto"/>
                <w:szCs w:val="21"/>
                <w:highlight w:val="none"/>
              </w:rPr>
            </w:pPr>
          </w:p>
        </w:tc>
        <w:tc>
          <w:tcPr>
            <w:tcW w:w="1086" w:type="dxa"/>
            <w:vAlign w:val="top"/>
          </w:tcPr>
          <w:p>
            <w:pPr>
              <w:spacing w:line="440" w:lineRule="exact"/>
              <w:jc w:val="center"/>
              <w:rPr>
                <w:rFonts w:ascii="宋体" w:hAnsi="宋体" w:cs="宋体"/>
                <w:color w:val="auto"/>
                <w:szCs w:val="21"/>
                <w:highlight w:val="none"/>
              </w:rPr>
            </w:pPr>
          </w:p>
        </w:tc>
        <w:tc>
          <w:tcPr>
            <w:tcW w:w="761" w:type="dxa"/>
            <w:vAlign w:val="top"/>
          </w:tcPr>
          <w:p>
            <w:pPr>
              <w:spacing w:line="440" w:lineRule="exact"/>
              <w:jc w:val="center"/>
              <w:rPr>
                <w:rFonts w:ascii="宋体" w:hAnsi="宋体" w:cs="宋体"/>
                <w:color w:val="auto"/>
                <w:szCs w:val="21"/>
                <w:highlight w:val="none"/>
              </w:rPr>
            </w:pPr>
          </w:p>
        </w:tc>
        <w:tc>
          <w:tcPr>
            <w:tcW w:w="990" w:type="dxa"/>
            <w:vAlign w:val="top"/>
          </w:tcPr>
          <w:p>
            <w:pPr>
              <w:spacing w:line="440" w:lineRule="exact"/>
              <w:jc w:val="center"/>
              <w:rPr>
                <w:rFonts w:ascii="宋体" w:hAnsi="宋体" w:cs="宋体"/>
                <w:color w:val="auto"/>
                <w:szCs w:val="21"/>
                <w:highlight w:val="none"/>
              </w:rPr>
            </w:pPr>
          </w:p>
        </w:tc>
        <w:tc>
          <w:tcPr>
            <w:tcW w:w="672" w:type="dxa"/>
            <w:vAlign w:val="top"/>
          </w:tcPr>
          <w:p>
            <w:pPr>
              <w:spacing w:line="440" w:lineRule="exact"/>
              <w:jc w:val="center"/>
              <w:rPr>
                <w:rFonts w:ascii="宋体" w:hAnsi="宋体" w:cs="宋体"/>
                <w:color w:val="auto"/>
                <w:szCs w:val="21"/>
                <w:highlight w:val="none"/>
              </w:rPr>
            </w:pPr>
          </w:p>
        </w:tc>
        <w:tc>
          <w:tcPr>
            <w:tcW w:w="738" w:type="dxa"/>
            <w:vAlign w:val="top"/>
          </w:tcPr>
          <w:p>
            <w:pPr>
              <w:spacing w:line="440" w:lineRule="exact"/>
              <w:jc w:val="center"/>
              <w:rPr>
                <w:rFonts w:ascii="宋体" w:hAnsi="宋体" w:cs="宋体"/>
                <w:color w:val="auto"/>
                <w:szCs w:val="21"/>
                <w:highlight w:val="none"/>
              </w:rPr>
            </w:pPr>
          </w:p>
        </w:tc>
        <w:tc>
          <w:tcPr>
            <w:tcW w:w="1212" w:type="dxa"/>
            <w:vAlign w:val="top"/>
          </w:tcPr>
          <w:p>
            <w:pPr>
              <w:spacing w:line="440" w:lineRule="exact"/>
              <w:jc w:val="center"/>
              <w:rPr>
                <w:rFonts w:ascii="宋体" w:hAnsi="宋体" w:cs="宋体"/>
                <w:color w:val="auto"/>
                <w:szCs w:val="21"/>
                <w:highlight w:val="none"/>
              </w:rPr>
            </w:pPr>
          </w:p>
        </w:tc>
        <w:tc>
          <w:tcPr>
            <w:tcW w:w="874" w:type="dxa"/>
            <w:vAlign w:val="top"/>
          </w:tcPr>
          <w:p>
            <w:pPr>
              <w:spacing w:line="440" w:lineRule="exact"/>
              <w:jc w:val="center"/>
              <w:rPr>
                <w:rFonts w:ascii="宋体" w:hAnsi="宋体" w:cs="宋体"/>
                <w:color w:val="auto"/>
                <w:szCs w:val="21"/>
                <w:highlight w:val="none"/>
              </w:rPr>
            </w:pPr>
          </w:p>
        </w:tc>
        <w:tc>
          <w:tcPr>
            <w:tcW w:w="1055" w:type="dxa"/>
            <w:vAlign w:val="top"/>
          </w:tcPr>
          <w:p>
            <w:pPr>
              <w:spacing w:line="440" w:lineRule="exact"/>
              <w:jc w:val="center"/>
              <w:rPr>
                <w:rFonts w:ascii="宋体" w:hAnsi="宋体" w:cs="宋体"/>
                <w:color w:val="auto"/>
                <w:szCs w:val="21"/>
                <w:highlight w:val="none"/>
              </w:rPr>
            </w:pPr>
          </w:p>
        </w:tc>
        <w:tc>
          <w:tcPr>
            <w:tcW w:w="691" w:type="dxa"/>
            <w:vAlign w:val="top"/>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top"/>
          </w:tcPr>
          <w:p>
            <w:pPr>
              <w:spacing w:line="440" w:lineRule="exact"/>
              <w:jc w:val="center"/>
              <w:rPr>
                <w:rFonts w:ascii="宋体" w:hAnsi="宋体" w:cs="宋体"/>
                <w:color w:val="auto"/>
                <w:szCs w:val="21"/>
                <w:highlight w:val="none"/>
              </w:rPr>
            </w:pPr>
          </w:p>
        </w:tc>
        <w:tc>
          <w:tcPr>
            <w:tcW w:w="1086" w:type="dxa"/>
            <w:vAlign w:val="top"/>
          </w:tcPr>
          <w:p>
            <w:pPr>
              <w:spacing w:line="440" w:lineRule="exact"/>
              <w:jc w:val="center"/>
              <w:rPr>
                <w:rFonts w:ascii="宋体" w:hAnsi="宋体" w:cs="宋体"/>
                <w:color w:val="auto"/>
                <w:szCs w:val="21"/>
                <w:highlight w:val="none"/>
              </w:rPr>
            </w:pPr>
          </w:p>
        </w:tc>
        <w:tc>
          <w:tcPr>
            <w:tcW w:w="761" w:type="dxa"/>
            <w:vAlign w:val="top"/>
          </w:tcPr>
          <w:p>
            <w:pPr>
              <w:spacing w:line="440" w:lineRule="exact"/>
              <w:jc w:val="center"/>
              <w:rPr>
                <w:rFonts w:ascii="宋体" w:hAnsi="宋体" w:cs="宋体"/>
                <w:color w:val="auto"/>
                <w:szCs w:val="21"/>
                <w:highlight w:val="none"/>
              </w:rPr>
            </w:pPr>
          </w:p>
        </w:tc>
        <w:tc>
          <w:tcPr>
            <w:tcW w:w="990" w:type="dxa"/>
            <w:vAlign w:val="top"/>
          </w:tcPr>
          <w:p>
            <w:pPr>
              <w:spacing w:line="440" w:lineRule="exact"/>
              <w:jc w:val="center"/>
              <w:rPr>
                <w:rFonts w:ascii="宋体" w:hAnsi="宋体" w:cs="宋体"/>
                <w:color w:val="auto"/>
                <w:szCs w:val="21"/>
                <w:highlight w:val="none"/>
              </w:rPr>
            </w:pPr>
          </w:p>
        </w:tc>
        <w:tc>
          <w:tcPr>
            <w:tcW w:w="672" w:type="dxa"/>
            <w:vAlign w:val="top"/>
          </w:tcPr>
          <w:p>
            <w:pPr>
              <w:spacing w:line="440" w:lineRule="exact"/>
              <w:jc w:val="center"/>
              <w:rPr>
                <w:rFonts w:ascii="宋体" w:hAnsi="宋体" w:cs="宋体"/>
                <w:color w:val="auto"/>
                <w:szCs w:val="21"/>
                <w:highlight w:val="none"/>
              </w:rPr>
            </w:pPr>
          </w:p>
        </w:tc>
        <w:tc>
          <w:tcPr>
            <w:tcW w:w="738" w:type="dxa"/>
            <w:vAlign w:val="top"/>
          </w:tcPr>
          <w:p>
            <w:pPr>
              <w:spacing w:line="440" w:lineRule="exact"/>
              <w:jc w:val="center"/>
              <w:rPr>
                <w:rFonts w:ascii="宋体" w:hAnsi="宋体" w:cs="宋体"/>
                <w:color w:val="auto"/>
                <w:szCs w:val="21"/>
                <w:highlight w:val="none"/>
              </w:rPr>
            </w:pPr>
          </w:p>
        </w:tc>
        <w:tc>
          <w:tcPr>
            <w:tcW w:w="1212" w:type="dxa"/>
            <w:vAlign w:val="top"/>
          </w:tcPr>
          <w:p>
            <w:pPr>
              <w:spacing w:line="440" w:lineRule="exact"/>
              <w:jc w:val="center"/>
              <w:rPr>
                <w:rFonts w:ascii="宋体" w:hAnsi="宋体" w:cs="宋体"/>
                <w:color w:val="auto"/>
                <w:szCs w:val="21"/>
                <w:highlight w:val="none"/>
              </w:rPr>
            </w:pPr>
          </w:p>
        </w:tc>
        <w:tc>
          <w:tcPr>
            <w:tcW w:w="874" w:type="dxa"/>
            <w:vAlign w:val="top"/>
          </w:tcPr>
          <w:p>
            <w:pPr>
              <w:spacing w:line="440" w:lineRule="exact"/>
              <w:jc w:val="center"/>
              <w:rPr>
                <w:rFonts w:ascii="宋体" w:hAnsi="宋体" w:cs="宋体"/>
                <w:color w:val="auto"/>
                <w:szCs w:val="21"/>
                <w:highlight w:val="none"/>
              </w:rPr>
            </w:pPr>
          </w:p>
        </w:tc>
        <w:tc>
          <w:tcPr>
            <w:tcW w:w="1055" w:type="dxa"/>
            <w:vAlign w:val="top"/>
          </w:tcPr>
          <w:p>
            <w:pPr>
              <w:spacing w:line="440" w:lineRule="exact"/>
              <w:jc w:val="center"/>
              <w:rPr>
                <w:rFonts w:ascii="宋体" w:hAnsi="宋体" w:cs="宋体"/>
                <w:color w:val="auto"/>
                <w:szCs w:val="21"/>
                <w:highlight w:val="none"/>
              </w:rPr>
            </w:pPr>
          </w:p>
        </w:tc>
        <w:tc>
          <w:tcPr>
            <w:tcW w:w="691" w:type="dxa"/>
            <w:vAlign w:val="top"/>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top"/>
          </w:tcPr>
          <w:p>
            <w:pPr>
              <w:spacing w:line="440" w:lineRule="exact"/>
              <w:jc w:val="center"/>
              <w:rPr>
                <w:rFonts w:ascii="宋体" w:hAnsi="宋体" w:cs="宋体"/>
                <w:color w:val="auto"/>
                <w:szCs w:val="21"/>
                <w:highlight w:val="none"/>
              </w:rPr>
            </w:pPr>
          </w:p>
        </w:tc>
        <w:tc>
          <w:tcPr>
            <w:tcW w:w="1086" w:type="dxa"/>
            <w:vAlign w:val="top"/>
          </w:tcPr>
          <w:p>
            <w:pPr>
              <w:spacing w:line="440" w:lineRule="exact"/>
              <w:jc w:val="center"/>
              <w:rPr>
                <w:rFonts w:ascii="宋体" w:hAnsi="宋体" w:cs="宋体"/>
                <w:color w:val="auto"/>
                <w:szCs w:val="21"/>
                <w:highlight w:val="none"/>
              </w:rPr>
            </w:pPr>
          </w:p>
        </w:tc>
        <w:tc>
          <w:tcPr>
            <w:tcW w:w="761" w:type="dxa"/>
            <w:vAlign w:val="top"/>
          </w:tcPr>
          <w:p>
            <w:pPr>
              <w:spacing w:line="440" w:lineRule="exact"/>
              <w:jc w:val="center"/>
              <w:rPr>
                <w:rFonts w:ascii="宋体" w:hAnsi="宋体" w:cs="宋体"/>
                <w:color w:val="auto"/>
                <w:szCs w:val="21"/>
                <w:highlight w:val="none"/>
              </w:rPr>
            </w:pPr>
          </w:p>
        </w:tc>
        <w:tc>
          <w:tcPr>
            <w:tcW w:w="990" w:type="dxa"/>
            <w:vAlign w:val="top"/>
          </w:tcPr>
          <w:p>
            <w:pPr>
              <w:spacing w:line="440" w:lineRule="exact"/>
              <w:jc w:val="center"/>
              <w:rPr>
                <w:rFonts w:ascii="宋体" w:hAnsi="宋体" w:cs="宋体"/>
                <w:color w:val="auto"/>
                <w:szCs w:val="21"/>
                <w:highlight w:val="none"/>
              </w:rPr>
            </w:pPr>
          </w:p>
        </w:tc>
        <w:tc>
          <w:tcPr>
            <w:tcW w:w="672" w:type="dxa"/>
            <w:vAlign w:val="top"/>
          </w:tcPr>
          <w:p>
            <w:pPr>
              <w:spacing w:line="440" w:lineRule="exact"/>
              <w:jc w:val="center"/>
              <w:rPr>
                <w:rFonts w:ascii="宋体" w:hAnsi="宋体" w:cs="宋体"/>
                <w:color w:val="auto"/>
                <w:szCs w:val="21"/>
                <w:highlight w:val="none"/>
              </w:rPr>
            </w:pPr>
          </w:p>
        </w:tc>
        <w:tc>
          <w:tcPr>
            <w:tcW w:w="738" w:type="dxa"/>
            <w:vAlign w:val="top"/>
          </w:tcPr>
          <w:p>
            <w:pPr>
              <w:spacing w:line="440" w:lineRule="exact"/>
              <w:jc w:val="center"/>
              <w:rPr>
                <w:rFonts w:ascii="宋体" w:hAnsi="宋体" w:cs="宋体"/>
                <w:color w:val="auto"/>
                <w:szCs w:val="21"/>
                <w:highlight w:val="none"/>
              </w:rPr>
            </w:pPr>
          </w:p>
        </w:tc>
        <w:tc>
          <w:tcPr>
            <w:tcW w:w="1212" w:type="dxa"/>
            <w:vAlign w:val="top"/>
          </w:tcPr>
          <w:p>
            <w:pPr>
              <w:spacing w:line="440" w:lineRule="exact"/>
              <w:jc w:val="center"/>
              <w:rPr>
                <w:rFonts w:ascii="宋体" w:hAnsi="宋体" w:cs="宋体"/>
                <w:color w:val="auto"/>
                <w:szCs w:val="21"/>
                <w:highlight w:val="none"/>
              </w:rPr>
            </w:pPr>
          </w:p>
        </w:tc>
        <w:tc>
          <w:tcPr>
            <w:tcW w:w="874" w:type="dxa"/>
            <w:vAlign w:val="top"/>
          </w:tcPr>
          <w:p>
            <w:pPr>
              <w:spacing w:line="440" w:lineRule="exact"/>
              <w:jc w:val="center"/>
              <w:rPr>
                <w:rFonts w:ascii="宋体" w:hAnsi="宋体" w:cs="宋体"/>
                <w:color w:val="auto"/>
                <w:szCs w:val="21"/>
                <w:highlight w:val="none"/>
              </w:rPr>
            </w:pPr>
          </w:p>
        </w:tc>
        <w:tc>
          <w:tcPr>
            <w:tcW w:w="1055" w:type="dxa"/>
            <w:vAlign w:val="top"/>
          </w:tcPr>
          <w:p>
            <w:pPr>
              <w:spacing w:line="440" w:lineRule="exact"/>
              <w:jc w:val="center"/>
              <w:rPr>
                <w:rFonts w:ascii="宋体" w:hAnsi="宋体" w:cs="宋体"/>
                <w:color w:val="auto"/>
                <w:szCs w:val="21"/>
                <w:highlight w:val="none"/>
              </w:rPr>
            </w:pPr>
          </w:p>
        </w:tc>
        <w:tc>
          <w:tcPr>
            <w:tcW w:w="691" w:type="dxa"/>
            <w:vAlign w:val="top"/>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top"/>
          </w:tcPr>
          <w:p>
            <w:pPr>
              <w:spacing w:line="440" w:lineRule="exact"/>
              <w:jc w:val="center"/>
              <w:rPr>
                <w:rFonts w:ascii="宋体" w:hAnsi="宋体" w:cs="宋体"/>
                <w:color w:val="auto"/>
                <w:szCs w:val="21"/>
                <w:highlight w:val="none"/>
              </w:rPr>
            </w:pPr>
          </w:p>
        </w:tc>
        <w:tc>
          <w:tcPr>
            <w:tcW w:w="1086" w:type="dxa"/>
            <w:vAlign w:val="top"/>
          </w:tcPr>
          <w:p>
            <w:pPr>
              <w:spacing w:line="440" w:lineRule="exact"/>
              <w:jc w:val="center"/>
              <w:rPr>
                <w:rFonts w:ascii="宋体" w:hAnsi="宋体" w:cs="宋体"/>
                <w:color w:val="auto"/>
                <w:szCs w:val="21"/>
                <w:highlight w:val="none"/>
              </w:rPr>
            </w:pPr>
          </w:p>
        </w:tc>
        <w:tc>
          <w:tcPr>
            <w:tcW w:w="761" w:type="dxa"/>
            <w:vAlign w:val="top"/>
          </w:tcPr>
          <w:p>
            <w:pPr>
              <w:spacing w:line="440" w:lineRule="exact"/>
              <w:jc w:val="center"/>
              <w:rPr>
                <w:rFonts w:ascii="宋体" w:hAnsi="宋体" w:cs="宋体"/>
                <w:color w:val="auto"/>
                <w:szCs w:val="21"/>
                <w:highlight w:val="none"/>
              </w:rPr>
            </w:pPr>
          </w:p>
        </w:tc>
        <w:tc>
          <w:tcPr>
            <w:tcW w:w="990" w:type="dxa"/>
            <w:vAlign w:val="top"/>
          </w:tcPr>
          <w:p>
            <w:pPr>
              <w:spacing w:line="440" w:lineRule="exact"/>
              <w:jc w:val="center"/>
              <w:rPr>
                <w:rFonts w:ascii="宋体" w:hAnsi="宋体" w:cs="宋体"/>
                <w:color w:val="auto"/>
                <w:szCs w:val="21"/>
                <w:highlight w:val="none"/>
              </w:rPr>
            </w:pPr>
          </w:p>
        </w:tc>
        <w:tc>
          <w:tcPr>
            <w:tcW w:w="672" w:type="dxa"/>
            <w:vAlign w:val="top"/>
          </w:tcPr>
          <w:p>
            <w:pPr>
              <w:spacing w:line="440" w:lineRule="exact"/>
              <w:jc w:val="center"/>
              <w:rPr>
                <w:rFonts w:ascii="宋体" w:hAnsi="宋体" w:cs="宋体"/>
                <w:color w:val="auto"/>
                <w:szCs w:val="21"/>
                <w:highlight w:val="none"/>
              </w:rPr>
            </w:pPr>
          </w:p>
        </w:tc>
        <w:tc>
          <w:tcPr>
            <w:tcW w:w="738" w:type="dxa"/>
            <w:vAlign w:val="top"/>
          </w:tcPr>
          <w:p>
            <w:pPr>
              <w:spacing w:line="440" w:lineRule="exact"/>
              <w:jc w:val="center"/>
              <w:rPr>
                <w:rFonts w:ascii="宋体" w:hAnsi="宋体" w:cs="宋体"/>
                <w:color w:val="auto"/>
                <w:szCs w:val="21"/>
                <w:highlight w:val="none"/>
              </w:rPr>
            </w:pPr>
          </w:p>
        </w:tc>
        <w:tc>
          <w:tcPr>
            <w:tcW w:w="1212" w:type="dxa"/>
            <w:vAlign w:val="top"/>
          </w:tcPr>
          <w:p>
            <w:pPr>
              <w:spacing w:line="440" w:lineRule="exact"/>
              <w:jc w:val="center"/>
              <w:rPr>
                <w:rFonts w:ascii="宋体" w:hAnsi="宋体" w:cs="宋体"/>
                <w:color w:val="auto"/>
                <w:szCs w:val="21"/>
                <w:highlight w:val="none"/>
              </w:rPr>
            </w:pPr>
          </w:p>
        </w:tc>
        <w:tc>
          <w:tcPr>
            <w:tcW w:w="874" w:type="dxa"/>
            <w:vAlign w:val="top"/>
          </w:tcPr>
          <w:p>
            <w:pPr>
              <w:spacing w:line="440" w:lineRule="exact"/>
              <w:jc w:val="center"/>
              <w:rPr>
                <w:rFonts w:ascii="宋体" w:hAnsi="宋体" w:cs="宋体"/>
                <w:color w:val="auto"/>
                <w:szCs w:val="21"/>
                <w:highlight w:val="none"/>
              </w:rPr>
            </w:pPr>
          </w:p>
        </w:tc>
        <w:tc>
          <w:tcPr>
            <w:tcW w:w="1055" w:type="dxa"/>
            <w:vAlign w:val="top"/>
          </w:tcPr>
          <w:p>
            <w:pPr>
              <w:spacing w:line="440" w:lineRule="exact"/>
              <w:jc w:val="center"/>
              <w:rPr>
                <w:rFonts w:ascii="宋体" w:hAnsi="宋体" w:cs="宋体"/>
                <w:color w:val="auto"/>
                <w:szCs w:val="21"/>
                <w:highlight w:val="none"/>
              </w:rPr>
            </w:pPr>
          </w:p>
        </w:tc>
        <w:tc>
          <w:tcPr>
            <w:tcW w:w="691" w:type="dxa"/>
            <w:vAlign w:val="top"/>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top"/>
          </w:tcPr>
          <w:p>
            <w:pPr>
              <w:spacing w:line="440" w:lineRule="exact"/>
              <w:jc w:val="center"/>
              <w:rPr>
                <w:rFonts w:ascii="宋体" w:hAnsi="宋体" w:cs="宋体"/>
                <w:color w:val="auto"/>
                <w:szCs w:val="21"/>
                <w:highlight w:val="none"/>
              </w:rPr>
            </w:pPr>
          </w:p>
        </w:tc>
        <w:tc>
          <w:tcPr>
            <w:tcW w:w="1086" w:type="dxa"/>
            <w:vAlign w:val="top"/>
          </w:tcPr>
          <w:p>
            <w:pPr>
              <w:spacing w:line="440" w:lineRule="exact"/>
              <w:jc w:val="center"/>
              <w:rPr>
                <w:rFonts w:ascii="宋体" w:hAnsi="宋体" w:cs="宋体"/>
                <w:color w:val="auto"/>
                <w:szCs w:val="21"/>
                <w:highlight w:val="none"/>
              </w:rPr>
            </w:pPr>
          </w:p>
        </w:tc>
        <w:tc>
          <w:tcPr>
            <w:tcW w:w="761" w:type="dxa"/>
            <w:vAlign w:val="top"/>
          </w:tcPr>
          <w:p>
            <w:pPr>
              <w:spacing w:line="440" w:lineRule="exact"/>
              <w:jc w:val="center"/>
              <w:rPr>
                <w:rFonts w:ascii="宋体" w:hAnsi="宋体" w:cs="宋体"/>
                <w:color w:val="auto"/>
                <w:szCs w:val="21"/>
                <w:highlight w:val="none"/>
              </w:rPr>
            </w:pPr>
          </w:p>
        </w:tc>
        <w:tc>
          <w:tcPr>
            <w:tcW w:w="990" w:type="dxa"/>
            <w:vAlign w:val="top"/>
          </w:tcPr>
          <w:p>
            <w:pPr>
              <w:spacing w:line="440" w:lineRule="exact"/>
              <w:jc w:val="center"/>
              <w:rPr>
                <w:rFonts w:ascii="宋体" w:hAnsi="宋体" w:cs="宋体"/>
                <w:color w:val="auto"/>
                <w:szCs w:val="21"/>
                <w:highlight w:val="none"/>
              </w:rPr>
            </w:pPr>
          </w:p>
        </w:tc>
        <w:tc>
          <w:tcPr>
            <w:tcW w:w="672" w:type="dxa"/>
            <w:vAlign w:val="top"/>
          </w:tcPr>
          <w:p>
            <w:pPr>
              <w:spacing w:line="440" w:lineRule="exact"/>
              <w:jc w:val="center"/>
              <w:rPr>
                <w:rFonts w:ascii="宋体" w:hAnsi="宋体" w:cs="宋体"/>
                <w:color w:val="auto"/>
                <w:szCs w:val="21"/>
                <w:highlight w:val="none"/>
              </w:rPr>
            </w:pPr>
          </w:p>
        </w:tc>
        <w:tc>
          <w:tcPr>
            <w:tcW w:w="738" w:type="dxa"/>
            <w:vAlign w:val="top"/>
          </w:tcPr>
          <w:p>
            <w:pPr>
              <w:spacing w:line="440" w:lineRule="exact"/>
              <w:jc w:val="center"/>
              <w:rPr>
                <w:rFonts w:ascii="宋体" w:hAnsi="宋体" w:cs="宋体"/>
                <w:color w:val="auto"/>
                <w:szCs w:val="21"/>
                <w:highlight w:val="none"/>
              </w:rPr>
            </w:pPr>
          </w:p>
        </w:tc>
        <w:tc>
          <w:tcPr>
            <w:tcW w:w="1212" w:type="dxa"/>
            <w:vAlign w:val="top"/>
          </w:tcPr>
          <w:p>
            <w:pPr>
              <w:spacing w:line="440" w:lineRule="exact"/>
              <w:jc w:val="center"/>
              <w:rPr>
                <w:rFonts w:ascii="宋体" w:hAnsi="宋体" w:cs="宋体"/>
                <w:color w:val="auto"/>
                <w:szCs w:val="21"/>
                <w:highlight w:val="none"/>
              </w:rPr>
            </w:pPr>
          </w:p>
        </w:tc>
        <w:tc>
          <w:tcPr>
            <w:tcW w:w="874" w:type="dxa"/>
            <w:vAlign w:val="top"/>
          </w:tcPr>
          <w:p>
            <w:pPr>
              <w:spacing w:line="440" w:lineRule="exact"/>
              <w:jc w:val="center"/>
              <w:rPr>
                <w:rFonts w:ascii="宋体" w:hAnsi="宋体" w:cs="宋体"/>
                <w:color w:val="auto"/>
                <w:szCs w:val="21"/>
                <w:highlight w:val="none"/>
              </w:rPr>
            </w:pPr>
          </w:p>
        </w:tc>
        <w:tc>
          <w:tcPr>
            <w:tcW w:w="1055" w:type="dxa"/>
            <w:vAlign w:val="top"/>
          </w:tcPr>
          <w:p>
            <w:pPr>
              <w:spacing w:line="440" w:lineRule="exact"/>
              <w:jc w:val="center"/>
              <w:rPr>
                <w:rFonts w:ascii="宋体" w:hAnsi="宋体" w:cs="宋体"/>
                <w:color w:val="auto"/>
                <w:szCs w:val="21"/>
                <w:highlight w:val="none"/>
              </w:rPr>
            </w:pPr>
          </w:p>
        </w:tc>
        <w:tc>
          <w:tcPr>
            <w:tcW w:w="691" w:type="dxa"/>
            <w:vAlign w:val="top"/>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top"/>
          </w:tcPr>
          <w:p>
            <w:pPr>
              <w:spacing w:line="440" w:lineRule="exact"/>
              <w:jc w:val="center"/>
              <w:rPr>
                <w:rFonts w:ascii="宋体" w:hAnsi="宋体" w:cs="宋体"/>
                <w:color w:val="auto"/>
                <w:szCs w:val="21"/>
                <w:highlight w:val="none"/>
              </w:rPr>
            </w:pPr>
          </w:p>
        </w:tc>
        <w:tc>
          <w:tcPr>
            <w:tcW w:w="1086" w:type="dxa"/>
            <w:vAlign w:val="top"/>
          </w:tcPr>
          <w:p>
            <w:pPr>
              <w:spacing w:line="440" w:lineRule="exact"/>
              <w:jc w:val="center"/>
              <w:rPr>
                <w:rFonts w:ascii="宋体" w:hAnsi="宋体" w:cs="宋体"/>
                <w:color w:val="auto"/>
                <w:szCs w:val="21"/>
                <w:highlight w:val="none"/>
              </w:rPr>
            </w:pPr>
          </w:p>
        </w:tc>
        <w:tc>
          <w:tcPr>
            <w:tcW w:w="761" w:type="dxa"/>
            <w:vAlign w:val="top"/>
          </w:tcPr>
          <w:p>
            <w:pPr>
              <w:spacing w:line="440" w:lineRule="exact"/>
              <w:jc w:val="center"/>
              <w:rPr>
                <w:rFonts w:ascii="宋体" w:hAnsi="宋体" w:cs="宋体"/>
                <w:color w:val="auto"/>
                <w:szCs w:val="21"/>
                <w:highlight w:val="none"/>
              </w:rPr>
            </w:pPr>
          </w:p>
        </w:tc>
        <w:tc>
          <w:tcPr>
            <w:tcW w:w="990" w:type="dxa"/>
            <w:vAlign w:val="top"/>
          </w:tcPr>
          <w:p>
            <w:pPr>
              <w:spacing w:line="440" w:lineRule="exact"/>
              <w:jc w:val="center"/>
              <w:rPr>
                <w:rFonts w:ascii="宋体" w:hAnsi="宋体" w:cs="宋体"/>
                <w:color w:val="auto"/>
                <w:szCs w:val="21"/>
                <w:highlight w:val="none"/>
              </w:rPr>
            </w:pPr>
          </w:p>
        </w:tc>
        <w:tc>
          <w:tcPr>
            <w:tcW w:w="672" w:type="dxa"/>
            <w:vAlign w:val="top"/>
          </w:tcPr>
          <w:p>
            <w:pPr>
              <w:spacing w:line="440" w:lineRule="exact"/>
              <w:jc w:val="center"/>
              <w:rPr>
                <w:rFonts w:ascii="宋体" w:hAnsi="宋体" w:cs="宋体"/>
                <w:color w:val="auto"/>
                <w:szCs w:val="21"/>
                <w:highlight w:val="none"/>
              </w:rPr>
            </w:pPr>
          </w:p>
        </w:tc>
        <w:tc>
          <w:tcPr>
            <w:tcW w:w="738" w:type="dxa"/>
            <w:vAlign w:val="top"/>
          </w:tcPr>
          <w:p>
            <w:pPr>
              <w:spacing w:line="440" w:lineRule="exact"/>
              <w:jc w:val="center"/>
              <w:rPr>
                <w:rFonts w:ascii="宋体" w:hAnsi="宋体" w:cs="宋体"/>
                <w:color w:val="auto"/>
                <w:szCs w:val="21"/>
                <w:highlight w:val="none"/>
              </w:rPr>
            </w:pPr>
          </w:p>
        </w:tc>
        <w:tc>
          <w:tcPr>
            <w:tcW w:w="1212" w:type="dxa"/>
            <w:vAlign w:val="top"/>
          </w:tcPr>
          <w:p>
            <w:pPr>
              <w:spacing w:line="440" w:lineRule="exact"/>
              <w:jc w:val="center"/>
              <w:rPr>
                <w:rFonts w:ascii="宋体" w:hAnsi="宋体" w:cs="宋体"/>
                <w:color w:val="auto"/>
                <w:szCs w:val="21"/>
                <w:highlight w:val="none"/>
              </w:rPr>
            </w:pPr>
          </w:p>
        </w:tc>
        <w:tc>
          <w:tcPr>
            <w:tcW w:w="874" w:type="dxa"/>
            <w:vAlign w:val="top"/>
          </w:tcPr>
          <w:p>
            <w:pPr>
              <w:spacing w:line="440" w:lineRule="exact"/>
              <w:jc w:val="center"/>
              <w:rPr>
                <w:rFonts w:ascii="宋体" w:hAnsi="宋体" w:cs="宋体"/>
                <w:color w:val="auto"/>
                <w:szCs w:val="21"/>
                <w:highlight w:val="none"/>
              </w:rPr>
            </w:pPr>
          </w:p>
        </w:tc>
        <w:tc>
          <w:tcPr>
            <w:tcW w:w="1055" w:type="dxa"/>
            <w:vAlign w:val="top"/>
          </w:tcPr>
          <w:p>
            <w:pPr>
              <w:spacing w:line="440" w:lineRule="exact"/>
              <w:jc w:val="center"/>
              <w:rPr>
                <w:rFonts w:ascii="宋体" w:hAnsi="宋体" w:cs="宋体"/>
                <w:color w:val="auto"/>
                <w:szCs w:val="21"/>
                <w:highlight w:val="none"/>
              </w:rPr>
            </w:pPr>
          </w:p>
        </w:tc>
        <w:tc>
          <w:tcPr>
            <w:tcW w:w="691" w:type="dxa"/>
            <w:vAlign w:val="top"/>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top"/>
          </w:tcPr>
          <w:p>
            <w:pPr>
              <w:spacing w:line="440" w:lineRule="exact"/>
              <w:jc w:val="center"/>
              <w:rPr>
                <w:rFonts w:ascii="宋体" w:hAnsi="宋体" w:cs="宋体"/>
                <w:color w:val="auto"/>
                <w:szCs w:val="21"/>
                <w:highlight w:val="none"/>
              </w:rPr>
            </w:pPr>
          </w:p>
        </w:tc>
        <w:tc>
          <w:tcPr>
            <w:tcW w:w="1086" w:type="dxa"/>
            <w:vAlign w:val="top"/>
          </w:tcPr>
          <w:p>
            <w:pPr>
              <w:spacing w:line="440" w:lineRule="exact"/>
              <w:jc w:val="center"/>
              <w:rPr>
                <w:rFonts w:ascii="宋体" w:hAnsi="宋体" w:cs="宋体"/>
                <w:color w:val="auto"/>
                <w:szCs w:val="21"/>
                <w:highlight w:val="none"/>
              </w:rPr>
            </w:pPr>
          </w:p>
        </w:tc>
        <w:tc>
          <w:tcPr>
            <w:tcW w:w="761" w:type="dxa"/>
            <w:vAlign w:val="top"/>
          </w:tcPr>
          <w:p>
            <w:pPr>
              <w:spacing w:line="440" w:lineRule="exact"/>
              <w:jc w:val="center"/>
              <w:rPr>
                <w:rFonts w:ascii="宋体" w:hAnsi="宋体" w:cs="宋体"/>
                <w:color w:val="auto"/>
                <w:szCs w:val="21"/>
                <w:highlight w:val="none"/>
              </w:rPr>
            </w:pPr>
          </w:p>
        </w:tc>
        <w:tc>
          <w:tcPr>
            <w:tcW w:w="990" w:type="dxa"/>
            <w:vAlign w:val="top"/>
          </w:tcPr>
          <w:p>
            <w:pPr>
              <w:spacing w:line="440" w:lineRule="exact"/>
              <w:jc w:val="center"/>
              <w:rPr>
                <w:rFonts w:ascii="宋体" w:hAnsi="宋体" w:cs="宋体"/>
                <w:color w:val="auto"/>
                <w:szCs w:val="21"/>
                <w:highlight w:val="none"/>
              </w:rPr>
            </w:pPr>
          </w:p>
        </w:tc>
        <w:tc>
          <w:tcPr>
            <w:tcW w:w="672" w:type="dxa"/>
            <w:vAlign w:val="top"/>
          </w:tcPr>
          <w:p>
            <w:pPr>
              <w:spacing w:line="440" w:lineRule="exact"/>
              <w:jc w:val="center"/>
              <w:rPr>
                <w:rFonts w:ascii="宋体" w:hAnsi="宋体" w:cs="宋体"/>
                <w:color w:val="auto"/>
                <w:szCs w:val="21"/>
                <w:highlight w:val="none"/>
              </w:rPr>
            </w:pPr>
          </w:p>
        </w:tc>
        <w:tc>
          <w:tcPr>
            <w:tcW w:w="738" w:type="dxa"/>
            <w:vAlign w:val="top"/>
          </w:tcPr>
          <w:p>
            <w:pPr>
              <w:spacing w:line="440" w:lineRule="exact"/>
              <w:jc w:val="center"/>
              <w:rPr>
                <w:rFonts w:ascii="宋体" w:hAnsi="宋体" w:cs="宋体"/>
                <w:color w:val="auto"/>
                <w:szCs w:val="21"/>
                <w:highlight w:val="none"/>
              </w:rPr>
            </w:pPr>
          </w:p>
        </w:tc>
        <w:tc>
          <w:tcPr>
            <w:tcW w:w="1212" w:type="dxa"/>
            <w:vAlign w:val="top"/>
          </w:tcPr>
          <w:p>
            <w:pPr>
              <w:spacing w:line="440" w:lineRule="exact"/>
              <w:jc w:val="center"/>
              <w:rPr>
                <w:rFonts w:ascii="宋体" w:hAnsi="宋体" w:cs="宋体"/>
                <w:color w:val="auto"/>
                <w:szCs w:val="21"/>
                <w:highlight w:val="none"/>
              </w:rPr>
            </w:pPr>
          </w:p>
        </w:tc>
        <w:tc>
          <w:tcPr>
            <w:tcW w:w="874" w:type="dxa"/>
            <w:vAlign w:val="top"/>
          </w:tcPr>
          <w:p>
            <w:pPr>
              <w:spacing w:line="440" w:lineRule="exact"/>
              <w:jc w:val="center"/>
              <w:rPr>
                <w:rFonts w:ascii="宋体" w:hAnsi="宋体" w:cs="宋体"/>
                <w:color w:val="auto"/>
                <w:szCs w:val="21"/>
                <w:highlight w:val="none"/>
              </w:rPr>
            </w:pPr>
          </w:p>
        </w:tc>
        <w:tc>
          <w:tcPr>
            <w:tcW w:w="1055" w:type="dxa"/>
            <w:vAlign w:val="top"/>
          </w:tcPr>
          <w:p>
            <w:pPr>
              <w:spacing w:line="440" w:lineRule="exact"/>
              <w:jc w:val="center"/>
              <w:rPr>
                <w:rFonts w:ascii="宋体" w:hAnsi="宋体" w:cs="宋体"/>
                <w:color w:val="auto"/>
                <w:szCs w:val="21"/>
                <w:highlight w:val="none"/>
              </w:rPr>
            </w:pPr>
          </w:p>
        </w:tc>
        <w:tc>
          <w:tcPr>
            <w:tcW w:w="691" w:type="dxa"/>
            <w:vAlign w:val="top"/>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top"/>
          </w:tcPr>
          <w:p>
            <w:pPr>
              <w:spacing w:line="440" w:lineRule="exact"/>
              <w:jc w:val="center"/>
              <w:rPr>
                <w:rFonts w:ascii="宋体" w:hAnsi="宋体" w:cs="宋体"/>
                <w:color w:val="auto"/>
                <w:szCs w:val="21"/>
                <w:highlight w:val="none"/>
              </w:rPr>
            </w:pPr>
          </w:p>
        </w:tc>
        <w:tc>
          <w:tcPr>
            <w:tcW w:w="1086" w:type="dxa"/>
            <w:vAlign w:val="top"/>
          </w:tcPr>
          <w:p>
            <w:pPr>
              <w:spacing w:line="440" w:lineRule="exact"/>
              <w:jc w:val="center"/>
              <w:rPr>
                <w:rFonts w:ascii="宋体" w:hAnsi="宋体" w:cs="宋体"/>
                <w:color w:val="auto"/>
                <w:szCs w:val="21"/>
                <w:highlight w:val="none"/>
              </w:rPr>
            </w:pPr>
          </w:p>
        </w:tc>
        <w:tc>
          <w:tcPr>
            <w:tcW w:w="761" w:type="dxa"/>
            <w:vAlign w:val="top"/>
          </w:tcPr>
          <w:p>
            <w:pPr>
              <w:spacing w:line="440" w:lineRule="exact"/>
              <w:jc w:val="center"/>
              <w:rPr>
                <w:rFonts w:ascii="宋体" w:hAnsi="宋体" w:cs="宋体"/>
                <w:color w:val="auto"/>
                <w:szCs w:val="21"/>
                <w:highlight w:val="none"/>
              </w:rPr>
            </w:pPr>
          </w:p>
        </w:tc>
        <w:tc>
          <w:tcPr>
            <w:tcW w:w="990" w:type="dxa"/>
            <w:vAlign w:val="top"/>
          </w:tcPr>
          <w:p>
            <w:pPr>
              <w:spacing w:line="440" w:lineRule="exact"/>
              <w:jc w:val="center"/>
              <w:rPr>
                <w:rFonts w:ascii="宋体" w:hAnsi="宋体" w:cs="宋体"/>
                <w:color w:val="auto"/>
                <w:szCs w:val="21"/>
                <w:highlight w:val="none"/>
              </w:rPr>
            </w:pPr>
          </w:p>
        </w:tc>
        <w:tc>
          <w:tcPr>
            <w:tcW w:w="672" w:type="dxa"/>
            <w:vAlign w:val="top"/>
          </w:tcPr>
          <w:p>
            <w:pPr>
              <w:spacing w:line="440" w:lineRule="exact"/>
              <w:jc w:val="center"/>
              <w:rPr>
                <w:rFonts w:ascii="宋体" w:hAnsi="宋体" w:cs="宋体"/>
                <w:color w:val="auto"/>
                <w:szCs w:val="21"/>
                <w:highlight w:val="none"/>
              </w:rPr>
            </w:pPr>
          </w:p>
        </w:tc>
        <w:tc>
          <w:tcPr>
            <w:tcW w:w="738" w:type="dxa"/>
            <w:vAlign w:val="top"/>
          </w:tcPr>
          <w:p>
            <w:pPr>
              <w:spacing w:line="440" w:lineRule="exact"/>
              <w:jc w:val="center"/>
              <w:rPr>
                <w:rFonts w:ascii="宋体" w:hAnsi="宋体" w:cs="宋体"/>
                <w:color w:val="auto"/>
                <w:szCs w:val="21"/>
                <w:highlight w:val="none"/>
              </w:rPr>
            </w:pPr>
          </w:p>
        </w:tc>
        <w:tc>
          <w:tcPr>
            <w:tcW w:w="1212" w:type="dxa"/>
            <w:vAlign w:val="top"/>
          </w:tcPr>
          <w:p>
            <w:pPr>
              <w:spacing w:line="440" w:lineRule="exact"/>
              <w:jc w:val="center"/>
              <w:rPr>
                <w:rFonts w:ascii="宋体" w:hAnsi="宋体" w:cs="宋体"/>
                <w:color w:val="auto"/>
                <w:szCs w:val="21"/>
                <w:highlight w:val="none"/>
              </w:rPr>
            </w:pPr>
          </w:p>
        </w:tc>
        <w:tc>
          <w:tcPr>
            <w:tcW w:w="874" w:type="dxa"/>
            <w:vAlign w:val="top"/>
          </w:tcPr>
          <w:p>
            <w:pPr>
              <w:spacing w:line="440" w:lineRule="exact"/>
              <w:jc w:val="center"/>
              <w:rPr>
                <w:rFonts w:ascii="宋体" w:hAnsi="宋体" w:cs="宋体"/>
                <w:color w:val="auto"/>
                <w:szCs w:val="21"/>
                <w:highlight w:val="none"/>
              </w:rPr>
            </w:pPr>
          </w:p>
        </w:tc>
        <w:tc>
          <w:tcPr>
            <w:tcW w:w="1055" w:type="dxa"/>
            <w:vAlign w:val="top"/>
          </w:tcPr>
          <w:p>
            <w:pPr>
              <w:spacing w:line="440" w:lineRule="exact"/>
              <w:jc w:val="center"/>
              <w:rPr>
                <w:rFonts w:ascii="宋体" w:hAnsi="宋体" w:cs="宋体"/>
                <w:color w:val="auto"/>
                <w:szCs w:val="21"/>
                <w:highlight w:val="none"/>
              </w:rPr>
            </w:pPr>
          </w:p>
        </w:tc>
        <w:tc>
          <w:tcPr>
            <w:tcW w:w="691" w:type="dxa"/>
            <w:vAlign w:val="top"/>
          </w:tcPr>
          <w:p>
            <w:pPr>
              <w:spacing w:line="440" w:lineRule="exact"/>
              <w:jc w:val="center"/>
              <w:rPr>
                <w:rFonts w:ascii="宋体" w:hAnsi="宋体" w:cs="宋体"/>
                <w:color w:val="auto"/>
                <w:szCs w:val="21"/>
                <w:highlight w:val="none"/>
              </w:rPr>
            </w:pPr>
          </w:p>
        </w:tc>
      </w:tr>
    </w:tbl>
    <w:p>
      <w:pPr>
        <w:spacing w:line="440" w:lineRule="exact"/>
        <w:rPr>
          <w:rFonts w:ascii="宋体" w:hAnsi="宋体" w:cs="宋体"/>
          <w:color w:val="auto"/>
          <w:sz w:val="20"/>
          <w:szCs w:val="20"/>
          <w:highlight w:val="none"/>
        </w:rPr>
      </w:pPr>
    </w:p>
    <w:p>
      <w:pPr>
        <w:pStyle w:val="5"/>
        <w:rPr>
          <w:rFonts w:ascii="宋体" w:hAnsi="宋体" w:cs="宋体"/>
          <w:color w:val="auto"/>
          <w:highlight w:val="none"/>
        </w:rPr>
      </w:pPr>
      <w:bookmarkStart w:id="1259" w:name="_Toc246997109"/>
      <w:bookmarkStart w:id="1260" w:name="_Toc466470832"/>
      <w:bookmarkStart w:id="1261" w:name="_Toc466470962"/>
      <w:bookmarkStart w:id="1262" w:name="_Toc246996366"/>
      <w:bookmarkStart w:id="1263" w:name="_Toc247085884"/>
      <w:bookmarkStart w:id="1264" w:name="_Toc179632819"/>
      <w:bookmarkStart w:id="1265" w:name="_Toc152045799"/>
      <w:bookmarkStart w:id="1266" w:name="_Toc144974867"/>
      <w:bookmarkStart w:id="1267" w:name="_Toc152042588"/>
      <w:r>
        <w:rPr>
          <w:rFonts w:hint="eastAsia" w:ascii="宋体" w:hAnsi="宋体" w:cs="宋体"/>
          <w:color w:val="auto"/>
          <w:highlight w:val="none"/>
        </w:rPr>
        <w:t>附表二：劳动力计划表</w:t>
      </w:r>
      <w:bookmarkEnd w:id="1259"/>
      <w:bookmarkEnd w:id="1260"/>
      <w:bookmarkEnd w:id="1261"/>
      <w:bookmarkEnd w:id="1262"/>
      <w:bookmarkEnd w:id="1263"/>
      <w:bookmarkEnd w:id="1264"/>
      <w:bookmarkEnd w:id="1265"/>
      <w:bookmarkEnd w:id="1266"/>
      <w:bookmarkEnd w:id="1267"/>
    </w:p>
    <w:p>
      <w:pPr>
        <w:spacing w:line="440" w:lineRule="exact"/>
        <w:ind w:right="200"/>
        <w:jc w:val="right"/>
        <w:rPr>
          <w:rFonts w:ascii="宋体" w:hAnsi="宋体" w:cs="宋体"/>
          <w:color w:val="auto"/>
          <w:szCs w:val="21"/>
          <w:highlight w:val="none"/>
        </w:rPr>
      </w:pPr>
      <w:r>
        <w:rPr>
          <w:rFonts w:hint="eastAsia" w:ascii="宋体" w:hAnsi="宋体" w:cs="宋体"/>
          <w:color w:val="auto"/>
          <w:szCs w:val="21"/>
          <w:highlight w:val="none"/>
        </w:rPr>
        <w:t>单位：人</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04"/>
        <w:gridCol w:w="1065"/>
        <w:gridCol w:w="1065"/>
        <w:gridCol w:w="1065"/>
        <w:gridCol w:w="1065"/>
        <w:gridCol w:w="1065"/>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工种</w:t>
            </w:r>
          </w:p>
        </w:tc>
        <w:tc>
          <w:tcPr>
            <w:tcW w:w="7693" w:type="dxa"/>
            <w:gridSpan w:val="7"/>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spacing w:line="440" w:lineRule="exact"/>
              <w:jc w:val="center"/>
              <w:rPr>
                <w:rFonts w:ascii="宋体" w:hAnsi="宋体" w:cs="宋体"/>
                <w:color w:val="auto"/>
                <w:szCs w:val="21"/>
                <w:highlight w:val="none"/>
              </w:rPr>
            </w:pPr>
          </w:p>
        </w:tc>
        <w:tc>
          <w:tcPr>
            <w:tcW w:w="1304" w:type="dxa"/>
            <w:vAlign w:val="center"/>
          </w:tcPr>
          <w:p>
            <w:pPr>
              <w:spacing w:line="440" w:lineRule="exact"/>
              <w:jc w:val="center"/>
              <w:rPr>
                <w:rFonts w:ascii="宋体" w:hAnsi="宋体" w:cs="宋体"/>
                <w:color w:val="auto"/>
                <w:szCs w:val="21"/>
                <w:highlight w:val="none"/>
              </w:rPr>
            </w:pPr>
          </w:p>
        </w:tc>
        <w:tc>
          <w:tcPr>
            <w:tcW w:w="1065" w:type="dxa"/>
            <w:vAlign w:val="center"/>
          </w:tcPr>
          <w:p>
            <w:pPr>
              <w:spacing w:line="440" w:lineRule="exact"/>
              <w:jc w:val="center"/>
              <w:rPr>
                <w:rFonts w:ascii="宋体" w:hAnsi="宋体" w:cs="宋体"/>
                <w:color w:val="auto"/>
                <w:szCs w:val="21"/>
                <w:highlight w:val="none"/>
              </w:rPr>
            </w:pPr>
          </w:p>
        </w:tc>
        <w:tc>
          <w:tcPr>
            <w:tcW w:w="1065" w:type="dxa"/>
            <w:vAlign w:val="center"/>
          </w:tcPr>
          <w:p>
            <w:pPr>
              <w:spacing w:line="440" w:lineRule="exact"/>
              <w:jc w:val="center"/>
              <w:rPr>
                <w:rFonts w:ascii="宋体" w:hAnsi="宋体" w:cs="宋体"/>
                <w:color w:val="auto"/>
                <w:szCs w:val="21"/>
                <w:highlight w:val="none"/>
              </w:rPr>
            </w:pPr>
          </w:p>
        </w:tc>
        <w:tc>
          <w:tcPr>
            <w:tcW w:w="1065" w:type="dxa"/>
            <w:vAlign w:val="center"/>
          </w:tcPr>
          <w:p>
            <w:pPr>
              <w:spacing w:line="440" w:lineRule="exact"/>
              <w:jc w:val="center"/>
              <w:rPr>
                <w:rFonts w:ascii="宋体" w:hAnsi="宋体" w:cs="宋体"/>
                <w:color w:val="auto"/>
                <w:szCs w:val="21"/>
                <w:highlight w:val="none"/>
              </w:rPr>
            </w:pPr>
          </w:p>
        </w:tc>
        <w:tc>
          <w:tcPr>
            <w:tcW w:w="1065" w:type="dxa"/>
            <w:vAlign w:val="center"/>
          </w:tcPr>
          <w:p>
            <w:pPr>
              <w:spacing w:line="440" w:lineRule="exact"/>
              <w:jc w:val="center"/>
              <w:rPr>
                <w:rFonts w:ascii="宋体" w:hAnsi="宋体" w:cs="宋体"/>
                <w:color w:val="auto"/>
                <w:szCs w:val="21"/>
                <w:highlight w:val="none"/>
              </w:rPr>
            </w:pPr>
          </w:p>
        </w:tc>
        <w:tc>
          <w:tcPr>
            <w:tcW w:w="1065" w:type="dxa"/>
            <w:vAlign w:val="center"/>
          </w:tcPr>
          <w:p>
            <w:pPr>
              <w:spacing w:line="440" w:lineRule="exact"/>
              <w:jc w:val="center"/>
              <w:rPr>
                <w:rFonts w:ascii="宋体" w:hAnsi="宋体" w:cs="宋体"/>
                <w:color w:val="auto"/>
                <w:szCs w:val="21"/>
                <w:highlight w:val="none"/>
              </w:rPr>
            </w:pPr>
          </w:p>
        </w:tc>
        <w:tc>
          <w:tcPr>
            <w:tcW w:w="1064" w:type="dxa"/>
            <w:vAlign w:val="center"/>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spacing w:line="440" w:lineRule="exact"/>
              <w:jc w:val="center"/>
              <w:rPr>
                <w:rFonts w:ascii="宋体" w:hAnsi="宋体" w:cs="宋体"/>
                <w:color w:val="auto"/>
                <w:szCs w:val="21"/>
                <w:highlight w:val="none"/>
              </w:rPr>
            </w:pPr>
          </w:p>
        </w:tc>
        <w:tc>
          <w:tcPr>
            <w:tcW w:w="1304" w:type="dxa"/>
            <w:vAlign w:val="center"/>
          </w:tcPr>
          <w:p>
            <w:pPr>
              <w:spacing w:line="440" w:lineRule="exact"/>
              <w:jc w:val="center"/>
              <w:rPr>
                <w:rFonts w:ascii="宋体" w:hAnsi="宋体" w:cs="宋体"/>
                <w:color w:val="auto"/>
                <w:szCs w:val="21"/>
                <w:highlight w:val="none"/>
              </w:rPr>
            </w:pPr>
          </w:p>
        </w:tc>
        <w:tc>
          <w:tcPr>
            <w:tcW w:w="1065" w:type="dxa"/>
            <w:vAlign w:val="center"/>
          </w:tcPr>
          <w:p>
            <w:pPr>
              <w:spacing w:line="440" w:lineRule="exact"/>
              <w:jc w:val="center"/>
              <w:rPr>
                <w:rFonts w:ascii="宋体" w:hAnsi="宋体" w:cs="宋体"/>
                <w:color w:val="auto"/>
                <w:szCs w:val="21"/>
                <w:highlight w:val="none"/>
              </w:rPr>
            </w:pPr>
          </w:p>
        </w:tc>
        <w:tc>
          <w:tcPr>
            <w:tcW w:w="1065" w:type="dxa"/>
            <w:vAlign w:val="center"/>
          </w:tcPr>
          <w:p>
            <w:pPr>
              <w:spacing w:line="440" w:lineRule="exact"/>
              <w:jc w:val="center"/>
              <w:rPr>
                <w:rFonts w:ascii="宋体" w:hAnsi="宋体" w:cs="宋体"/>
                <w:color w:val="auto"/>
                <w:szCs w:val="21"/>
                <w:highlight w:val="none"/>
              </w:rPr>
            </w:pPr>
          </w:p>
        </w:tc>
        <w:tc>
          <w:tcPr>
            <w:tcW w:w="1065" w:type="dxa"/>
            <w:vAlign w:val="center"/>
          </w:tcPr>
          <w:p>
            <w:pPr>
              <w:spacing w:line="440" w:lineRule="exact"/>
              <w:jc w:val="center"/>
              <w:rPr>
                <w:rFonts w:ascii="宋体" w:hAnsi="宋体" w:cs="宋体"/>
                <w:color w:val="auto"/>
                <w:szCs w:val="21"/>
                <w:highlight w:val="none"/>
              </w:rPr>
            </w:pPr>
          </w:p>
        </w:tc>
        <w:tc>
          <w:tcPr>
            <w:tcW w:w="1065" w:type="dxa"/>
            <w:vAlign w:val="center"/>
          </w:tcPr>
          <w:p>
            <w:pPr>
              <w:spacing w:line="440" w:lineRule="exact"/>
              <w:jc w:val="center"/>
              <w:rPr>
                <w:rFonts w:ascii="宋体" w:hAnsi="宋体" w:cs="宋体"/>
                <w:color w:val="auto"/>
                <w:szCs w:val="21"/>
                <w:highlight w:val="none"/>
              </w:rPr>
            </w:pPr>
          </w:p>
        </w:tc>
        <w:tc>
          <w:tcPr>
            <w:tcW w:w="1065" w:type="dxa"/>
            <w:vAlign w:val="center"/>
          </w:tcPr>
          <w:p>
            <w:pPr>
              <w:spacing w:line="440" w:lineRule="exact"/>
              <w:jc w:val="center"/>
              <w:rPr>
                <w:rFonts w:ascii="宋体" w:hAnsi="宋体" w:cs="宋体"/>
                <w:color w:val="auto"/>
                <w:szCs w:val="21"/>
                <w:highlight w:val="none"/>
              </w:rPr>
            </w:pPr>
          </w:p>
        </w:tc>
        <w:tc>
          <w:tcPr>
            <w:tcW w:w="1064" w:type="dxa"/>
            <w:vAlign w:val="center"/>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top"/>
          </w:tcPr>
          <w:p>
            <w:pPr>
              <w:spacing w:line="440" w:lineRule="exact"/>
              <w:jc w:val="center"/>
              <w:rPr>
                <w:rFonts w:ascii="宋体" w:hAnsi="宋体" w:cs="宋体"/>
                <w:color w:val="auto"/>
                <w:szCs w:val="21"/>
                <w:highlight w:val="none"/>
              </w:rPr>
            </w:pPr>
          </w:p>
        </w:tc>
        <w:tc>
          <w:tcPr>
            <w:tcW w:w="1304" w:type="dxa"/>
            <w:vAlign w:val="top"/>
          </w:tcPr>
          <w:p>
            <w:pPr>
              <w:spacing w:line="440" w:lineRule="exact"/>
              <w:jc w:val="center"/>
              <w:rPr>
                <w:rFonts w:ascii="宋体" w:hAnsi="宋体" w:cs="宋体"/>
                <w:color w:val="auto"/>
                <w:szCs w:val="21"/>
                <w:highlight w:val="none"/>
              </w:rPr>
            </w:pPr>
          </w:p>
        </w:tc>
        <w:tc>
          <w:tcPr>
            <w:tcW w:w="1065" w:type="dxa"/>
            <w:vAlign w:val="top"/>
          </w:tcPr>
          <w:p>
            <w:pPr>
              <w:spacing w:line="440" w:lineRule="exact"/>
              <w:jc w:val="center"/>
              <w:rPr>
                <w:rFonts w:ascii="宋体" w:hAnsi="宋体" w:cs="宋体"/>
                <w:color w:val="auto"/>
                <w:szCs w:val="21"/>
                <w:highlight w:val="none"/>
              </w:rPr>
            </w:pPr>
          </w:p>
        </w:tc>
        <w:tc>
          <w:tcPr>
            <w:tcW w:w="1065" w:type="dxa"/>
            <w:vAlign w:val="top"/>
          </w:tcPr>
          <w:p>
            <w:pPr>
              <w:spacing w:line="440" w:lineRule="exact"/>
              <w:jc w:val="center"/>
              <w:rPr>
                <w:rFonts w:ascii="宋体" w:hAnsi="宋体" w:cs="宋体"/>
                <w:color w:val="auto"/>
                <w:szCs w:val="21"/>
                <w:highlight w:val="none"/>
              </w:rPr>
            </w:pPr>
          </w:p>
        </w:tc>
        <w:tc>
          <w:tcPr>
            <w:tcW w:w="1065" w:type="dxa"/>
            <w:vAlign w:val="top"/>
          </w:tcPr>
          <w:p>
            <w:pPr>
              <w:spacing w:line="440" w:lineRule="exact"/>
              <w:jc w:val="center"/>
              <w:rPr>
                <w:rFonts w:ascii="宋体" w:hAnsi="宋体" w:cs="宋体"/>
                <w:color w:val="auto"/>
                <w:szCs w:val="21"/>
                <w:highlight w:val="none"/>
              </w:rPr>
            </w:pPr>
          </w:p>
        </w:tc>
        <w:tc>
          <w:tcPr>
            <w:tcW w:w="1065" w:type="dxa"/>
            <w:vAlign w:val="top"/>
          </w:tcPr>
          <w:p>
            <w:pPr>
              <w:spacing w:line="440" w:lineRule="exact"/>
              <w:jc w:val="center"/>
              <w:rPr>
                <w:rFonts w:ascii="宋体" w:hAnsi="宋体" w:cs="宋体"/>
                <w:color w:val="auto"/>
                <w:szCs w:val="21"/>
                <w:highlight w:val="none"/>
              </w:rPr>
            </w:pPr>
          </w:p>
        </w:tc>
        <w:tc>
          <w:tcPr>
            <w:tcW w:w="1065" w:type="dxa"/>
            <w:vAlign w:val="top"/>
          </w:tcPr>
          <w:p>
            <w:pPr>
              <w:spacing w:line="440" w:lineRule="exact"/>
              <w:jc w:val="center"/>
              <w:rPr>
                <w:rFonts w:ascii="宋体" w:hAnsi="宋体" w:cs="宋体"/>
                <w:color w:val="auto"/>
                <w:szCs w:val="21"/>
                <w:highlight w:val="none"/>
              </w:rPr>
            </w:pPr>
          </w:p>
        </w:tc>
        <w:tc>
          <w:tcPr>
            <w:tcW w:w="1064" w:type="dxa"/>
            <w:vAlign w:val="top"/>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top"/>
          </w:tcPr>
          <w:p>
            <w:pPr>
              <w:spacing w:line="440" w:lineRule="exact"/>
              <w:jc w:val="center"/>
              <w:rPr>
                <w:rFonts w:ascii="宋体" w:hAnsi="宋体" w:cs="宋体"/>
                <w:color w:val="auto"/>
                <w:szCs w:val="21"/>
                <w:highlight w:val="none"/>
              </w:rPr>
            </w:pPr>
          </w:p>
        </w:tc>
        <w:tc>
          <w:tcPr>
            <w:tcW w:w="1304" w:type="dxa"/>
            <w:vAlign w:val="top"/>
          </w:tcPr>
          <w:p>
            <w:pPr>
              <w:spacing w:line="440" w:lineRule="exact"/>
              <w:jc w:val="center"/>
              <w:rPr>
                <w:rFonts w:ascii="宋体" w:hAnsi="宋体" w:cs="宋体"/>
                <w:color w:val="auto"/>
                <w:szCs w:val="21"/>
                <w:highlight w:val="none"/>
              </w:rPr>
            </w:pPr>
          </w:p>
        </w:tc>
        <w:tc>
          <w:tcPr>
            <w:tcW w:w="1065" w:type="dxa"/>
            <w:vAlign w:val="top"/>
          </w:tcPr>
          <w:p>
            <w:pPr>
              <w:spacing w:line="440" w:lineRule="exact"/>
              <w:jc w:val="center"/>
              <w:rPr>
                <w:rFonts w:ascii="宋体" w:hAnsi="宋体" w:cs="宋体"/>
                <w:color w:val="auto"/>
                <w:szCs w:val="21"/>
                <w:highlight w:val="none"/>
              </w:rPr>
            </w:pPr>
          </w:p>
        </w:tc>
        <w:tc>
          <w:tcPr>
            <w:tcW w:w="1065" w:type="dxa"/>
            <w:vAlign w:val="top"/>
          </w:tcPr>
          <w:p>
            <w:pPr>
              <w:spacing w:line="440" w:lineRule="exact"/>
              <w:jc w:val="center"/>
              <w:rPr>
                <w:rFonts w:ascii="宋体" w:hAnsi="宋体" w:cs="宋体"/>
                <w:color w:val="auto"/>
                <w:szCs w:val="21"/>
                <w:highlight w:val="none"/>
              </w:rPr>
            </w:pPr>
          </w:p>
        </w:tc>
        <w:tc>
          <w:tcPr>
            <w:tcW w:w="1065" w:type="dxa"/>
            <w:vAlign w:val="top"/>
          </w:tcPr>
          <w:p>
            <w:pPr>
              <w:spacing w:line="440" w:lineRule="exact"/>
              <w:jc w:val="center"/>
              <w:rPr>
                <w:rFonts w:ascii="宋体" w:hAnsi="宋体" w:cs="宋体"/>
                <w:color w:val="auto"/>
                <w:szCs w:val="21"/>
                <w:highlight w:val="none"/>
              </w:rPr>
            </w:pPr>
          </w:p>
        </w:tc>
        <w:tc>
          <w:tcPr>
            <w:tcW w:w="1065" w:type="dxa"/>
            <w:vAlign w:val="top"/>
          </w:tcPr>
          <w:p>
            <w:pPr>
              <w:spacing w:line="440" w:lineRule="exact"/>
              <w:jc w:val="center"/>
              <w:rPr>
                <w:rFonts w:ascii="宋体" w:hAnsi="宋体" w:cs="宋体"/>
                <w:color w:val="auto"/>
                <w:szCs w:val="21"/>
                <w:highlight w:val="none"/>
              </w:rPr>
            </w:pPr>
          </w:p>
        </w:tc>
        <w:tc>
          <w:tcPr>
            <w:tcW w:w="1065" w:type="dxa"/>
            <w:vAlign w:val="top"/>
          </w:tcPr>
          <w:p>
            <w:pPr>
              <w:spacing w:line="440" w:lineRule="exact"/>
              <w:jc w:val="center"/>
              <w:rPr>
                <w:rFonts w:ascii="宋体" w:hAnsi="宋体" w:cs="宋体"/>
                <w:color w:val="auto"/>
                <w:szCs w:val="21"/>
                <w:highlight w:val="none"/>
              </w:rPr>
            </w:pPr>
          </w:p>
        </w:tc>
        <w:tc>
          <w:tcPr>
            <w:tcW w:w="1064" w:type="dxa"/>
            <w:vAlign w:val="top"/>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top"/>
          </w:tcPr>
          <w:p>
            <w:pPr>
              <w:spacing w:line="440" w:lineRule="exact"/>
              <w:jc w:val="center"/>
              <w:rPr>
                <w:rFonts w:ascii="宋体" w:hAnsi="宋体" w:cs="宋体"/>
                <w:color w:val="auto"/>
                <w:szCs w:val="21"/>
                <w:highlight w:val="none"/>
              </w:rPr>
            </w:pPr>
          </w:p>
        </w:tc>
        <w:tc>
          <w:tcPr>
            <w:tcW w:w="1304" w:type="dxa"/>
            <w:vAlign w:val="top"/>
          </w:tcPr>
          <w:p>
            <w:pPr>
              <w:spacing w:line="440" w:lineRule="exact"/>
              <w:jc w:val="center"/>
              <w:rPr>
                <w:rFonts w:ascii="宋体" w:hAnsi="宋体" w:cs="宋体"/>
                <w:color w:val="auto"/>
                <w:szCs w:val="21"/>
                <w:highlight w:val="none"/>
              </w:rPr>
            </w:pPr>
          </w:p>
        </w:tc>
        <w:tc>
          <w:tcPr>
            <w:tcW w:w="1065" w:type="dxa"/>
            <w:vAlign w:val="top"/>
          </w:tcPr>
          <w:p>
            <w:pPr>
              <w:spacing w:line="440" w:lineRule="exact"/>
              <w:jc w:val="center"/>
              <w:rPr>
                <w:rFonts w:ascii="宋体" w:hAnsi="宋体" w:cs="宋体"/>
                <w:color w:val="auto"/>
                <w:szCs w:val="21"/>
                <w:highlight w:val="none"/>
              </w:rPr>
            </w:pPr>
          </w:p>
        </w:tc>
        <w:tc>
          <w:tcPr>
            <w:tcW w:w="1065" w:type="dxa"/>
            <w:vAlign w:val="top"/>
          </w:tcPr>
          <w:p>
            <w:pPr>
              <w:spacing w:line="440" w:lineRule="exact"/>
              <w:jc w:val="center"/>
              <w:rPr>
                <w:rFonts w:ascii="宋体" w:hAnsi="宋体" w:cs="宋体"/>
                <w:color w:val="auto"/>
                <w:szCs w:val="21"/>
                <w:highlight w:val="none"/>
              </w:rPr>
            </w:pPr>
          </w:p>
        </w:tc>
        <w:tc>
          <w:tcPr>
            <w:tcW w:w="1065" w:type="dxa"/>
            <w:vAlign w:val="top"/>
          </w:tcPr>
          <w:p>
            <w:pPr>
              <w:spacing w:line="440" w:lineRule="exact"/>
              <w:jc w:val="center"/>
              <w:rPr>
                <w:rFonts w:ascii="宋体" w:hAnsi="宋体" w:cs="宋体"/>
                <w:color w:val="auto"/>
                <w:szCs w:val="21"/>
                <w:highlight w:val="none"/>
              </w:rPr>
            </w:pPr>
          </w:p>
        </w:tc>
        <w:tc>
          <w:tcPr>
            <w:tcW w:w="1065" w:type="dxa"/>
            <w:vAlign w:val="top"/>
          </w:tcPr>
          <w:p>
            <w:pPr>
              <w:spacing w:line="440" w:lineRule="exact"/>
              <w:jc w:val="center"/>
              <w:rPr>
                <w:rFonts w:ascii="宋体" w:hAnsi="宋体" w:cs="宋体"/>
                <w:color w:val="auto"/>
                <w:szCs w:val="21"/>
                <w:highlight w:val="none"/>
              </w:rPr>
            </w:pPr>
          </w:p>
        </w:tc>
        <w:tc>
          <w:tcPr>
            <w:tcW w:w="1065" w:type="dxa"/>
            <w:vAlign w:val="top"/>
          </w:tcPr>
          <w:p>
            <w:pPr>
              <w:spacing w:line="440" w:lineRule="exact"/>
              <w:jc w:val="center"/>
              <w:rPr>
                <w:rFonts w:ascii="宋体" w:hAnsi="宋体" w:cs="宋体"/>
                <w:color w:val="auto"/>
                <w:szCs w:val="21"/>
                <w:highlight w:val="none"/>
              </w:rPr>
            </w:pPr>
          </w:p>
        </w:tc>
        <w:tc>
          <w:tcPr>
            <w:tcW w:w="1064" w:type="dxa"/>
            <w:vAlign w:val="top"/>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top"/>
          </w:tcPr>
          <w:p>
            <w:pPr>
              <w:spacing w:line="440" w:lineRule="exact"/>
              <w:jc w:val="center"/>
              <w:rPr>
                <w:rFonts w:ascii="宋体" w:hAnsi="宋体" w:cs="宋体"/>
                <w:color w:val="auto"/>
                <w:szCs w:val="21"/>
                <w:highlight w:val="none"/>
              </w:rPr>
            </w:pPr>
          </w:p>
        </w:tc>
        <w:tc>
          <w:tcPr>
            <w:tcW w:w="1304" w:type="dxa"/>
            <w:vAlign w:val="top"/>
          </w:tcPr>
          <w:p>
            <w:pPr>
              <w:spacing w:line="440" w:lineRule="exact"/>
              <w:jc w:val="center"/>
              <w:rPr>
                <w:rFonts w:ascii="宋体" w:hAnsi="宋体" w:cs="宋体"/>
                <w:color w:val="auto"/>
                <w:szCs w:val="21"/>
                <w:highlight w:val="none"/>
              </w:rPr>
            </w:pPr>
          </w:p>
        </w:tc>
        <w:tc>
          <w:tcPr>
            <w:tcW w:w="1065" w:type="dxa"/>
            <w:vAlign w:val="top"/>
          </w:tcPr>
          <w:p>
            <w:pPr>
              <w:spacing w:line="440" w:lineRule="exact"/>
              <w:jc w:val="center"/>
              <w:rPr>
                <w:rFonts w:ascii="宋体" w:hAnsi="宋体" w:cs="宋体"/>
                <w:color w:val="auto"/>
                <w:szCs w:val="21"/>
                <w:highlight w:val="none"/>
              </w:rPr>
            </w:pPr>
          </w:p>
        </w:tc>
        <w:tc>
          <w:tcPr>
            <w:tcW w:w="1065" w:type="dxa"/>
            <w:vAlign w:val="top"/>
          </w:tcPr>
          <w:p>
            <w:pPr>
              <w:spacing w:line="440" w:lineRule="exact"/>
              <w:jc w:val="center"/>
              <w:rPr>
                <w:rFonts w:ascii="宋体" w:hAnsi="宋体" w:cs="宋体"/>
                <w:color w:val="auto"/>
                <w:szCs w:val="21"/>
                <w:highlight w:val="none"/>
              </w:rPr>
            </w:pPr>
          </w:p>
        </w:tc>
        <w:tc>
          <w:tcPr>
            <w:tcW w:w="1065" w:type="dxa"/>
            <w:vAlign w:val="top"/>
          </w:tcPr>
          <w:p>
            <w:pPr>
              <w:spacing w:line="440" w:lineRule="exact"/>
              <w:jc w:val="center"/>
              <w:rPr>
                <w:rFonts w:ascii="宋体" w:hAnsi="宋体" w:cs="宋体"/>
                <w:color w:val="auto"/>
                <w:szCs w:val="21"/>
                <w:highlight w:val="none"/>
              </w:rPr>
            </w:pPr>
          </w:p>
        </w:tc>
        <w:tc>
          <w:tcPr>
            <w:tcW w:w="1065" w:type="dxa"/>
            <w:vAlign w:val="top"/>
          </w:tcPr>
          <w:p>
            <w:pPr>
              <w:spacing w:line="440" w:lineRule="exact"/>
              <w:jc w:val="center"/>
              <w:rPr>
                <w:rFonts w:ascii="宋体" w:hAnsi="宋体" w:cs="宋体"/>
                <w:color w:val="auto"/>
                <w:szCs w:val="21"/>
                <w:highlight w:val="none"/>
              </w:rPr>
            </w:pPr>
          </w:p>
        </w:tc>
        <w:tc>
          <w:tcPr>
            <w:tcW w:w="1065" w:type="dxa"/>
            <w:vAlign w:val="top"/>
          </w:tcPr>
          <w:p>
            <w:pPr>
              <w:spacing w:line="440" w:lineRule="exact"/>
              <w:jc w:val="center"/>
              <w:rPr>
                <w:rFonts w:ascii="宋体" w:hAnsi="宋体" w:cs="宋体"/>
                <w:color w:val="auto"/>
                <w:szCs w:val="21"/>
                <w:highlight w:val="none"/>
              </w:rPr>
            </w:pPr>
          </w:p>
        </w:tc>
        <w:tc>
          <w:tcPr>
            <w:tcW w:w="1064" w:type="dxa"/>
            <w:vAlign w:val="top"/>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top"/>
          </w:tcPr>
          <w:p>
            <w:pPr>
              <w:spacing w:line="440" w:lineRule="exact"/>
              <w:jc w:val="center"/>
              <w:rPr>
                <w:rFonts w:ascii="宋体" w:hAnsi="宋体" w:cs="宋体"/>
                <w:color w:val="auto"/>
                <w:szCs w:val="21"/>
                <w:highlight w:val="none"/>
              </w:rPr>
            </w:pPr>
          </w:p>
        </w:tc>
        <w:tc>
          <w:tcPr>
            <w:tcW w:w="1304" w:type="dxa"/>
            <w:vAlign w:val="top"/>
          </w:tcPr>
          <w:p>
            <w:pPr>
              <w:spacing w:line="440" w:lineRule="exact"/>
              <w:jc w:val="center"/>
              <w:rPr>
                <w:rFonts w:ascii="宋体" w:hAnsi="宋体" w:cs="宋体"/>
                <w:color w:val="auto"/>
                <w:szCs w:val="21"/>
                <w:highlight w:val="none"/>
              </w:rPr>
            </w:pPr>
          </w:p>
        </w:tc>
        <w:tc>
          <w:tcPr>
            <w:tcW w:w="1065" w:type="dxa"/>
            <w:vAlign w:val="top"/>
          </w:tcPr>
          <w:p>
            <w:pPr>
              <w:spacing w:line="440" w:lineRule="exact"/>
              <w:jc w:val="center"/>
              <w:rPr>
                <w:rFonts w:ascii="宋体" w:hAnsi="宋体" w:cs="宋体"/>
                <w:color w:val="auto"/>
                <w:szCs w:val="21"/>
                <w:highlight w:val="none"/>
              </w:rPr>
            </w:pPr>
          </w:p>
        </w:tc>
        <w:tc>
          <w:tcPr>
            <w:tcW w:w="1065" w:type="dxa"/>
            <w:vAlign w:val="top"/>
          </w:tcPr>
          <w:p>
            <w:pPr>
              <w:spacing w:line="440" w:lineRule="exact"/>
              <w:jc w:val="center"/>
              <w:rPr>
                <w:rFonts w:ascii="宋体" w:hAnsi="宋体" w:cs="宋体"/>
                <w:color w:val="auto"/>
                <w:szCs w:val="21"/>
                <w:highlight w:val="none"/>
              </w:rPr>
            </w:pPr>
          </w:p>
        </w:tc>
        <w:tc>
          <w:tcPr>
            <w:tcW w:w="1065" w:type="dxa"/>
            <w:vAlign w:val="top"/>
          </w:tcPr>
          <w:p>
            <w:pPr>
              <w:spacing w:line="440" w:lineRule="exact"/>
              <w:jc w:val="center"/>
              <w:rPr>
                <w:rFonts w:ascii="宋体" w:hAnsi="宋体" w:cs="宋体"/>
                <w:color w:val="auto"/>
                <w:szCs w:val="21"/>
                <w:highlight w:val="none"/>
              </w:rPr>
            </w:pPr>
          </w:p>
        </w:tc>
        <w:tc>
          <w:tcPr>
            <w:tcW w:w="1065" w:type="dxa"/>
            <w:vAlign w:val="top"/>
          </w:tcPr>
          <w:p>
            <w:pPr>
              <w:spacing w:line="440" w:lineRule="exact"/>
              <w:jc w:val="center"/>
              <w:rPr>
                <w:rFonts w:ascii="宋体" w:hAnsi="宋体" w:cs="宋体"/>
                <w:color w:val="auto"/>
                <w:szCs w:val="21"/>
                <w:highlight w:val="none"/>
              </w:rPr>
            </w:pPr>
          </w:p>
        </w:tc>
        <w:tc>
          <w:tcPr>
            <w:tcW w:w="1065" w:type="dxa"/>
            <w:vAlign w:val="top"/>
          </w:tcPr>
          <w:p>
            <w:pPr>
              <w:spacing w:line="440" w:lineRule="exact"/>
              <w:jc w:val="center"/>
              <w:rPr>
                <w:rFonts w:ascii="宋体" w:hAnsi="宋体" w:cs="宋体"/>
                <w:color w:val="auto"/>
                <w:szCs w:val="21"/>
                <w:highlight w:val="none"/>
              </w:rPr>
            </w:pPr>
          </w:p>
        </w:tc>
        <w:tc>
          <w:tcPr>
            <w:tcW w:w="1064" w:type="dxa"/>
            <w:vAlign w:val="top"/>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top"/>
          </w:tcPr>
          <w:p>
            <w:pPr>
              <w:spacing w:line="440" w:lineRule="exact"/>
              <w:jc w:val="center"/>
              <w:rPr>
                <w:rFonts w:ascii="宋体" w:hAnsi="宋体" w:cs="宋体"/>
                <w:color w:val="auto"/>
                <w:szCs w:val="21"/>
                <w:highlight w:val="none"/>
              </w:rPr>
            </w:pPr>
          </w:p>
        </w:tc>
        <w:tc>
          <w:tcPr>
            <w:tcW w:w="1304" w:type="dxa"/>
            <w:vAlign w:val="top"/>
          </w:tcPr>
          <w:p>
            <w:pPr>
              <w:spacing w:line="440" w:lineRule="exact"/>
              <w:jc w:val="center"/>
              <w:rPr>
                <w:rFonts w:ascii="宋体" w:hAnsi="宋体" w:cs="宋体"/>
                <w:color w:val="auto"/>
                <w:szCs w:val="21"/>
                <w:highlight w:val="none"/>
              </w:rPr>
            </w:pPr>
          </w:p>
        </w:tc>
        <w:tc>
          <w:tcPr>
            <w:tcW w:w="1065" w:type="dxa"/>
            <w:vAlign w:val="top"/>
          </w:tcPr>
          <w:p>
            <w:pPr>
              <w:spacing w:line="440" w:lineRule="exact"/>
              <w:jc w:val="center"/>
              <w:rPr>
                <w:rFonts w:ascii="宋体" w:hAnsi="宋体" w:cs="宋体"/>
                <w:color w:val="auto"/>
                <w:szCs w:val="21"/>
                <w:highlight w:val="none"/>
              </w:rPr>
            </w:pPr>
          </w:p>
        </w:tc>
        <w:tc>
          <w:tcPr>
            <w:tcW w:w="1065" w:type="dxa"/>
            <w:vAlign w:val="top"/>
          </w:tcPr>
          <w:p>
            <w:pPr>
              <w:spacing w:line="440" w:lineRule="exact"/>
              <w:jc w:val="center"/>
              <w:rPr>
                <w:rFonts w:ascii="宋体" w:hAnsi="宋体" w:cs="宋体"/>
                <w:color w:val="auto"/>
                <w:szCs w:val="21"/>
                <w:highlight w:val="none"/>
              </w:rPr>
            </w:pPr>
          </w:p>
        </w:tc>
        <w:tc>
          <w:tcPr>
            <w:tcW w:w="1065" w:type="dxa"/>
            <w:vAlign w:val="top"/>
          </w:tcPr>
          <w:p>
            <w:pPr>
              <w:spacing w:line="440" w:lineRule="exact"/>
              <w:jc w:val="center"/>
              <w:rPr>
                <w:rFonts w:ascii="宋体" w:hAnsi="宋体" w:cs="宋体"/>
                <w:color w:val="auto"/>
                <w:szCs w:val="21"/>
                <w:highlight w:val="none"/>
              </w:rPr>
            </w:pPr>
          </w:p>
        </w:tc>
        <w:tc>
          <w:tcPr>
            <w:tcW w:w="1065" w:type="dxa"/>
            <w:vAlign w:val="top"/>
          </w:tcPr>
          <w:p>
            <w:pPr>
              <w:spacing w:line="440" w:lineRule="exact"/>
              <w:jc w:val="center"/>
              <w:rPr>
                <w:rFonts w:ascii="宋体" w:hAnsi="宋体" w:cs="宋体"/>
                <w:color w:val="auto"/>
                <w:szCs w:val="21"/>
                <w:highlight w:val="none"/>
              </w:rPr>
            </w:pPr>
          </w:p>
        </w:tc>
        <w:tc>
          <w:tcPr>
            <w:tcW w:w="1065" w:type="dxa"/>
            <w:vAlign w:val="top"/>
          </w:tcPr>
          <w:p>
            <w:pPr>
              <w:spacing w:line="440" w:lineRule="exact"/>
              <w:jc w:val="center"/>
              <w:rPr>
                <w:rFonts w:ascii="宋体" w:hAnsi="宋体" w:cs="宋体"/>
                <w:color w:val="auto"/>
                <w:szCs w:val="21"/>
                <w:highlight w:val="none"/>
              </w:rPr>
            </w:pPr>
          </w:p>
        </w:tc>
        <w:tc>
          <w:tcPr>
            <w:tcW w:w="1064" w:type="dxa"/>
            <w:vAlign w:val="top"/>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top"/>
          </w:tcPr>
          <w:p>
            <w:pPr>
              <w:spacing w:line="440" w:lineRule="exact"/>
              <w:jc w:val="center"/>
              <w:rPr>
                <w:rFonts w:ascii="宋体" w:hAnsi="宋体" w:cs="宋体"/>
                <w:color w:val="auto"/>
                <w:szCs w:val="21"/>
                <w:highlight w:val="none"/>
              </w:rPr>
            </w:pPr>
          </w:p>
        </w:tc>
        <w:tc>
          <w:tcPr>
            <w:tcW w:w="1304" w:type="dxa"/>
            <w:vAlign w:val="top"/>
          </w:tcPr>
          <w:p>
            <w:pPr>
              <w:spacing w:line="440" w:lineRule="exact"/>
              <w:jc w:val="center"/>
              <w:rPr>
                <w:rFonts w:ascii="宋体" w:hAnsi="宋体" w:cs="宋体"/>
                <w:color w:val="auto"/>
                <w:szCs w:val="21"/>
                <w:highlight w:val="none"/>
              </w:rPr>
            </w:pPr>
          </w:p>
        </w:tc>
        <w:tc>
          <w:tcPr>
            <w:tcW w:w="1065" w:type="dxa"/>
            <w:vAlign w:val="top"/>
          </w:tcPr>
          <w:p>
            <w:pPr>
              <w:spacing w:line="440" w:lineRule="exact"/>
              <w:jc w:val="center"/>
              <w:rPr>
                <w:rFonts w:ascii="宋体" w:hAnsi="宋体" w:cs="宋体"/>
                <w:color w:val="auto"/>
                <w:szCs w:val="21"/>
                <w:highlight w:val="none"/>
              </w:rPr>
            </w:pPr>
          </w:p>
        </w:tc>
        <w:tc>
          <w:tcPr>
            <w:tcW w:w="1065" w:type="dxa"/>
            <w:vAlign w:val="top"/>
          </w:tcPr>
          <w:p>
            <w:pPr>
              <w:spacing w:line="440" w:lineRule="exact"/>
              <w:jc w:val="center"/>
              <w:rPr>
                <w:rFonts w:ascii="宋体" w:hAnsi="宋体" w:cs="宋体"/>
                <w:color w:val="auto"/>
                <w:szCs w:val="21"/>
                <w:highlight w:val="none"/>
              </w:rPr>
            </w:pPr>
          </w:p>
        </w:tc>
        <w:tc>
          <w:tcPr>
            <w:tcW w:w="1065" w:type="dxa"/>
            <w:vAlign w:val="top"/>
          </w:tcPr>
          <w:p>
            <w:pPr>
              <w:spacing w:line="440" w:lineRule="exact"/>
              <w:jc w:val="center"/>
              <w:rPr>
                <w:rFonts w:ascii="宋体" w:hAnsi="宋体" w:cs="宋体"/>
                <w:color w:val="auto"/>
                <w:szCs w:val="21"/>
                <w:highlight w:val="none"/>
              </w:rPr>
            </w:pPr>
          </w:p>
        </w:tc>
        <w:tc>
          <w:tcPr>
            <w:tcW w:w="1065" w:type="dxa"/>
            <w:vAlign w:val="top"/>
          </w:tcPr>
          <w:p>
            <w:pPr>
              <w:spacing w:line="440" w:lineRule="exact"/>
              <w:jc w:val="center"/>
              <w:rPr>
                <w:rFonts w:ascii="宋体" w:hAnsi="宋体" w:cs="宋体"/>
                <w:color w:val="auto"/>
                <w:szCs w:val="21"/>
                <w:highlight w:val="none"/>
              </w:rPr>
            </w:pPr>
          </w:p>
        </w:tc>
        <w:tc>
          <w:tcPr>
            <w:tcW w:w="1065" w:type="dxa"/>
            <w:vAlign w:val="top"/>
          </w:tcPr>
          <w:p>
            <w:pPr>
              <w:spacing w:line="440" w:lineRule="exact"/>
              <w:jc w:val="center"/>
              <w:rPr>
                <w:rFonts w:ascii="宋体" w:hAnsi="宋体" w:cs="宋体"/>
                <w:color w:val="auto"/>
                <w:szCs w:val="21"/>
                <w:highlight w:val="none"/>
              </w:rPr>
            </w:pPr>
          </w:p>
        </w:tc>
        <w:tc>
          <w:tcPr>
            <w:tcW w:w="1064" w:type="dxa"/>
            <w:vAlign w:val="top"/>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top"/>
          </w:tcPr>
          <w:p>
            <w:pPr>
              <w:spacing w:line="440" w:lineRule="exact"/>
              <w:jc w:val="center"/>
              <w:rPr>
                <w:rFonts w:ascii="宋体" w:hAnsi="宋体" w:cs="宋体"/>
                <w:color w:val="auto"/>
                <w:szCs w:val="21"/>
                <w:highlight w:val="none"/>
              </w:rPr>
            </w:pPr>
          </w:p>
        </w:tc>
        <w:tc>
          <w:tcPr>
            <w:tcW w:w="1304" w:type="dxa"/>
            <w:vAlign w:val="top"/>
          </w:tcPr>
          <w:p>
            <w:pPr>
              <w:spacing w:line="440" w:lineRule="exact"/>
              <w:jc w:val="center"/>
              <w:rPr>
                <w:rFonts w:ascii="宋体" w:hAnsi="宋体" w:cs="宋体"/>
                <w:color w:val="auto"/>
                <w:szCs w:val="21"/>
                <w:highlight w:val="none"/>
              </w:rPr>
            </w:pPr>
          </w:p>
        </w:tc>
        <w:tc>
          <w:tcPr>
            <w:tcW w:w="1065" w:type="dxa"/>
            <w:vAlign w:val="top"/>
          </w:tcPr>
          <w:p>
            <w:pPr>
              <w:spacing w:line="440" w:lineRule="exact"/>
              <w:jc w:val="center"/>
              <w:rPr>
                <w:rFonts w:ascii="宋体" w:hAnsi="宋体" w:cs="宋体"/>
                <w:color w:val="auto"/>
                <w:szCs w:val="21"/>
                <w:highlight w:val="none"/>
              </w:rPr>
            </w:pPr>
          </w:p>
        </w:tc>
        <w:tc>
          <w:tcPr>
            <w:tcW w:w="1065" w:type="dxa"/>
            <w:vAlign w:val="top"/>
          </w:tcPr>
          <w:p>
            <w:pPr>
              <w:spacing w:line="440" w:lineRule="exact"/>
              <w:jc w:val="center"/>
              <w:rPr>
                <w:rFonts w:ascii="宋体" w:hAnsi="宋体" w:cs="宋体"/>
                <w:color w:val="auto"/>
                <w:szCs w:val="21"/>
                <w:highlight w:val="none"/>
              </w:rPr>
            </w:pPr>
          </w:p>
        </w:tc>
        <w:tc>
          <w:tcPr>
            <w:tcW w:w="1065" w:type="dxa"/>
            <w:vAlign w:val="top"/>
          </w:tcPr>
          <w:p>
            <w:pPr>
              <w:spacing w:line="440" w:lineRule="exact"/>
              <w:jc w:val="center"/>
              <w:rPr>
                <w:rFonts w:ascii="宋体" w:hAnsi="宋体" w:cs="宋体"/>
                <w:color w:val="auto"/>
                <w:szCs w:val="21"/>
                <w:highlight w:val="none"/>
              </w:rPr>
            </w:pPr>
          </w:p>
        </w:tc>
        <w:tc>
          <w:tcPr>
            <w:tcW w:w="1065" w:type="dxa"/>
            <w:vAlign w:val="top"/>
          </w:tcPr>
          <w:p>
            <w:pPr>
              <w:spacing w:line="440" w:lineRule="exact"/>
              <w:jc w:val="center"/>
              <w:rPr>
                <w:rFonts w:ascii="宋体" w:hAnsi="宋体" w:cs="宋体"/>
                <w:color w:val="auto"/>
                <w:szCs w:val="21"/>
                <w:highlight w:val="none"/>
              </w:rPr>
            </w:pPr>
          </w:p>
        </w:tc>
        <w:tc>
          <w:tcPr>
            <w:tcW w:w="1065" w:type="dxa"/>
            <w:vAlign w:val="top"/>
          </w:tcPr>
          <w:p>
            <w:pPr>
              <w:spacing w:line="440" w:lineRule="exact"/>
              <w:jc w:val="center"/>
              <w:rPr>
                <w:rFonts w:ascii="宋体" w:hAnsi="宋体" w:cs="宋体"/>
                <w:color w:val="auto"/>
                <w:szCs w:val="21"/>
                <w:highlight w:val="none"/>
              </w:rPr>
            </w:pPr>
          </w:p>
        </w:tc>
        <w:tc>
          <w:tcPr>
            <w:tcW w:w="1064" w:type="dxa"/>
            <w:vAlign w:val="top"/>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top"/>
          </w:tcPr>
          <w:p>
            <w:pPr>
              <w:spacing w:line="440" w:lineRule="exact"/>
              <w:jc w:val="center"/>
              <w:rPr>
                <w:rFonts w:ascii="宋体" w:hAnsi="宋体" w:cs="宋体"/>
                <w:color w:val="auto"/>
                <w:szCs w:val="21"/>
                <w:highlight w:val="none"/>
              </w:rPr>
            </w:pPr>
          </w:p>
        </w:tc>
        <w:tc>
          <w:tcPr>
            <w:tcW w:w="1304" w:type="dxa"/>
            <w:vAlign w:val="top"/>
          </w:tcPr>
          <w:p>
            <w:pPr>
              <w:spacing w:line="440" w:lineRule="exact"/>
              <w:jc w:val="center"/>
              <w:rPr>
                <w:rFonts w:ascii="宋体" w:hAnsi="宋体" w:cs="宋体"/>
                <w:color w:val="auto"/>
                <w:szCs w:val="21"/>
                <w:highlight w:val="none"/>
              </w:rPr>
            </w:pPr>
          </w:p>
        </w:tc>
        <w:tc>
          <w:tcPr>
            <w:tcW w:w="1065" w:type="dxa"/>
            <w:vAlign w:val="top"/>
          </w:tcPr>
          <w:p>
            <w:pPr>
              <w:spacing w:line="440" w:lineRule="exact"/>
              <w:jc w:val="center"/>
              <w:rPr>
                <w:rFonts w:ascii="宋体" w:hAnsi="宋体" w:cs="宋体"/>
                <w:color w:val="auto"/>
                <w:szCs w:val="21"/>
                <w:highlight w:val="none"/>
              </w:rPr>
            </w:pPr>
          </w:p>
        </w:tc>
        <w:tc>
          <w:tcPr>
            <w:tcW w:w="1065" w:type="dxa"/>
            <w:vAlign w:val="top"/>
          </w:tcPr>
          <w:p>
            <w:pPr>
              <w:spacing w:line="440" w:lineRule="exact"/>
              <w:jc w:val="center"/>
              <w:rPr>
                <w:rFonts w:ascii="宋体" w:hAnsi="宋体" w:cs="宋体"/>
                <w:color w:val="auto"/>
                <w:szCs w:val="21"/>
                <w:highlight w:val="none"/>
              </w:rPr>
            </w:pPr>
          </w:p>
        </w:tc>
        <w:tc>
          <w:tcPr>
            <w:tcW w:w="1065" w:type="dxa"/>
            <w:vAlign w:val="top"/>
          </w:tcPr>
          <w:p>
            <w:pPr>
              <w:spacing w:line="440" w:lineRule="exact"/>
              <w:jc w:val="center"/>
              <w:rPr>
                <w:rFonts w:ascii="宋体" w:hAnsi="宋体" w:cs="宋体"/>
                <w:color w:val="auto"/>
                <w:szCs w:val="21"/>
                <w:highlight w:val="none"/>
              </w:rPr>
            </w:pPr>
          </w:p>
        </w:tc>
        <w:tc>
          <w:tcPr>
            <w:tcW w:w="1065" w:type="dxa"/>
            <w:vAlign w:val="top"/>
          </w:tcPr>
          <w:p>
            <w:pPr>
              <w:spacing w:line="440" w:lineRule="exact"/>
              <w:jc w:val="center"/>
              <w:rPr>
                <w:rFonts w:ascii="宋体" w:hAnsi="宋体" w:cs="宋体"/>
                <w:color w:val="auto"/>
                <w:szCs w:val="21"/>
                <w:highlight w:val="none"/>
              </w:rPr>
            </w:pPr>
          </w:p>
        </w:tc>
        <w:tc>
          <w:tcPr>
            <w:tcW w:w="1065" w:type="dxa"/>
            <w:vAlign w:val="top"/>
          </w:tcPr>
          <w:p>
            <w:pPr>
              <w:spacing w:line="440" w:lineRule="exact"/>
              <w:jc w:val="center"/>
              <w:rPr>
                <w:rFonts w:ascii="宋体" w:hAnsi="宋体" w:cs="宋体"/>
                <w:color w:val="auto"/>
                <w:szCs w:val="21"/>
                <w:highlight w:val="none"/>
              </w:rPr>
            </w:pPr>
          </w:p>
        </w:tc>
        <w:tc>
          <w:tcPr>
            <w:tcW w:w="1064" w:type="dxa"/>
            <w:vAlign w:val="top"/>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top"/>
          </w:tcPr>
          <w:p>
            <w:pPr>
              <w:spacing w:line="440" w:lineRule="exact"/>
              <w:jc w:val="center"/>
              <w:rPr>
                <w:rFonts w:ascii="宋体" w:hAnsi="宋体" w:cs="宋体"/>
                <w:color w:val="auto"/>
                <w:szCs w:val="21"/>
                <w:highlight w:val="none"/>
              </w:rPr>
            </w:pPr>
          </w:p>
        </w:tc>
        <w:tc>
          <w:tcPr>
            <w:tcW w:w="1304" w:type="dxa"/>
            <w:vAlign w:val="top"/>
          </w:tcPr>
          <w:p>
            <w:pPr>
              <w:spacing w:line="440" w:lineRule="exact"/>
              <w:jc w:val="center"/>
              <w:rPr>
                <w:rFonts w:ascii="宋体" w:hAnsi="宋体" w:cs="宋体"/>
                <w:color w:val="auto"/>
                <w:szCs w:val="21"/>
                <w:highlight w:val="none"/>
              </w:rPr>
            </w:pPr>
          </w:p>
        </w:tc>
        <w:tc>
          <w:tcPr>
            <w:tcW w:w="1065" w:type="dxa"/>
            <w:vAlign w:val="top"/>
          </w:tcPr>
          <w:p>
            <w:pPr>
              <w:spacing w:line="440" w:lineRule="exact"/>
              <w:jc w:val="center"/>
              <w:rPr>
                <w:rFonts w:ascii="宋体" w:hAnsi="宋体" w:cs="宋体"/>
                <w:color w:val="auto"/>
                <w:szCs w:val="21"/>
                <w:highlight w:val="none"/>
              </w:rPr>
            </w:pPr>
          </w:p>
        </w:tc>
        <w:tc>
          <w:tcPr>
            <w:tcW w:w="1065" w:type="dxa"/>
            <w:vAlign w:val="top"/>
          </w:tcPr>
          <w:p>
            <w:pPr>
              <w:spacing w:line="440" w:lineRule="exact"/>
              <w:jc w:val="center"/>
              <w:rPr>
                <w:rFonts w:ascii="宋体" w:hAnsi="宋体" w:cs="宋体"/>
                <w:color w:val="auto"/>
                <w:szCs w:val="21"/>
                <w:highlight w:val="none"/>
              </w:rPr>
            </w:pPr>
          </w:p>
        </w:tc>
        <w:tc>
          <w:tcPr>
            <w:tcW w:w="1065" w:type="dxa"/>
            <w:vAlign w:val="top"/>
          </w:tcPr>
          <w:p>
            <w:pPr>
              <w:spacing w:line="440" w:lineRule="exact"/>
              <w:jc w:val="center"/>
              <w:rPr>
                <w:rFonts w:ascii="宋体" w:hAnsi="宋体" w:cs="宋体"/>
                <w:color w:val="auto"/>
                <w:szCs w:val="21"/>
                <w:highlight w:val="none"/>
              </w:rPr>
            </w:pPr>
          </w:p>
        </w:tc>
        <w:tc>
          <w:tcPr>
            <w:tcW w:w="1065" w:type="dxa"/>
            <w:vAlign w:val="top"/>
          </w:tcPr>
          <w:p>
            <w:pPr>
              <w:spacing w:line="440" w:lineRule="exact"/>
              <w:jc w:val="center"/>
              <w:rPr>
                <w:rFonts w:ascii="宋体" w:hAnsi="宋体" w:cs="宋体"/>
                <w:color w:val="auto"/>
                <w:szCs w:val="21"/>
                <w:highlight w:val="none"/>
              </w:rPr>
            </w:pPr>
          </w:p>
        </w:tc>
        <w:tc>
          <w:tcPr>
            <w:tcW w:w="1065" w:type="dxa"/>
            <w:vAlign w:val="top"/>
          </w:tcPr>
          <w:p>
            <w:pPr>
              <w:spacing w:line="440" w:lineRule="exact"/>
              <w:jc w:val="center"/>
              <w:rPr>
                <w:rFonts w:ascii="宋体" w:hAnsi="宋体" w:cs="宋体"/>
                <w:color w:val="auto"/>
                <w:szCs w:val="21"/>
                <w:highlight w:val="none"/>
              </w:rPr>
            </w:pPr>
          </w:p>
        </w:tc>
        <w:tc>
          <w:tcPr>
            <w:tcW w:w="1064" w:type="dxa"/>
            <w:vAlign w:val="top"/>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top"/>
          </w:tcPr>
          <w:p>
            <w:pPr>
              <w:spacing w:line="440" w:lineRule="exact"/>
              <w:jc w:val="center"/>
              <w:rPr>
                <w:rFonts w:ascii="宋体" w:hAnsi="宋体" w:cs="宋体"/>
                <w:color w:val="auto"/>
                <w:szCs w:val="21"/>
                <w:highlight w:val="none"/>
              </w:rPr>
            </w:pPr>
          </w:p>
        </w:tc>
        <w:tc>
          <w:tcPr>
            <w:tcW w:w="1304" w:type="dxa"/>
            <w:vAlign w:val="top"/>
          </w:tcPr>
          <w:p>
            <w:pPr>
              <w:spacing w:line="440" w:lineRule="exact"/>
              <w:jc w:val="center"/>
              <w:rPr>
                <w:rFonts w:ascii="宋体" w:hAnsi="宋体" w:cs="宋体"/>
                <w:color w:val="auto"/>
                <w:szCs w:val="21"/>
                <w:highlight w:val="none"/>
              </w:rPr>
            </w:pPr>
          </w:p>
        </w:tc>
        <w:tc>
          <w:tcPr>
            <w:tcW w:w="1065" w:type="dxa"/>
            <w:vAlign w:val="top"/>
          </w:tcPr>
          <w:p>
            <w:pPr>
              <w:spacing w:line="440" w:lineRule="exact"/>
              <w:jc w:val="center"/>
              <w:rPr>
                <w:rFonts w:ascii="宋体" w:hAnsi="宋体" w:cs="宋体"/>
                <w:color w:val="auto"/>
                <w:szCs w:val="21"/>
                <w:highlight w:val="none"/>
              </w:rPr>
            </w:pPr>
          </w:p>
        </w:tc>
        <w:tc>
          <w:tcPr>
            <w:tcW w:w="1065" w:type="dxa"/>
            <w:vAlign w:val="top"/>
          </w:tcPr>
          <w:p>
            <w:pPr>
              <w:spacing w:line="440" w:lineRule="exact"/>
              <w:jc w:val="center"/>
              <w:rPr>
                <w:rFonts w:ascii="宋体" w:hAnsi="宋体" w:cs="宋体"/>
                <w:color w:val="auto"/>
                <w:szCs w:val="21"/>
                <w:highlight w:val="none"/>
              </w:rPr>
            </w:pPr>
          </w:p>
        </w:tc>
        <w:tc>
          <w:tcPr>
            <w:tcW w:w="1065" w:type="dxa"/>
            <w:vAlign w:val="top"/>
          </w:tcPr>
          <w:p>
            <w:pPr>
              <w:spacing w:line="440" w:lineRule="exact"/>
              <w:jc w:val="center"/>
              <w:rPr>
                <w:rFonts w:ascii="宋体" w:hAnsi="宋体" w:cs="宋体"/>
                <w:color w:val="auto"/>
                <w:szCs w:val="21"/>
                <w:highlight w:val="none"/>
              </w:rPr>
            </w:pPr>
          </w:p>
        </w:tc>
        <w:tc>
          <w:tcPr>
            <w:tcW w:w="1065" w:type="dxa"/>
            <w:vAlign w:val="top"/>
          </w:tcPr>
          <w:p>
            <w:pPr>
              <w:spacing w:line="440" w:lineRule="exact"/>
              <w:jc w:val="center"/>
              <w:rPr>
                <w:rFonts w:ascii="宋体" w:hAnsi="宋体" w:cs="宋体"/>
                <w:color w:val="auto"/>
                <w:szCs w:val="21"/>
                <w:highlight w:val="none"/>
              </w:rPr>
            </w:pPr>
          </w:p>
        </w:tc>
        <w:tc>
          <w:tcPr>
            <w:tcW w:w="1065" w:type="dxa"/>
            <w:vAlign w:val="top"/>
          </w:tcPr>
          <w:p>
            <w:pPr>
              <w:spacing w:line="440" w:lineRule="exact"/>
              <w:jc w:val="center"/>
              <w:rPr>
                <w:rFonts w:ascii="宋体" w:hAnsi="宋体" w:cs="宋体"/>
                <w:color w:val="auto"/>
                <w:szCs w:val="21"/>
                <w:highlight w:val="none"/>
              </w:rPr>
            </w:pPr>
          </w:p>
        </w:tc>
        <w:tc>
          <w:tcPr>
            <w:tcW w:w="1064" w:type="dxa"/>
            <w:vAlign w:val="top"/>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top"/>
          </w:tcPr>
          <w:p>
            <w:pPr>
              <w:spacing w:line="440" w:lineRule="exact"/>
              <w:jc w:val="center"/>
              <w:rPr>
                <w:rFonts w:ascii="宋体" w:hAnsi="宋体" w:cs="宋体"/>
                <w:color w:val="auto"/>
                <w:szCs w:val="21"/>
                <w:highlight w:val="none"/>
              </w:rPr>
            </w:pPr>
          </w:p>
        </w:tc>
        <w:tc>
          <w:tcPr>
            <w:tcW w:w="1304" w:type="dxa"/>
            <w:vAlign w:val="top"/>
          </w:tcPr>
          <w:p>
            <w:pPr>
              <w:spacing w:line="440" w:lineRule="exact"/>
              <w:jc w:val="center"/>
              <w:rPr>
                <w:rFonts w:ascii="宋体" w:hAnsi="宋体" w:cs="宋体"/>
                <w:color w:val="auto"/>
                <w:szCs w:val="21"/>
                <w:highlight w:val="none"/>
              </w:rPr>
            </w:pPr>
          </w:p>
        </w:tc>
        <w:tc>
          <w:tcPr>
            <w:tcW w:w="1065" w:type="dxa"/>
            <w:vAlign w:val="top"/>
          </w:tcPr>
          <w:p>
            <w:pPr>
              <w:spacing w:line="440" w:lineRule="exact"/>
              <w:jc w:val="center"/>
              <w:rPr>
                <w:rFonts w:ascii="宋体" w:hAnsi="宋体" w:cs="宋体"/>
                <w:color w:val="auto"/>
                <w:szCs w:val="21"/>
                <w:highlight w:val="none"/>
              </w:rPr>
            </w:pPr>
          </w:p>
        </w:tc>
        <w:tc>
          <w:tcPr>
            <w:tcW w:w="1065" w:type="dxa"/>
            <w:vAlign w:val="top"/>
          </w:tcPr>
          <w:p>
            <w:pPr>
              <w:spacing w:line="440" w:lineRule="exact"/>
              <w:jc w:val="center"/>
              <w:rPr>
                <w:rFonts w:ascii="宋体" w:hAnsi="宋体" w:cs="宋体"/>
                <w:color w:val="auto"/>
                <w:szCs w:val="21"/>
                <w:highlight w:val="none"/>
              </w:rPr>
            </w:pPr>
          </w:p>
        </w:tc>
        <w:tc>
          <w:tcPr>
            <w:tcW w:w="1065" w:type="dxa"/>
            <w:vAlign w:val="top"/>
          </w:tcPr>
          <w:p>
            <w:pPr>
              <w:spacing w:line="440" w:lineRule="exact"/>
              <w:jc w:val="center"/>
              <w:rPr>
                <w:rFonts w:ascii="宋体" w:hAnsi="宋体" w:cs="宋体"/>
                <w:color w:val="auto"/>
                <w:szCs w:val="21"/>
                <w:highlight w:val="none"/>
              </w:rPr>
            </w:pPr>
          </w:p>
        </w:tc>
        <w:tc>
          <w:tcPr>
            <w:tcW w:w="1065" w:type="dxa"/>
            <w:vAlign w:val="top"/>
          </w:tcPr>
          <w:p>
            <w:pPr>
              <w:spacing w:line="440" w:lineRule="exact"/>
              <w:jc w:val="center"/>
              <w:rPr>
                <w:rFonts w:ascii="宋体" w:hAnsi="宋体" w:cs="宋体"/>
                <w:color w:val="auto"/>
                <w:szCs w:val="21"/>
                <w:highlight w:val="none"/>
              </w:rPr>
            </w:pPr>
          </w:p>
        </w:tc>
        <w:tc>
          <w:tcPr>
            <w:tcW w:w="1065" w:type="dxa"/>
            <w:vAlign w:val="top"/>
          </w:tcPr>
          <w:p>
            <w:pPr>
              <w:spacing w:line="440" w:lineRule="exact"/>
              <w:jc w:val="center"/>
              <w:rPr>
                <w:rFonts w:ascii="宋体" w:hAnsi="宋体" w:cs="宋体"/>
                <w:color w:val="auto"/>
                <w:szCs w:val="21"/>
                <w:highlight w:val="none"/>
              </w:rPr>
            </w:pPr>
          </w:p>
        </w:tc>
        <w:tc>
          <w:tcPr>
            <w:tcW w:w="1064" w:type="dxa"/>
            <w:vAlign w:val="top"/>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top"/>
          </w:tcPr>
          <w:p>
            <w:pPr>
              <w:spacing w:line="440" w:lineRule="exact"/>
              <w:jc w:val="center"/>
              <w:rPr>
                <w:rFonts w:ascii="宋体" w:hAnsi="宋体" w:cs="宋体"/>
                <w:color w:val="auto"/>
                <w:szCs w:val="21"/>
                <w:highlight w:val="none"/>
              </w:rPr>
            </w:pPr>
          </w:p>
        </w:tc>
        <w:tc>
          <w:tcPr>
            <w:tcW w:w="1304" w:type="dxa"/>
            <w:vAlign w:val="top"/>
          </w:tcPr>
          <w:p>
            <w:pPr>
              <w:spacing w:line="440" w:lineRule="exact"/>
              <w:jc w:val="center"/>
              <w:rPr>
                <w:rFonts w:ascii="宋体" w:hAnsi="宋体" w:cs="宋体"/>
                <w:color w:val="auto"/>
                <w:szCs w:val="21"/>
                <w:highlight w:val="none"/>
              </w:rPr>
            </w:pPr>
          </w:p>
        </w:tc>
        <w:tc>
          <w:tcPr>
            <w:tcW w:w="1065" w:type="dxa"/>
            <w:vAlign w:val="top"/>
          </w:tcPr>
          <w:p>
            <w:pPr>
              <w:spacing w:line="440" w:lineRule="exact"/>
              <w:jc w:val="center"/>
              <w:rPr>
                <w:rFonts w:ascii="宋体" w:hAnsi="宋体" w:cs="宋体"/>
                <w:color w:val="auto"/>
                <w:szCs w:val="21"/>
                <w:highlight w:val="none"/>
              </w:rPr>
            </w:pPr>
          </w:p>
        </w:tc>
        <w:tc>
          <w:tcPr>
            <w:tcW w:w="1065" w:type="dxa"/>
            <w:vAlign w:val="top"/>
          </w:tcPr>
          <w:p>
            <w:pPr>
              <w:spacing w:line="440" w:lineRule="exact"/>
              <w:jc w:val="center"/>
              <w:rPr>
                <w:rFonts w:ascii="宋体" w:hAnsi="宋体" w:cs="宋体"/>
                <w:color w:val="auto"/>
                <w:szCs w:val="21"/>
                <w:highlight w:val="none"/>
              </w:rPr>
            </w:pPr>
          </w:p>
        </w:tc>
        <w:tc>
          <w:tcPr>
            <w:tcW w:w="1065" w:type="dxa"/>
            <w:vAlign w:val="top"/>
          </w:tcPr>
          <w:p>
            <w:pPr>
              <w:spacing w:line="440" w:lineRule="exact"/>
              <w:jc w:val="center"/>
              <w:rPr>
                <w:rFonts w:ascii="宋体" w:hAnsi="宋体" w:cs="宋体"/>
                <w:color w:val="auto"/>
                <w:szCs w:val="21"/>
                <w:highlight w:val="none"/>
              </w:rPr>
            </w:pPr>
          </w:p>
        </w:tc>
        <w:tc>
          <w:tcPr>
            <w:tcW w:w="1065" w:type="dxa"/>
            <w:vAlign w:val="top"/>
          </w:tcPr>
          <w:p>
            <w:pPr>
              <w:spacing w:line="440" w:lineRule="exact"/>
              <w:jc w:val="center"/>
              <w:rPr>
                <w:rFonts w:ascii="宋体" w:hAnsi="宋体" w:cs="宋体"/>
                <w:color w:val="auto"/>
                <w:szCs w:val="21"/>
                <w:highlight w:val="none"/>
              </w:rPr>
            </w:pPr>
          </w:p>
        </w:tc>
        <w:tc>
          <w:tcPr>
            <w:tcW w:w="1065" w:type="dxa"/>
            <w:vAlign w:val="top"/>
          </w:tcPr>
          <w:p>
            <w:pPr>
              <w:spacing w:line="440" w:lineRule="exact"/>
              <w:jc w:val="center"/>
              <w:rPr>
                <w:rFonts w:ascii="宋体" w:hAnsi="宋体" w:cs="宋体"/>
                <w:color w:val="auto"/>
                <w:szCs w:val="21"/>
                <w:highlight w:val="none"/>
              </w:rPr>
            </w:pPr>
          </w:p>
        </w:tc>
        <w:tc>
          <w:tcPr>
            <w:tcW w:w="1064" w:type="dxa"/>
            <w:vAlign w:val="top"/>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top"/>
          </w:tcPr>
          <w:p>
            <w:pPr>
              <w:spacing w:line="440" w:lineRule="exact"/>
              <w:jc w:val="center"/>
              <w:rPr>
                <w:rFonts w:ascii="宋体" w:hAnsi="宋体" w:cs="宋体"/>
                <w:color w:val="auto"/>
                <w:szCs w:val="21"/>
                <w:highlight w:val="none"/>
              </w:rPr>
            </w:pPr>
          </w:p>
        </w:tc>
        <w:tc>
          <w:tcPr>
            <w:tcW w:w="1304" w:type="dxa"/>
            <w:vAlign w:val="top"/>
          </w:tcPr>
          <w:p>
            <w:pPr>
              <w:spacing w:line="440" w:lineRule="exact"/>
              <w:jc w:val="center"/>
              <w:rPr>
                <w:rFonts w:ascii="宋体" w:hAnsi="宋体" w:cs="宋体"/>
                <w:color w:val="auto"/>
                <w:szCs w:val="21"/>
                <w:highlight w:val="none"/>
              </w:rPr>
            </w:pPr>
          </w:p>
        </w:tc>
        <w:tc>
          <w:tcPr>
            <w:tcW w:w="1065" w:type="dxa"/>
            <w:vAlign w:val="top"/>
          </w:tcPr>
          <w:p>
            <w:pPr>
              <w:spacing w:line="440" w:lineRule="exact"/>
              <w:jc w:val="center"/>
              <w:rPr>
                <w:rFonts w:ascii="宋体" w:hAnsi="宋体" w:cs="宋体"/>
                <w:color w:val="auto"/>
                <w:szCs w:val="21"/>
                <w:highlight w:val="none"/>
              </w:rPr>
            </w:pPr>
          </w:p>
        </w:tc>
        <w:tc>
          <w:tcPr>
            <w:tcW w:w="1065" w:type="dxa"/>
            <w:vAlign w:val="top"/>
          </w:tcPr>
          <w:p>
            <w:pPr>
              <w:spacing w:line="440" w:lineRule="exact"/>
              <w:jc w:val="center"/>
              <w:rPr>
                <w:rFonts w:ascii="宋体" w:hAnsi="宋体" w:cs="宋体"/>
                <w:color w:val="auto"/>
                <w:szCs w:val="21"/>
                <w:highlight w:val="none"/>
              </w:rPr>
            </w:pPr>
          </w:p>
        </w:tc>
        <w:tc>
          <w:tcPr>
            <w:tcW w:w="1065" w:type="dxa"/>
            <w:vAlign w:val="top"/>
          </w:tcPr>
          <w:p>
            <w:pPr>
              <w:spacing w:line="440" w:lineRule="exact"/>
              <w:jc w:val="center"/>
              <w:rPr>
                <w:rFonts w:ascii="宋体" w:hAnsi="宋体" w:cs="宋体"/>
                <w:color w:val="auto"/>
                <w:szCs w:val="21"/>
                <w:highlight w:val="none"/>
              </w:rPr>
            </w:pPr>
          </w:p>
        </w:tc>
        <w:tc>
          <w:tcPr>
            <w:tcW w:w="1065" w:type="dxa"/>
            <w:vAlign w:val="top"/>
          </w:tcPr>
          <w:p>
            <w:pPr>
              <w:spacing w:line="440" w:lineRule="exact"/>
              <w:jc w:val="center"/>
              <w:rPr>
                <w:rFonts w:ascii="宋体" w:hAnsi="宋体" w:cs="宋体"/>
                <w:color w:val="auto"/>
                <w:szCs w:val="21"/>
                <w:highlight w:val="none"/>
              </w:rPr>
            </w:pPr>
          </w:p>
        </w:tc>
        <w:tc>
          <w:tcPr>
            <w:tcW w:w="1065" w:type="dxa"/>
            <w:vAlign w:val="top"/>
          </w:tcPr>
          <w:p>
            <w:pPr>
              <w:spacing w:line="440" w:lineRule="exact"/>
              <w:jc w:val="center"/>
              <w:rPr>
                <w:rFonts w:ascii="宋体" w:hAnsi="宋体" w:cs="宋体"/>
                <w:color w:val="auto"/>
                <w:szCs w:val="21"/>
                <w:highlight w:val="none"/>
              </w:rPr>
            </w:pPr>
          </w:p>
        </w:tc>
        <w:tc>
          <w:tcPr>
            <w:tcW w:w="1064" w:type="dxa"/>
            <w:vAlign w:val="top"/>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top"/>
          </w:tcPr>
          <w:p>
            <w:pPr>
              <w:spacing w:line="440" w:lineRule="exact"/>
              <w:jc w:val="center"/>
              <w:rPr>
                <w:rFonts w:ascii="宋体" w:hAnsi="宋体" w:cs="宋体"/>
                <w:color w:val="auto"/>
                <w:szCs w:val="21"/>
                <w:highlight w:val="none"/>
              </w:rPr>
            </w:pPr>
          </w:p>
        </w:tc>
        <w:tc>
          <w:tcPr>
            <w:tcW w:w="1304" w:type="dxa"/>
            <w:vAlign w:val="top"/>
          </w:tcPr>
          <w:p>
            <w:pPr>
              <w:spacing w:line="440" w:lineRule="exact"/>
              <w:jc w:val="center"/>
              <w:rPr>
                <w:rFonts w:ascii="宋体" w:hAnsi="宋体" w:cs="宋体"/>
                <w:color w:val="auto"/>
                <w:szCs w:val="21"/>
                <w:highlight w:val="none"/>
              </w:rPr>
            </w:pPr>
          </w:p>
        </w:tc>
        <w:tc>
          <w:tcPr>
            <w:tcW w:w="1065" w:type="dxa"/>
            <w:vAlign w:val="top"/>
          </w:tcPr>
          <w:p>
            <w:pPr>
              <w:spacing w:line="440" w:lineRule="exact"/>
              <w:jc w:val="center"/>
              <w:rPr>
                <w:rFonts w:ascii="宋体" w:hAnsi="宋体" w:cs="宋体"/>
                <w:color w:val="auto"/>
                <w:szCs w:val="21"/>
                <w:highlight w:val="none"/>
              </w:rPr>
            </w:pPr>
          </w:p>
        </w:tc>
        <w:tc>
          <w:tcPr>
            <w:tcW w:w="1065" w:type="dxa"/>
            <w:vAlign w:val="top"/>
          </w:tcPr>
          <w:p>
            <w:pPr>
              <w:spacing w:line="440" w:lineRule="exact"/>
              <w:jc w:val="center"/>
              <w:rPr>
                <w:rFonts w:ascii="宋体" w:hAnsi="宋体" w:cs="宋体"/>
                <w:color w:val="auto"/>
                <w:szCs w:val="21"/>
                <w:highlight w:val="none"/>
              </w:rPr>
            </w:pPr>
          </w:p>
        </w:tc>
        <w:tc>
          <w:tcPr>
            <w:tcW w:w="1065" w:type="dxa"/>
            <w:vAlign w:val="top"/>
          </w:tcPr>
          <w:p>
            <w:pPr>
              <w:spacing w:line="440" w:lineRule="exact"/>
              <w:jc w:val="center"/>
              <w:rPr>
                <w:rFonts w:ascii="宋体" w:hAnsi="宋体" w:cs="宋体"/>
                <w:color w:val="auto"/>
                <w:szCs w:val="21"/>
                <w:highlight w:val="none"/>
              </w:rPr>
            </w:pPr>
          </w:p>
        </w:tc>
        <w:tc>
          <w:tcPr>
            <w:tcW w:w="1065" w:type="dxa"/>
            <w:vAlign w:val="top"/>
          </w:tcPr>
          <w:p>
            <w:pPr>
              <w:spacing w:line="440" w:lineRule="exact"/>
              <w:jc w:val="center"/>
              <w:rPr>
                <w:rFonts w:ascii="宋体" w:hAnsi="宋体" w:cs="宋体"/>
                <w:color w:val="auto"/>
                <w:szCs w:val="21"/>
                <w:highlight w:val="none"/>
              </w:rPr>
            </w:pPr>
          </w:p>
        </w:tc>
        <w:tc>
          <w:tcPr>
            <w:tcW w:w="1065" w:type="dxa"/>
            <w:vAlign w:val="top"/>
          </w:tcPr>
          <w:p>
            <w:pPr>
              <w:spacing w:line="440" w:lineRule="exact"/>
              <w:jc w:val="center"/>
              <w:rPr>
                <w:rFonts w:ascii="宋体" w:hAnsi="宋体" w:cs="宋体"/>
                <w:color w:val="auto"/>
                <w:szCs w:val="21"/>
                <w:highlight w:val="none"/>
              </w:rPr>
            </w:pPr>
          </w:p>
        </w:tc>
        <w:tc>
          <w:tcPr>
            <w:tcW w:w="1064" w:type="dxa"/>
            <w:vAlign w:val="top"/>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top"/>
          </w:tcPr>
          <w:p>
            <w:pPr>
              <w:spacing w:line="440" w:lineRule="exact"/>
              <w:jc w:val="center"/>
              <w:rPr>
                <w:rFonts w:ascii="宋体" w:hAnsi="宋体" w:cs="宋体"/>
                <w:color w:val="auto"/>
                <w:szCs w:val="21"/>
                <w:highlight w:val="none"/>
              </w:rPr>
            </w:pPr>
          </w:p>
        </w:tc>
        <w:tc>
          <w:tcPr>
            <w:tcW w:w="1304" w:type="dxa"/>
            <w:vAlign w:val="top"/>
          </w:tcPr>
          <w:p>
            <w:pPr>
              <w:spacing w:line="440" w:lineRule="exact"/>
              <w:jc w:val="center"/>
              <w:rPr>
                <w:rFonts w:ascii="宋体" w:hAnsi="宋体" w:cs="宋体"/>
                <w:color w:val="auto"/>
                <w:szCs w:val="21"/>
                <w:highlight w:val="none"/>
              </w:rPr>
            </w:pPr>
          </w:p>
        </w:tc>
        <w:tc>
          <w:tcPr>
            <w:tcW w:w="1065" w:type="dxa"/>
            <w:vAlign w:val="top"/>
          </w:tcPr>
          <w:p>
            <w:pPr>
              <w:spacing w:line="440" w:lineRule="exact"/>
              <w:jc w:val="center"/>
              <w:rPr>
                <w:rFonts w:ascii="宋体" w:hAnsi="宋体" w:cs="宋体"/>
                <w:color w:val="auto"/>
                <w:szCs w:val="21"/>
                <w:highlight w:val="none"/>
              </w:rPr>
            </w:pPr>
          </w:p>
        </w:tc>
        <w:tc>
          <w:tcPr>
            <w:tcW w:w="1065" w:type="dxa"/>
            <w:vAlign w:val="top"/>
          </w:tcPr>
          <w:p>
            <w:pPr>
              <w:spacing w:line="440" w:lineRule="exact"/>
              <w:jc w:val="center"/>
              <w:rPr>
                <w:rFonts w:ascii="宋体" w:hAnsi="宋体" w:cs="宋体"/>
                <w:color w:val="auto"/>
                <w:szCs w:val="21"/>
                <w:highlight w:val="none"/>
              </w:rPr>
            </w:pPr>
          </w:p>
        </w:tc>
        <w:tc>
          <w:tcPr>
            <w:tcW w:w="1065" w:type="dxa"/>
            <w:vAlign w:val="top"/>
          </w:tcPr>
          <w:p>
            <w:pPr>
              <w:spacing w:line="440" w:lineRule="exact"/>
              <w:jc w:val="center"/>
              <w:rPr>
                <w:rFonts w:ascii="宋体" w:hAnsi="宋体" w:cs="宋体"/>
                <w:color w:val="auto"/>
                <w:szCs w:val="21"/>
                <w:highlight w:val="none"/>
              </w:rPr>
            </w:pPr>
          </w:p>
        </w:tc>
        <w:tc>
          <w:tcPr>
            <w:tcW w:w="1065" w:type="dxa"/>
            <w:vAlign w:val="top"/>
          </w:tcPr>
          <w:p>
            <w:pPr>
              <w:spacing w:line="440" w:lineRule="exact"/>
              <w:jc w:val="center"/>
              <w:rPr>
                <w:rFonts w:ascii="宋体" w:hAnsi="宋体" w:cs="宋体"/>
                <w:color w:val="auto"/>
                <w:szCs w:val="21"/>
                <w:highlight w:val="none"/>
              </w:rPr>
            </w:pPr>
          </w:p>
        </w:tc>
        <w:tc>
          <w:tcPr>
            <w:tcW w:w="1065" w:type="dxa"/>
            <w:vAlign w:val="top"/>
          </w:tcPr>
          <w:p>
            <w:pPr>
              <w:spacing w:line="440" w:lineRule="exact"/>
              <w:jc w:val="center"/>
              <w:rPr>
                <w:rFonts w:ascii="宋体" w:hAnsi="宋体" w:cs="宋体"/>
                <w:color w:val="auto"/>
                <w:szCs w:val="21"/>
                <w:highlight w:val="none"/>
              </w:rPr>
            </w:pPr>
          </w:p>
        </w:tc>
        <w:tc>
          <w:tcPr>
            <w:tcW w:w="1064" w:type="dxa"/>
            <w:vAlign w:val="top"/>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top"/>
          </w:tcPr>
          <w:p>
            <w:pPr>
              <w:spacing w:line="440" w:lineRule="exact"/>
              <w:jc w:val="center"/>
              <w:rPr>
                <w:rFonts w:ascii="宋体" w:hAnsi="宋体" w:cs="宋体"/>
                <w:color w:val="auto"/>
                <w:szCs w:val="21"/>
                <w:highlight w:val="none"/>
              </w:rPr>
            </w:pPr>
          </w:p>
        </w:tc>
        <w:tc>
          <w:tcPr>
            <w:tcW w:w="1304" w:type="dxa"/>
            <w:vAlign w:val="top"/>
          </w:tcPr>
          <w:p>
            <w:pPr>
              <w:spacing w:line="440" w:lineRule="exact"/>
              <w:jc w:val="center"/>
              <w:rPr>
                <w:rFonts w:ascii="宋体" w:hAnsi="宋体" w:cs="宋体"/>
                <w:color w:val="auto"/>
                <w:szCs w:val="21"/>
                <w:highlight w:val="none"/>
              </w:rPr>
            </w:pPr>
          </w:p>
        </w:tc>
        <w:tc>
          <w:tcPr>
            <w:tcW w:w="1065" w:type="dxa"/>
            <w:vAlign w:val="top"/>
          </w:tcPr>
          <w:p>
            <w:pPr>
              <w:spacing w:line="440" w:lineRule="exact"/>
              <w:jc w:val="center"/>
              <w:rPr>
                <w:rFonts w:ascii="宋体" w:hAnsi="宋体" w:cs="宋体"/>
                <w:color w:val="auto"/>
                <w:szCs w:val="21"/>
                <w:highlight w:val="none"/>
              </w:rPr>
            </w:pPr>
          </w:p>
        </w:tc>
        <w:tc>
          <w:tcPr>
            <w:tcW w:w="1065" w:type="dxa"/>
            <w:vAlign w:val="top"/>
          </w:tcPr>
          <w:p>
            <w:pPr>
              <w:spacing w:line="440" w:lineRule="exact"/>
              <w:jc w:val="center"/>
              <w:rPr>
                <w:rFonts w:ascii="宋体" w:hAnsi="宋体" w:cs="宋体"/>
                <w:color w:val="auto"/>
                <w:szCs w:val="21"/>
                <w:highlight w:val="none"/>
              </w:rPr>
            </w:pPr>
          </w:p>
        </w:tc>
        <w:tc>
          <w:tcPr>
            <w:tcW w:w="1065" w:type="dxa"/>
            <w:vAlign w:val="top"/>
          </w:tcPr>
          <w:p>
            <w:pPr>
              <w:spacing w:line="440" w:lineRule="exact"/>
              <w:jc w:val="center"/>
              <w:rPr>
                <w:rFonts w:ascii="宋体" w:hAnsi="宋体" w:cs="宋体"/>
                <w:color w:val="auto"/>
                <w:szCs w:val="21"/>
                <w:highlight w:val="none"/>
              </w:rPr>
            </w:pPr>
          </w:p>
        </w:tc>
        <w:tc>
          <w:tcPr>
            <w:tcW w:w="1065" w:type="dxa"/>
            <w:vAlign w:val="top"/>
          </w:tcPr>
          <w:p>
            <w:pPr>
              <w:spacing w:line="440" w:lineRule="exact"/>
              <w:jc w:val="center"/>
              <w:rPr>
                <w:rFonts w:ascii="宋体" w:hAnsi="宋体" w:cs="宋体"/>
                <w:color w:val="auto"/>
                <w:szCs w:val="21"/>
                <w:highlight w:val="none"/>
              </w:rPr>
            </w:pPr>
          </w:p>
        </w:tc>
        <w:tc>
          <w:tcPr>
            <w:tcW w:w="1065" w:type="dxa"/>
            <w:vAlign w:val="top"/>
          </w:tcPr>
          <w:p>
            <w:pPr>
              <w:spacing w:line="440" w:lineRule="exact"/>
              <w:jc w:val="center"/>
              <w:rPr>
                <w:rFonts w:ascii="宋体" w:hAnsi="宋体" w:cs="宋体"/>
                <w:color w:val="auto"/>
                <w:szCs w:val="21"/>
                <w:highlight w:val="none"/>
              </w:rPr>
            </w:pPr>
          </w:p>
        </w:tc>
        <w:tc>
          <w:tcPr>
            <w:tcW w:w="1064" w:type="dxa"/>
            <w:vAlign w:val="top"/>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top"/>
          </w:tcPr>
          <w:p>
            <w:pPr>
              <w:spacing w:line="440" w:lineRule="exact"/>
              <w:jc w:val="center"/>
              <w:rPr>
                <w:rFonts w:ascii="宋体" w:hAnsi="宋体" w:cs="宋体"/>
                <w:color w:val="auto"/>
                <w:szCs w:val="21"/>
                <w:highlight w:val="none"/>
              </w:rPr>
            </w:pPr>
          </w:p>
        </w:tc>
        <w:tc>
          <w:tcPr>
            <w:tcW w:w="1304" w:type="dxa"/>
            <w:vAlign w:val="top"/>
          </w:tcPr>
          <w:p>
            <w:pPr>
              <w:spacing w:line="440" w:lineRule="exact"/>
              <w:jc w:val="center"/>
              <w:rPr>
                <w:rFonts w:ascii="宋体" w:hAnsi="宋体" w:cs="宋体"/>
                <w:color w:val="auto"/>
                <w:szCs w:val="21"/>
                <w:highlight w:val="none"/>
              </w:rPr>
            </w:pPr>
          </w:p>
        </w:tc>
        <w:tc>
          <w:tcPr>
            <w:tcW w:w="1065" w:type="dxa"/>
            <w:vAlign w:val="top"/>
          </w:tcPr>
          <w:p>
            <w:pPr>
              <w:spacing w:line="440" w:lineRule="exact"/>
              <w:jc w:val="center"/>
              <w:rPr>
                <w:rFonts w:ascii="宋体" w:hAnsi="宋体" w:cs="宋体"/>
                <w:color w:val="auto"/>
                <w:szCs w:val="21"/>
                <w:highlight w:val="none"/>
              </w:rPr>
            </w:pPr>
          </w:p>
        </w:tc>
        <w:tc>
          <w:tcPr>
            <w:tcW w:w="1065" w:type="dxa"/>
            <w:vAlign w:val="top"/>
          </w:tcPr>
          <w:p>
            <w:pPr>
              <w:spacing w:line="440" w:lineRule="exact"/>
              <w:jc w:val="center"/>
              <w:rPr>
                <w:rFonts w:ascii="宋体" w:hAnsi="宋体" w:cs="宋体"/>
                <w:color w:val="auto"/>
                <w:szCs w:val="21"/>
                <w:highlight w:val="none"/>
              </w:rPr>
            </w:pPr>
          </w:p>
        </w:tc>
        <w:tc>
          <w:tcPr>
            <w:tcW w:w="1065" w:type="dxa"/>
            <w:vAlign w:val="top"/>
          </w:tcPr>
          <w:p>
            <w:pPr>
              <w:spacing w:line="440" w:lineRule="exact"/>
              <w:jc w:val="center"/>
              <w:rPr>
                <w:rFonts w:ascii="宋体" w:hAnsi="宋体" w:cs="宋体"/>
                <w:color w:val="auto"/>
                <w:szCs w:val="21"/>
                <w:highlight w:val="none"/>
              </w:rPr>
            </w:pPr>
          </w:p>
        </w:tc>
        <w:tc>
          <w:tcPr>
            <w:tcW w:w="1065" w:type="dxa"/>
            <w:vAlign w:val="top"/>
          </w:tcPr>
          <w:p>
            <w:pPr>
              <w:spacing w:line="440" w:lineRule="exact"/>
              <w:jc w:val="center"/>
              <w:rPr>
                <w:rFonts w:ascii="宋体" w:hAnsi="宋体" w:cs="宋体"/>
                <w:color w:val="auto"/>
                <w:szCs w:val="21"/>
                <w:highlight w:val="none"/>
              </w:rPr>
            </w:pPr>
          </w:p>
        </w:tc>
        <w:tc>
          <w:tcPr>
            <w:tcW w:w="1065" w:type="dxa"/>
            <w:vAlign w:val="top"/>
          </w:tcPr>
          <w:p>
            <w:pPr>
              <w:spacing w:line="440" w:lineRule="exact"/>
              <w:jc w:val="center"/>
              <w:rPr>
                <w:rFonts w:ascii="宋体" w:hAnsi="宋体" w:cs="宋体"/>
                <w:color w:val="auto"/>
                <w:szCs w:val="21"/>
                <w:highlight w:val="none"/>
              </w:rPr>
            </w:pPr>
          </w:p>
        </w:tc>
        <w:tc>
          <w:tcPr>
            <w:tcW w:w="1064" w:type="dxa"/>
            <w:vAlign w:val="top"/>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top"/>
          </w:tcPr>
          <w:p>
            <w:pPr>
              <w:spacing w:line="440" w:lineRule="exact"/>
              <w:jc w:val="center"/>
              <w:rPr>
                <w:rFonts w:ascii="宋体" w:hAnsi="宋体" w:cs="宋体"/>
                <w:color w:val="auto"/>
                <w:szCs w:val="21"/>
                <w:highlight w:val="none"/>
              </w:rPr>
            </w:pPr>
          </w:p>
        </w:tc>
        <w:tc>
          <w:tcPr>
            <w:tcW w:w="1304" w:type="dxa"/>
            <w:vAlign w:val="top"/>
          </w:tcPr>
          <w:p>
            <w:pPr>
              <w:spacing w:line="440" w:lineRule="exact"/>
              <w:jc w:val="center"/>
              <w:rPr>
                <w:rFonts w:ascii="宋体" w:hAnsi="宋体" w:cs="宋体"/>
                <w:color w:val="auto"/>
                <w:szCs w:val="21"/>
                <w:highlight w:val="none"/>
              </w:rPr>
            </w:pPr>
          </w:p>
        </w:tc>
        <w:tc>
          <w:tcPr>
            <w:tcW w:w="1065" w:type="dxa"/>
            <w:vAlign w:val="top"/>
          </w:tcPr>
          <w:p>
            <w:pPr>
              <w:spacing w:line="440" w:lineRule="exact"/>
              <w:jc w:val="center"/>
              <w:rPr>
                <w:rFonts w:ascii="宋体" w:hAnsi="宋体" w:cs="宋体"/>
                <w:color w:val="auto"/>
                <w:szCs w:val="21"/>
                <w:highlight w:val="none"/>
              </w:rPr>
            </w:pPr>
          </w:p>
        </w:tc>
        <w:tc>
          <w:tcPr>
            <w:tcW w:w="1065" w:type="dxa"/>
            <w:vAlign w:val="top"/>
          </w:tcPr>
          <w:p>
            <w:pPr>
              <w:spacing w:line="440" w:lineRule="exact"/>
              <w:jc w:val="center"/>
              <w:rPr>
                <w:rFonts w:ascii="宋体" w:hAnsi="宋体" w:cs="宋体"/>
                <w:color w:val="auto"/>
                <w:szCs w:val="21"/>
                <w:highlight w:val="none"/>
              </w:rPr>
            </w:pPr>
          </w:p>
        </w:tc>
        <w:tc>
          <w:tcPr>
            <w:tcW w:w="1065" w:type="dxa"/>
            <w:vAlign w:val="top"/>
          </w:tcPr>
          <w:p>
            <w:pPr>
              <w:spacing w:line="440" w:lineRule="exact"/>
              <w:jc w:val="center"/>
              <w:rPr>
                <w:rFonts w:ascii="宋体" w:hAnsi="宋体" w:cs="宋体"/>
                <w:color w:val="auto"/>
                <w:szCs w:val="21"/>
                <w:highlight w:val="none"/>
              </w:rPr>
            </w:pPr>
          </w:p>
        </w:tc>
        <w:tc>
          <w:tcPr>
            <w:tcW w:w="1065" w:type="dxa"/>
            <w:vAlign w:val="top"/>
          </w:tcPr>
          <w:p>
            <w:pPr>
              <w:spacing w:line="440" w:lineRule="exact"/>
              <w:jc w:val="center"/>
              <w:rPr>
                <w:rFonts w:ascii="宋体" w:hAnsi="宋体" w:cs="宋体"/>
                <w:color w:val="auto"/>
                <w:szCs w:val="21"/>
                <w:highlight w:val="none"/>
              </w:rPr>
            </w:pPr>
          </w:p>
        </w:tc>
        <w:tc>
          <w:tcPr>
            <w:tcW w:w="1065" w:type="dxa"/>
            <w:vAlign w:val="top"/>
          </w:tcPr>
          <w:p>
            <w:pPr>
              <w:spacing w:line="440" w:lineRule="exact"/>
              <w:jc w:val="center"/>
              <w:rPr>
                <w:rFonts w:ascii="宋体" w:hAnsi="宋体" w:cs="宋体"/>
                <w:color w:val="auto"/>
                <w:szCs w:val="21"/>
                <w:highlight w:val="none"/>
              </w:rPr>
            </w:pPr>
          </w:p>
        </w:tc>
        <w:tc>
          <w:tcPr>
            <w:tcW w:w="1064" w:type="dxa"/>
            <w:vAlign w:val="top"/>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top"/>
          </w:tcPr>
          <w:p>
            <w:pPr>
              <w:spacing w:line="440" w:lineRule="exact"/>
              <w:jc w:val="center"/>
              <w:rPr>
                <w:rFonts w:ascii="宋体" w:hAnsi="宋体" w:cs="宋体"/>
                <w:color w:val="auto"/>
                <w:szCs w:val="21"/>
                <w:highlight w:val="none"/>
              </w:rPr>
            </w:pPr>
          </w:p>
        </w:tc>
        <w:tc>
          <w:tcPr>
            <w:tcW w:w="1304" w:type="dxa"/>
            <w:vAlign w:val="top"/>
          </w:tcPr>
          <w:p>
            <w:pPr>
              <w:spacing w:line="440" w:lineRule="exact"/>
              <w:jc w:val="center"/>
              <w:rPr>
                <w:rFonts w:ascii="宋体" w:hAnsi="宋体" w:cs="宋体"/>
                <w:color w:val="auto"/>
                <w:szCs w:val="21"/>
                <w:highlight w:val="none"/>
              </w:rPr>
            </w:pPr>
          </w:p>
        </w:tc>
        <w:tc>
          <w:tcPr>
            <w:tcW w:w="1065" w:type="dxa"/>
            <w:vAlign w:val="top"/>
          </w:tcPr>
          <w:p>
            <w:pPr>
              <w:spacing w:line="440" w:lineRule="exact"/>
              <w:jc w:val="center"/>
              <w:rPr>
                <w:rFonts w:ascii="宋体" w:hAnsi="宋体" w:cs="宋体"/>
                <w:color w:val="auto"/>
                <w:szCs w:val="21"/>
                <w:highlight w:val="none"/>
              </w:rPr>
            </w:pPr>
          </w:p>
        </w:tc>
        <w:tc>
          <w:tcPr>
            <w:tcW w:w="1065" w:type="dxa"/>
            <w:vAlign w:val="top"/>
          </w:tcPr>
          <w:p>
            <w:pPr>
              <w:spacing w:line="440" w:lineRule="exact"/>
              <w:jc w:val="center"/>
              <w:rPr>
                <w:rFonts w:ascii="宋体" w:hAnsi="宋体" w:cs="宋体"/>
                <w:color w:val="auto"/>
                <w:szCs w:val="21"/>
                <w:highlight w:val="none"/>
              </w:rPr>
            </w:pPr>
          </w:p>
        </w:tc>
        <w:tc>
          <w:tcPr>
            <w:tcW w:w="1065" w:type="dxa"/>
            <w:vAlign w:val="top"/>
          </w:tcPr>
          <w:p>
            <w:pPr>
              <w:spacing w:line="440" w:lineRule="exact"/>
              <w:jc w:val="center"/>
              <w:rPr>
                <w:rFonts w:ascii="宋体" w:hAnsi="宋体" w:cs="宋体"/>
                <w:color w:val="auto"/>
                <w:szCs w:val="21"/>
                <w:highlight w:val="none"/>
              </w:rPr>
            </w:pPr>
          </w:p>
        </w:tc>
        <w:tc>
          <w:tcPr>
            <w:tcW w:w="1065" w:type="dxa"/>
            <w:vAlign w:val="top"/>
          </w:tcPr>
          <w:p>
            <w:pPr>
              <w:spacing w:line="440" w:lineRule="exact"/>
              <w:jc w:val="center"/>
              <w:rPr>
                <w:rFonts w:ascii="宋体" w:hAnsi="宋体" w:cs="宋体"/>
                <w:color w:val="auto"/>
                <w:szCs w:val="21"/>
                <w:highlight w:val="none"/>
              </w:rPr>
            </w:pPr>
          </w:p>
        </w:tc>
        <w:tc>
          <w:tcPr>
            <w:tcW w:w="1065" w:type="dxa"/>
            <w:vAlign w:val="top"/>
          </w:tcPr>
          <w:p>
            <w:pPr>
              <w:spacing w:line="440" w:lineRule="exact"/>
              <w:jc w:val="center"/>
              <w:rPr>
                <w:rFonts w:ascii="宋体" w:hAnsi="宋体" w:cs="宋体"/>
                <w:color w:val="auto"/>
                <w:szCs w:val="21"/>
                <w:highlight w:val="none"/>
              </w:rPr>
            </w:pPr>
          </w:p>
        </w:tc>
        <w:tc>
          <w:tcPr>
            <w:tcW w:w="1064" w:type="dxa"/>
            <w:vAlign w:val="top"/>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top"/>
          </w:tcPr>
          <w:p>
            <w:pPr>
              <w:spacing w:line="440" w:lineRule="exact"/>
              <w:jc w:val="center"/>
              <w:rPr>
                <w:rFonts w:ascii="宋体" w:hAnsi="宋体" w:cs="宋体"/>
                <w:color w:val="auto"/>
                <w:szCs w:val="21"/>
                <w:highlight w:val="none"/>
              </w:rPr>
            </w:pPr>
          </w:p>
        </w:tc>
        <w:tc>
          <w:tcPr>
            <w:tcW w:w="1304" w:type="dxa"/>
            <w:vAlign w:val="top"/>
          </w:tcPr>
          <w:p>
            <w:pPr>
              <w:spacing w:line="440" w:lineRule="exact"/>
              <w:jc w:val="center"/>
              <w:rPr>
                <w:rFonts w:ascii="宋体" w:hAnsi="宋体" w:cs="宋体"/>
                <w:color w:val="auto"/>
                <w:szCs w:val="21"/>
                <w:highlight w:val="none"/>
              </w:rPr>
            </w:pPr>
          </w:p>
        </w:tc>
        <w:tc>
          <w:tcPr>
            <w:tcW w:w="1065" w:type="dxa"/>
            <w:vAlign w:val="top"/>
          </w:tcPr>
          <w:p>
            <w:pPr>
              <w:spacing w:line="440" w:lineRule="exact"/>
              <w:jc w:val="center"/>
              <w:rPr>
                <w:rFonts w:ascii="宋体" w:hAnsi="宋体" w:cs="宋体"/>
                <w:color w:val="auto"/>
                <w:szCs w:val="21"/>
                <w:highlight w:val="none"/>
              </w:rPr>
            </w:pPr>
          </w:p>
        </w:tc>
        <w:tc>
          <w:tcPr>
            <w:tcW w:w="1065" w:type="dxa"/>
            <w:vAlign w:val="top"/>
          </w:tcPr>
          <w:p>
            <w:pPr>
              <w:spacing w:line="440" w:lineRule="exact"/>
              <w:jc w:val="center"/>
              <w:rPr>
                <w:rFonts w:ascii="宋体" w:hAnsi="宋体" w:cs="宋体"/>
                <w:color w:val="auto"/>
                <w:szCs w:val="21"/>
                <w:highlight w:val="none"/>
              </w:rPr>
            </w:pPr>
          </w:p>
        </w:tc>
        <w:tc>
          <w:tcPr>
            <w:tcW w:w="1065" w:type="dxa"/>
            <w:vAlign w:val="top"/>
          </w:tcPr>
          <w:p>
            <w:pPr>
              <w:spacing w:line="440" w:lineRule="exact"/>
              <w:jc w:val="center"/>
              <w:rPr>
                <w:rFonts w:ascii="宋体" w:hAnsi="宋体" w:cs="宋体"/>
                <w:color w:val="auto"/>
                <w:szCs w:val="21"/>
                <w:highlight w:val="none"/>
              </w:rPr>
            </w:pPr>
          </w:p>
        </w:tc>
        <w:tc>
          <w:tcPr>
            <w:tcW w:w="1065" w:type="dxa"/>
            <w:vAlign w:val="top"/>
          </w:tcPr>
          <w:p>
            <w:pPr>
              <w:spacing w:line="440" w:lineRule="exact"/>
              <w:jc w:val="center"/>
              <w:rPr>
                <w:rFonts w:ascii="宋体" w:hAnsi="宋体" w:cs="宋体"/>
                <w:color w:val="auto"/>
                <w:szCs w:val="21"/>
                <w:highlight w:val="none"/>
              </w:rPr>
            </w:pPr>
          </w:p>
        </w:tc>
        <w:tc>
          <w:tcPr>
            <w:tcW w:w="1065" w:type="dxa"/>
            <w:vAlign w:val="top"/>
          </w:tcPr>
          <w:p>
            <w:pPr>
              <w:spacing w:line="440" w:lineRule="exact"/>
              <w:jc w:val="center"/>
              <w:rPr>
                <w:rFonts w:ascii="宋体" w:hAnsi="宋体" w:cs="宋体"/>
                <w:color w:val="auto"/>
                <w:szCs w:val="21"/>
                <w:highlight w:val="none"/>
              </w:rPr>
            </w:pPr>
          </w:p>
        </w:tc>
        <w:tc>
          <w:tcPr>
            <w:tcW w:w="1064" w:type="dxa"/>
            <w:vAlign w:val="top"/>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top"/>
          </w:tcPr>
          <w:p>
            <w:pPr>
              <w:spacing w:line="440" w:lineRule="exact"/>
              <w:rPr>
                <w:rFonts w:ascii="宋体" w:hAnsi="宋体" w:cs="宋体"/>
                <w:color w:val="auto"/>
                <w:szCs w:val="21"/>
                <w:highlight w:val="none"/>
              </w:rPr>
            </w:pPr>
          </w:p>
        </w:tc>
        <w:tc>
          <w:tcPr>
            <w:tcW w:w="1304" w:type="dxa"/>
            <w:vAlign w:val="top"/>
          </w:tcPr>
          <w:p>
            <w:pPr>
              <w:spacing w:line="440" w:lineRule="exact"/>
              <w:jc w:val="center"/>
              <w:rPr>
                <w:rFonts w:ascii="宋体" w:hAnsi="宋体" w:cs="宋体"/>
                <w:color w:val="auto"/>
                <w:szCs w:val="21"/>
                <w:highlight w:val="none"/>
              </w:rPr>
            </w:pPr>
          </w:p>
        </w:tc>
        <w:tc>
          <w:tcPr>
            <w:tcW w:w="1065" w:type="dxa"/>
            <w:vAlign w:val="top"/>
          </w:tcPr>
          <w:p>
            <w:pPr>
              <w:spacing w:line="440" w:lineRule="exact"/>
              <w:jc w:val="center"/>
              <w:rPr>
                <w:rFonts w:ascii="宋体" w:hAnsi="宋体" w:cs="宋体"/>
                <w:color w:val="auto"/>
                <w:szCs w:val="21"/>
                <w:highlight w:val="none"/>
              </w:rPr>
            </w:pPr>
          </w:p>
        </w:tc>
        <w:tc>
          <w:tcPr>
            <w:tcW w:w="1065" w:type="dxa"/>
            <w:vAlign w:val="top"/>
          </w:tcPr>
          <w:p>
            <w:pPr>
              <w:spacing w:line="440" w:lineRule="exact"/>
              <w:jc w:val="center"/>
              <w:rPr>
                <w:rFonts w:ascii="宋体" w:hAnsi="宋体" w:cs="宋体"/>
                <w:color w:val="auto"/>
                <w:szCs w:val="21"/>
                <w:highlight w:val="none"/>
              </w:rPr>
            </w:pPr>
          </w:p>
        </w:tc>
        <w:tc>
          <w:tcPr>
            <w:tcW w:w="1065" w:type="dxa"/>
            <w:vAlign w:val="top"/>
          </w:tcPr>
          <w:p>
            <w:pPr>
              <w:spacing w:line="440" w:lineRule="exact"/>
              <w:jc w:val="center"/>
              <w:rPr>
                <w:rFonts w:ascii="宋体" w:hAnsi="宋体" w:cs="宋体"/>
                <w:color w:val="auto"/>
                <w:szCs w:val="21"/>
                <w:highlight w:val="none"/>
              </w:rPr>
            </w:pPr>
          </w:p>
        </w:tc>
        <w:tc>
          <w:tcPr>
            <w:tcW w:w="1065" w:type="dxa"/>
            <w:vAlign w:val="top"/>
          </w:tcPr>
          <w:p>
            <w:pPr>
              <w:spacing w:line="440" w:lineRule="exact"/>
              <w:jc w:val="center"/>
              <w:rPr>
                <w:rFonts w:ascii="宋体" w:hAnsi="宋体" w:cs="宋体"/>
                <w:color w:val="auto"/>
                <w:szCs w:val="21"/>
                <w:highlight w:val="none"/>
              </w:rPr>
            </w:pPr>
          </w:p>
        </w:tc>
        <w:tc>
          <w:tcPr>
            <w:tcW w:w="1065" w:type="dxa"/>
            <w:vAlign w:val="top"/>
          </w:tcPr>
          <w:p>
            <w:pPr>
              <w:spacing w:line="440" w:lineRule="exact"/>
              <w:jc w:val="center"/>
              <w:rPr>
                <w:rFonts w:ascii="宋体" w:hAnsi="宋体" w:cs="宋体"/>
                <w:color w:val="auto"/>
                <w:szCs w:val="21"/>
                <w:highlight w:val="none"/>
              </w:rPr>
            </w:pPr>
          </w:p>
        </w:tc>
        <w:tc>
          <w:tcPr>
            <w:tcW w:w="1064" w:type="dxa"/>
            <w:vAlign w:val="top"/>
          </w:tcPr>
          <w:p>
            <w:pPr>
              <w:spacing w:line="440" w:lineRule="exact"/>
              <w:jc w:val="center"/>
              <w:rPr>
                <w:rFonts w:ascii="宋体" w:hAnsi="宋体" w:cs="宋体"/>
                <w:color w:val="auto"/>
                <w:szCs w:val="21"/>
                <w:highlight w:val="none"/>
              </w:rPr>
            </w:pPr>
          </w:p>
        </w:tc>
      </w:tr>
    </w:tbl>
    <w:p>
      <w:pPr>
        <w:pStyle w:val="9"/>
        <w:rPr>
          <w:rFonts w:ascii="宋体" w:hAnsi="宋体" w:cs="宋体"/>
          <w:color w:val="auto"/>
          <w:highlight w:val="none"/>
        </w:rPr>
      </w:pPr>
      <w:bookmarkStart w:id="1268" w:name="_Toc246996367"/>
      <w:bookmarkStart w:id="1269" w:name="_Toc152045800"/>
      <w:bookmarkStart w:id="1270" w:name="_Toc152042589"/>
      <w:bookmarkStart w:id="1271" w:name="_Toc179632820"/>
      <w:bookmarkStart w:id="1272" w:name="_Toc144974868"/>
      <w:bookmarkStart w:id="1273" w:name="_Toc246997110"/>
    </w:p>
    <w:p>
      <w:pPr>
        <w:pStyle w:val="9"/>
        <w:rPr>
          <w:rFonts w:ascii="宋体" w:hAnsi="宋体" w:cs="宋体"/>
          <w:color w:val="auto"/>
          <w:highlight w:val="none"/>
        </w:rPr>
      </w:pPr>
    </w:p>
    <w:p>
      <w:pPr>
        <w:pStyle w:val="5"/>
        <w:rPr>
          <w:rFonts w:ascii="宋体" w:hAnsi="宋体" w:cs="宋体"/>
          <w:color w:val="auto"/>
          <w:highlight w:val="none"/>
        </w:rPr>
      </w:pPr>
      <w:bookmarkStart w:id="1274" w:name="_Toc247085885"/>
      <w:bookmarkStart w:id="1275" w:name="_Toc466470833"/>
      <w:bookmarkStart w:id="1276" w:name="_Toc466470963"/>
      <w:r>
        <w:rPr>
          <w:rFonts w:hint="eastAsia" w:ascii="宋体" w:hAnsi="宋体" w:cs="宋体"/>
          <w:color w:val="auto"/>
          <w:highlight w:val="none"/>
        </w:rPr>
        <w:t>附表三：进度计划</w:t>
      </w:r>
      <w:bookmarkEnd w:id="1268"/>
      <w:bookmarkEnd w:id="1269"/>
      <w:bookmarkEnd w:id="1270"/>
      <w:bookmarkEnd w:id="1271"/>
      <w:bookmarkEnd w:id="1272"/>
      <w:bookmarkEnd w:id="1273"/>
      <w:bookmarkEnd w:id="1274"/>
      <w:bookmarkEnd w:id="1275"/>
      <w:bookmarkEnd w:id="1276"/>
    </w:p>
    <w:p>
      <w:pPr>
        <w:spacing w:line="440" w:lineRule="exact"/>
        <w:rPr>
          <w:rFonts w:ascii="宋体" w:hAnsi="宋体" w:cs="宋体"/>
          <w:color w:val="auto"/>
          <w:sz w:val="20"/>
          <w:szCs w:val="20"/>
          <w:highlight w:val="none"/>
        </w:rPr>
      </w:pP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 投标人应递交施工进度网络图或施工进度表，说明按招标文件要求的计划工期进行施工的各个关键日期。</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 施工进度表采用网络图和横道图表示。</w:t>
      </w: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pStyle w:val="5"/>
        <w:rPr>
          <w:rFonts w:ascii="宋体" w:hAnsi="宋体" w:cs="宋体"/>
          <w:color w:val="auto"/>
          <w:highlight w:val="none"/>
        </w:rPr>
      </w:pPr>
      <w:bookmarkStart w:id="1277" w:name="_Toc466470964"/>
      <w:bookmarkStart w:id="1278" w:name="_Toc152045801"/>
      <w:bookmarkStart w:id="1279" w:name="_Toc144974869"/>
      <w:bookmarkStart w:id="1280" w:name="_Toc179632821"/>
      <w:bookmarkStart w:id="1281" w:name="_Toc246997111"/>
      <w:bookmarkStart w:id="1282" w:name="_Toc152042590"/>
      <w:bookmarkStart w:id="1283" w:name="_Toc247085886"/>
      <w:bookmarkStart w:id="1284" w:name="_Toc246996368"/>
      <w:bookmarkStart w:id="1285" w:name="_Toc466470834"/>
      <w:r>
        <w:rPr>
          <w:rFonts w:hint="eastAsia" w:ascii="宋体" w:hAnsi="宋体" w:cs="宋体"/>
          <w:color w:val="auto"/>
          <w:highlight w:val="none"/>
        </w:rPr>
        <w:t>附表四：施工总平面图</w:t>
      </w:r>
      <w:bookmarkEnd w:id="1277"/>
      <w:bookmarkEnd w:id="1278"/>
      <w:bookmarkEnd w:id="1279"/>
      <w:bookmarkEnd w:id="1280"/>
      <w:bookmarkEnd w:id="1281"/>
      <w:bookmarkEnd w:id="1282"/>
      <w:bookmarkEnd w:id="1283"/>
      <w:bookmarkEnd w:id="1284"/>
      <w:bookmarkEnd w:id="1285"/>
    </w:p>
    <w:p>
      <w:pPr>
        <w:spacing w:line="440" w:lineRule="exact"/>
        <w:rPr>
          <w:rFonts w:ascii="宋体" w:hAnsi="宋体" w:cs="宋体"/>
          <w:color w:val="auto"/>
          <w:sz w:val="20"/>
          <w:szCs w:val="20"/>
          <w:highlight w:val="none"/>
        </w:rPr>
      </w:pPr>
      <w:r>
        <w:rPr>
          <w:rFonts w:hint="eastAsia" w:ascii="宋体" w:hAnsi="宋体" w:cs="宋体"/>
          <w:color w:val="auto"/>
          <w:sz w:val="20"/>
          <w:szCs w:val="20"/>
          <w:highlight w:val="none"/>
        </w:rPr>
        <w:tab/>
      </w:r>
    </w:p>
    <w:p>
      <w:pPr>
        <w:spacing w:line="440" w:lineRule="exact"/>
        <w:ind w:firstLine="420" w:firstLineChars="200"/>
        <w:rPr>
          <w:rFonts w:ascii="宋体" w:hAnsi="宋体" w:cs="宋体"/>
          <w:color w:val="auto"/>
          <w:sz w:val="20"/>
          <w:highlight w:val="none"/>
        </w:rPr>
      </w:pPr>
      <w:r>
        <w:rPr>
          <w:rFonts w:hint="eastAsia" w:ascii="宋体" w:hAnsi="宋体" w:cs="宋体"/>
          <w:color w:val="auto"/>
          <w:highlight w:val="none"/>
        </w:rPr>
        <w:t>投标人应递交一份施工总平面图，绘出现场临时设施布置图表，并注明临时设施、加工车间、现场办公、设备及仓储、供电、供水、卫生、生活、道路、消防等设施的情况和布置。</w:t>
      </w:r>
      <w:bookmarkStart w:id="1286" w:name="_Toc152042592"/>
      <w:bookmarkStart w:id="1287" w:name="_Toc144974871"/>
      <w:bookmarkStart w:id="1288" w:name="_Toc152045803"/>
      <w:bookmarkStart w:id="1289" w:name="_Toc179632823"/>
    </w:p>
    <w:p>
      <w:pPr>
        <w:spacing w:line="440" w:lineRule="exact"/>
        <w:ind w:firstLine="400" w:firstLineChars="200"/>
        <w:rPr>
          <w:rFonts w:ascii="宋体" w:hAnsi="宋体" w:cs="宋体"/>
          <w:color w:val="auto"/>
          <w:sz w:val="20"/>
          <w:highlight w:val="none"/>
        </w:rPr>
      </w:pPr>
    </w:p>
    <w:p>
      <w:pPr>
        <w:spacing w:line="440" w:lineRule="exact"/>
        <w:ind w:firstLine="400" w:firstLineChars="200"/>
        <w:rPr>
          <w:rFonts w:ascii="宋体" w:hAnsi="宋体" w:cs="宋体"/>
          <w:color w:val="auto"/>
          <w:sz w:val="20"/>
          <w:highlight w:val="none"/>
        </w:rPr>
      </w:pPr>
    </w:p>
    <w:p>
      <w:pPr>
        <w:spacing w:line="440" w:lineRule="exact"/>
        <w:ind w:firstLine="400" w:firstLineChars="200"/>
        <w:rPr>
          <w:rFonts w:ascii="宋体" w:hAnsi="宋体" w:cs="宋体"/>
          <w:color w:val="auto"/>
          <w:sz w:val="20"/>
          <w:highlight w:val="none"/>
        </w:rPr>
      </w:pPr>
    </w:p>
    <w:p>
      <w:pPr>
        <w:spacing w:line="440" w:lineRule="exact"/>
        <w:ind w:firstLine="400" w:firstLineChars="200"/>
        <w:rPr>
          <w:rFonts w:ascii="宋体" w:hAnsi="宋体" w:cs="宋体"/>
          <w:color w:val="auto"/>
          <w:sz w:val="20"/>
          <w:highlight w:val="none"/>
        </w:rPr>
      </w:pPr>
    </w:p>
    <w:p>
      <w:pPr>
        <w:spacing w:line="440" w:lineRule="exact"/>
        <w:ind w:firstLine="400" w:firstLineChars="200"/>
        <w:rPr>
          <w:rFonts w:ascii="宋体" w:hAnsi="宋体" w:cs="宋体"/>
          <w:color w:val="auto"/>
          <w:sz w:val="20"/>
          <w:highlight w:val="none"/>
        </w:rPr>
      </w:pPr>
    </w:p>
    <w:p>
      <w:pPr>
        <w:spacing w:line="440" w:lineRule="exact"/>
        <w:ind w:firstLine="400" w:firstLineChars="200"/>
        <w:rPr>
          <w:rFonts w:ascii="宋体" w:hAnsi="宋体" w:cs="宋体"/>
          <w:color w:val="auto"/>
          <w:sz w:val="20"/>
          <w:highlight w:val="none"/>
        </w:rPr>
      </w:pPr>
    </w:p>
    <w:p>
      <w:pPr>
        <w:spacing w:line="440" w:lineRule="exact"/>
        <w:ind w:firstLine="400" w:firstLineChars="200"/>
        <w:rPr>
          <w:rFonts w:ascii="宋体" w:hAnsi="宋体" w:cs="宋体"/>
          <w:color w:val="auto"/>
          <w:sz w:val="20"/>
          <w:highlight w:val="none"/>
        </w:rPr>
      </w:pPr>
    </w:p>
    <w:p>
      <w:pPr>
        <w:spacing w:line="440" w:lineRule="exact"/>
        <w:ind w:firstLine="400" w:firstLineChars="200"/>
        <w:rPr>
          <w:rFonts w:ascii="宋体" w:hAnsi="宋体" w:cs="宋体"/>
          <w:color w:val="auto"/>
          <w:sz w:val="20"/>
          <w:highlight w:val="none"/>
        </w:rPr>
      </w:pPr>
    </w:p>
    <w:p>
      <w:pPr>
        <w:spacing w:line="440" w:lineRule="exact"/>
        <w:ind w:firstLine="400" w:firstLineChars="200"/>
        <w:rPr>
          <w:rFonts w:ascii="宋体" w:hAnsi="宋体" w:cs="宋体"/>
          <w:color w:val="auto"/>
          <w:sz w:val="20"/>
          <w:highlight w:val="none"/>
        </w:rPr>
      </w:pPr>
    </w:p>
    <w:p>
      <w:pPr>
        <w:spacing w:line="440" w:lineRule="exact"/>
        <w:ind w:firstLine="400" w:firstLineChars="200"/>
        <w:rPr>
          <w:rFonts w:ascii="宋体" w:hAnsi="宋体" w:cs="宋体"/>
          <w:color w:val="auto"/>
          <w:sz w:val="20"/>
          <w:highlight w:val="none"/>
        </w:rPr>
      </w:pPr>
    </w:p>
    <w:p>
      <w:pPr>
        <w:spacing w:line="440" w:lineRule="exact"/>
        <w:ind w:firstLine="400" w:firstLineChars="200"/>
        <w:rPr>
          <w:rFonts w:ascii="宋体" w:hAnsi="宋体" w:cs="宋体"/>
          <w:color w:val="auto"/>
          <w:sz w:val="20"/>
          <w:highlight w:val="none"/>
        </w:rPr>
      </w:pPr>
    </w:p>
    <w:p>
      <w:pPr>
        <w:spacing w:line="440" w:lineRule="exact"/>
        <w:ind w:firstLine="400" w:firstLineChars="200"/>
        <w:rPr>
          <w:rFonts w:ascii="宋体" w:hAnsi="宋体" w:cs="宋体"/>
          <w:color w:val="auto"/>
          <w:sz w:val="20"/>
          <w:highlight w:val="none"/>
        </w:rPr>
      </w:pPr>
    </w:p>
    <w:p>
      <w:pPr>
        <w:spacing w:line="440" w:lineRule="exact"/>
        <w:ind w:firstLine="400" w:firstLineChars="200"/>
        <w:rPr>
          <w:rFonts w:ascii="宋体" w:hAnsi="宋体" w:cs="宋体"/>
          <w:color w:val="auto"/>
          <w:sz w:val="20"/>
          <w:highlight w:val="none"/>
        </w:rPr>
      </w:pPr>
    </w:p>
    <w:p>
      <w:pPr>
        <w:spacing w:line="440" w:lineRule="exact"/>
        <w:ind w:firstLine="400" w:firstLineChars="200"/>
        <w:rPr>
          <w:rFonts w:ascii="宋体" w:hAnsi="宋体" w:cs="宋体"/>
          <w:color w:val="auto"/>
          <w:sz w:val="20"/>
          <w:highlight w:val="none"/>
        </w:rPr>
      </w:pPr>
    </w:p>
    <w:p>
      <w:pPr>
        <w:spacing w:line="440" w:lineRule="exact"/>
        <w:ind w:firstLine="400" w:firstLineChars="200"/>
        <w:rPr>
          <w:rFonts w:ascii="宋体" w:hAnsi="宋体" w:cs="宋体"/>
          <w:color w:val="auto"/>
          <w:sz w:val="20"/>
          <w:highlight w:val="none"/>
        </w:rPr>
      </w:pPr>
    </w:p>
    <w:p>
      <w:pPr>
        <w:spacing w:line="440" w:lineRule="exact"/>
        <w:ind w:firstLine="400" w:firstLineChars="200"/>
        <w:rPr>
          <w:rFonts w:ascii="宋体" w:hAnsi="宋体" w:cs="宋体"/>
          <w:color w:val="auto"/>
          <w:sz w:val="20"/>
          <w:highlight w:val="none"/>
        </w:rPr>
      </w:pPr>
    </w:p>
    <w:p>
      <w:pPr>
        <w:spacing w:line="440" w:lineRule="exact"/>
        <w:ind w:firstLine="400" w:firstLineChars="200"/>
        <w:rPr>
          <w:rFonts w:ascii="宋体" w:hAnsi="宋体" w:cs="宋体"/>
          <w:color w:val="auto"/>
          <w:sz w:val="20"/>
          <w:highlight w:val="none"/>
        </w:rPr>
      </w:pPr>
    </w:p>
    <w:p>
      <w:pPr>
        <w:spacing w:line="440" w:lineRule="exact"/>
        <w:ind w:firstLine="400" w:firstLineChars="200"/>
        <w:rPr>
          <w:rFonts w:ascii="宋体" w:hAnsi="宋体" w:cs="宋体"/>
          <w:color w:val="auto"/>
          <w:sz w:val="20"/>
          <w:highlight w:val="none"/>
        </w:rPr>
      </w:pPr>
    </w:p>
    <w:p>
      <w:pPr>
        <w:spacing w:line="440" w:lineRule="exact"/>
        <w:ind w:firstLine="400" w:firstLineChars="200"/>
        <w:rPr>
          <w:rFonts w:ascii="宋体" w:hAnsi="宋体" w:cs="宋体"/>
          <w:color w:val="auto"/>
          <w:sz w:val="20"/>
          <w:highlight w:val="none"/>
        </w:rPr>
      </w:pPr>
    </w:p>
    <w:p>
      <w:pPr>
        <w:spacing w:line="440" w:lineRule="exact"/>
        <w:ind w:firstLine="400" w:firstLineChars="200"/>
        <w:rPr>
          <w:rFonts w:ascii="宋体" w:hAnsi="宋体" w:cs="宋体"/>
          <w:color w:val="auto"/>
          <w:sz w:val="20"/>
          <w:highlight w:val="none"/>
        </w:rPr>
      </w:pPr>
    </w:p>
    <w:p>
      <w:pPr>
        <w:spacing w:line="440" w:lineRule="exact"/>
        <w:ind w:firstLine="400" w:firstLineChars="200"/>
        <w:rPr>
          <w:rFonts w:ascii="宋体" w:hAnsi="宋体" w:cs="宋体"/>
          <w:color w:val="auto"/>
          <w:sz w:val="20"/>
          <w:highlight w:val="none"/>
        </w:rPr>
      </w:pPr>
    </w:p>
    <w:p>
      <w:pPr>
        <w:spacing w:line="440" w:lineRule="exact"/>
        <w:ind w:firstLine="400" w:firstLineChars="200"/>
        <w:rPr>
          <w:rFonts w:ascii="宋体" w:hAnsi="宋体" w:cs="宋体"/>
          <w:color w:val="auto"/>
          <w:sz w:val="20"/>
          <w:highlight w:val="none"/>
        </w:rPr>
      </w:pPr>
    </w:p>
    <w:p>
      <w:pPr>
        <w:spacing w:line="440" w:lineRule="exact"/>
        <w:ind w:firstLine="643" w:firstLineChars="200"/>
        <w:rPr>
          <w:rFonts w:ascii="宋体" w:hAnsi="宋体" w:cs="宋体"/>
          <w:b/>
          <w:bCs/>
          <w:color w:val="auto"/>
          <w:sz w:val="32"/>
          <w:szCs w:val="32"/>
          <w:highlight w:val="none"/>
        </w:rPr>
      </w:pPr>
    </w:p>
    <w:p>
      <w:pPr>
        <w:pStyle w:val="4"/>
        <w:jc w:val="center"/>
        <w:rPr>
          <w:rFonts w:ascii="宋体" w:hAnsi="宋体" w:eastAsia="宋体" w:cs="宋体"/>
          <w:color w:val="auto"/>
          <w:szCs w:val="21"/>
          <w:highlight w:val="none"/>
        </w:rPr>
      </w:pPr>
      <w:bookmarkStart w:id="1290" w:name="_Toc247085887"/>
      <w:bookmarkStart w:id="1291" w:name="_Toc246996369"/>
      <w:bookmarkStart w:id="1292" w:name="_Toc246997112"/>
      <w:bookmarkStart w:id="1293" w:name="_Toc466470965"/>
      <w:bookmarkStart w:id="1294" w:name="_Toc466470835"/>
      <w:r>
        <w:rPr>
          <w:rFonts w:hint="eastAsia" w:ascii="宋体" w:hAnsi="宋体" w:eastAsia="宋体" w:cs="宋体"/>
          <w:color w:val="auto"/>
          <w:highlight w:val="none"/>
        </w:rPr>
        <w:t>七、项目管理机构</w:t>
      </w:r>
      <w:bookmarkEnd w:id="1286"/>
      <w:bookmarkEnd w:id="1287"/>
      <w:bookmarkEnd w:id="1288"/>
      <w:bookmarkEnd w:id="1289"/>
      <w:bookmarkEnd w:id="1290"/>
      <w:bookmarkEnd w:id="1291"/>
      <w:bookmarkEnd w:id="1292"/>
      <w:bookmarkEnd w:id="1293"/>
      <w:bookmarkEnd w:id="1294"/>
    </w:p>
    <w:p>
      <w:pPr>
        <w:pStyle w:val="5"/>
        <w:jc w:val="center"/>
        <w:rPr>
          <w:rFonts w:ascii="宋体" w:hAnsi="宋体" w:cs="宋体"/>
          <w:color w:val="auto"/>
          <w:highlight w:val="none"/>
        </w:rPr>
      </w:pPr>
      <w:bookmarkStart w:id="1295" w:name="_Toc466470836"/>
      <w:bookmarkStart w:id="1296" w:name="_Toc247085888"/>
      <w:bookmarkStart w:id="1297" w:name="_Toc179632824"/>
      <w:bookmarkStart w:id="1298" w:name="_Toc246997113"/>
      <w:bookmarkStart w:id="1299" w:name="_Toc144974872"/>
      <w:bookmarkStart w:id="1300" w:name="_Toc246996370"/>
      <w:bookmarkStart w:id="1301" w:name="_Toc152042593"/>
      <w:bookmarkStart w:id="1302" w:name="_Toc152045804"/>
      <w:bookmarkStart w:id="1303" w:name="_Toc466470966"/>
      <w:r>
        <w:rPr>
          <w:rFonts w:hint="eastAsia" w:ascii="宋体" w:hAnsi="宋体" w:cs="宋体"/>
          <w:color w:val="auto"/>
          <w:highlight w:val="none"/>
        </w:rPr>
        <w:t>（一）项目管理机构组成表</w:t>
      </w:r>
      <w:bookmarkEnd w:id="1295"/>
      <w:bookmarkEnd w:id="1296"/>
      <w:bookmarkEnd w:id="1297"/>
      <w:bookmarkEnd w:id="1298"/>
      <w:bookmarkEnd w:id="1299"/>
      <w:bookmarkEnd w:id="1300"/>
      <w:bookmarkEnd w:id="1301"/>
      <w:bookmarkEnd w:id="1302"/>
      <w:bookmarkEnd w:id="1303"/>
    </w:p>
    <w:p>
      <w:pPr>
        <w:rPr>
          <w:rFonts w:ascii="宋体" w:hAnsi="宋体" w:cs="宋体"/>
          <w:color w:val="auto"/>
          <w:highlight w:val="none"/>
        </w:rPr>
      </w:pPr>
      <w:r>
        <w:rPr>
          <w:rFonts w:hint="eastAsia" w:ascii="宋体" w:hAnsi="宋体" w:cs="宋体"/>
          <w:color w:val="auto"/>
          <w:highlight w:val="none"/>
        </w:rPr>
        <w:t>“主要人员简历表”中的技术负责人应附身份证、职称证复印件；其他主要人员应附身份证、职称证（执业证或上岗证书）复印件。</w:t>
      </w:r>
    </w:p>
    <w:p>
      <w:pPr>
        <w:rPr>
          <w:color w:val="auto"/>
          <w:highlight w:val="none"/>
        </w:rPr>
      </w:pP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721"/>
        <w:gridCol w:w="719"/>
        <w:gridCol w:w="1081"/>
        <w:gridCol w:w="719"/>
        <w:gridCol w:w="721"/>
        <w:gridCol w:w="719"/>
        <w:gridCol w:w="2523"/>
        <w:gridCol w:w="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Merge w:val="restart"/>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职务</w:t>
            </w:r>
          </w:p>
        </w:tc>
        <w:tc>
          <w:tcPr>
            <w:tcW w:w="721" w:type="dxa"/>
            <w:vMerge w:val="restart"/>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719" w:type="dxa"/>
            <w:vMerge w:val="restart"/>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职称</w:t>
            </w:r>
          </w:p>
        </w:tc>
        <w:tc>
          <w:tcPr>
            <w:tcW w:w="5763" w:type="dxa"/>
            <w:gridSpan w:val="5"/>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执业或职业资格证明</w:t>
            </w:r>
          </w:p>
        </w:tc>
        <w:tc>
          <w:tcPr>
            <w:tcW w:w="672" w:type="dxa"/>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Merge w:val="continue"/>
            <w:vAlign w:val="center"/>
          </w:tcPr>
          <w:p>
            <w:pPr>
              <w:spacing w:line="440" w:lineRule="exact"/>
              <w:jc w:val="center"/>
              <w:rPr>
                <w:rFonts w:ascii="宋体" w:hAnsi="宋体" w:cs="宋体"/>
                <w:color w:val="auto"/>
                <w:szCs w:val="21"/>
                <w:highlight w:val="none"/>
              </w:rPr>
            </w:pPr>
          </w:p>
        </w:tc>
        <w:tc>
          <w:tcPr>
            <w:tcW w:w="721" w:type="dxa"/>
            <w:vMerge w:val="continue"/>
            <w:vAlign w:val="center"/>
          </w:tcPr>
          <w:p>
            <w:pPr>
              <w:spacing w:line="440" w:lineRule="exact"/>
              <w:jc w:val="center"/>
              <w:rPr>
                <w:rFonts w:ascii="宋体" w:hAnsi="宋体" w:cs="宋体"/>
                <w:color w:val="auto"/>
                <w:szCs w:val="21"/>
                <w:highlight w:val="none"/>
              </w:rPr>
            </w:pPr>
          </w:p>
        </w:tc>
        <w:tc>
          <w:tcPr>
            <w:tcW w:w="719" w:type="dxa"/>
            <w:vMerge w:val="continue"/>
            <w:vAlign w:val="center"/>
          </w:tcPr>
          <w:p>
            <w:pPr>
              <w:spacing w:line="440" w:lineRule="exact"/>
              <w:jc w:val="center"/>
              <w:rPr>
                <w:rFonts w:ascii="宋体" w:hAnsi="宋体" w:cs="宋体"/>
                <w:color w:val="auto"/>
                <w:szCs w:val="21"/>
                <w:highlight w:val="none"/>
              </w:rPr>
            </w:pPr>
          </w:p>
        </w:tc>
        <w:tc>
          <w:tcPr>
            <w:tcW w:w="1081" w:type="dxa"/>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证书名称</w:t>
            </w:r>
          </w:p>
        </w:tc>
        <w:tc>
          <w:tcPr>
            <w:tcW w:w="719" w:type="dxa"/>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级别</w:t>
            </w:r>
          </w:p>
        </w:tc>
        <w:tc>
          <w:tcPr>
            <w:tcW w:w="721" w:type="dxa"/>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证号</w:t>
            </w:r>
          </w:p>
        </w:tc>
        <w:tc>
          <w:tcPr>
            <w:tcW w:w="719" w:type="dxa"/>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专业</w:t>
            </w:r>
          </w:p>
        </w:tc>
        <w:tc>
          <w:tcPr>
            <w:tcW w:w="2523" w:type="dxa"/>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养老保险</w:t>
            </w:r>
          </w:p>
        </w:tc>
        <w:tc>
          <w:tcPr>
            <w:tcW w:w="672" w:type="dxa"/>
            <w:vAlign w:val="center"/>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vAlign w:val="center"/>
          </w:tcPr>
          <w:p>
            <w:pPr>
              <w:spacing w:line="440" w:lineRule="exact"/>
              <w:jc w:val="center"/>
              <w:rPr>
                <w:rFonts w:ascii="宋体" w:hAnsi="宋体" w:cs="宋体"/>
                <w:color w:val="auto"/>
                <w:szCs w:val="21"/>
                <w:highlight w:val="none"/>
              </w:rPr>
            </w:pPr>
          </w:p>
        </w:tc>
        <w:tc>
          <w:tcPr>
            <w:tcW w:w="721" w:type="dxa"/>
            <w:vAlign w:val="center"/>
          </w:tcPr>
          <w:p>
            <w:pPr>
              <w:spacing w:line="440" w:lineRule="exact"/>
              <w:jc w:val="center"/>
              <w:rPr>
                <w:rFonts w:ascii="宋体" w:hAnsi="宋体" w:cs="宋体"/>
                <w:color w:val="auto"/>
                <w:szCs w:val="21"/>
                <w:highlight w:val="none"/>
              </w:rPr>
            </w:pPr>
          </w:p>
        </w:tc>
        <w:tc>
          <w:tcPr>
            <w:tcW w:w="719" w:type="dxa"/>
            <w:vAlign w:val="center"/>
          </w:tcPr>
          <w:p>
            <w:pPr>
              <w:spacing w:line="440" w:lineRule="exact"/>
              <w:jc w:val="center"/>
              <w:rPr>
                <w:rFonts w:ascii="宋体" w:hAnsi="宋体" w:cs="宋体"/>
                <w:color w:val="auto"/>
                <w:szCs w:val="21"/>
                <w:highlight w:val="none"/>
              </w:rPr>
            </w:pPr>
          </w:p>
        </w:tc>
        <w:tc>
          <w:tcPr>
            <w:tcW w:w="1081" w:type="dxa"/>
            <w:vAlign w:val="center"/>
          </w:tcPr>
          <w:p>
            <w:pPr>
              <w:spacing w:line="440" w:lineRule="exact"/>
              <w:jc w:val="center"/>
              <w:rPr>
                <w:rFonts w:ascii="宋体" w:hAnsi="宋体" w:cs="宋体"/>
                <w:color w:val="auto"/>
                <w:szCs w:val="21"/>
                <w:highlight w:val="none"/>
              </w:rPr>
            </w:pPr>
          </w:p>
        </w:tc>
        <w:tc>
          <w:tcPr>
            <w:tcW w:w="719" w:type="dxa"/>
            <w:vAlign w:val="center"/>
          </w:tcPr>
          <w:p>
            <w:pPr>
              <w:spacing w:line="440" w:lineRule="exact"/>
              <w:jc w:val="center"/>
              <w:rPr>
                <w:rFonts w:ascii="宋体" w:hAnsi="宋体" w:cs="宋体"/>
                <w:color w:val="auto"/>
                <w:szCs w:val="21"/>
                <w:highlight w:val="none"/>
              </w:rPr>
            </w:pPr>
          </w:p>
        </w:tc>
        <w:tc>
          <w:tcPr>
            <w:tcW w:w="721" w:type="dxa"/>
            <w:vAlign w:val="center"/>
          </w:tcPr>
          <w:p>
            <w:pPr>
              <w:spacing w:line="440" w:lineRule="exact"/>
              <w:jc w:val="center"/>
              <w:rPr>
                <w:rFonts w:ascii="宋体" w:hAnsi="宋体" w:cs="宋体"/>
                <w:color w:val="auto"/>
                <w:szCs w:val="21"/>
                <w:highlight w:val="none"/>
              </w:rPr>
            </w:pPr>
          </w:p>
        </w:tc>
        <w:tc>
          <w:tcPr>
            <w:tcW w:w="719" w:type="dxa"/>
            <w:vAlign w:val="center"/>
          </w:tcPr>
          <w:p>
            <w:pPr>
              <w:spacing w:line="440" w:lineRule="exact"/>
              <w:jc w:val="center"/>
              <w:rPr>
                <w:rFonts w:ascii="宋体" w:hAnsi="宋体" w:cs="宋体"/>
                <w:color w:val="auto"/>
                <w:szCs w:val="21"/>
                <w:highlight w:val="none"/>
              </w:rPr>
            </w:pPr>
          </w:p>
        </w:tc>
        <w:tc>
          <w:tcPr>
            <w:tcW w:w="2523" w:type="dxa"/>
            <w:vAlign w:val="center"/>
          </w:tcPr>
          <w:p>
            <w:pPr>
              <w:spacing w:line="440" w:lineRule="exact"/>
              <w:jc w:val="center"/>
              <w:rPr>
                <w:rFonts w:ascii="宋体" w:hAnsi="宋体" w:cs="宋体"/>
                <w:color w:val="auto"/>
                <w:szCs w:val="21"/>
                <w:highlight w:val="none"/>
              </w:rPr>
            </w:pPr>
          </w:p>
        </w:tc>
        <w:tc>
          <w:tcPr>
            <w:tcW w:w="672" w:type="dxa"/>
            <w:vAlign w:val="center"/>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vAlign w:val="top"/>
          </w:tcPr>
          <w:p>
            <w:pPr>
              <w:spacing w:line="440" w:lineRule="exact"/>
              <w:jc w:val="center"/>
              <w:rPr>
                <w:rFonts w:ascii="宋体" w:hAnsi="宋体" w:cs="宋体"/>
                <w:color w:val="auto"/>
                <w:szCs w:val="21"/>
                <w:highlight w:val="none"/>
              </w:rPr>
            </w:pPr>
          </w:p>
        </w:tc>
        <w:tc>
          <w:tcPr>
            <w:tcW w:w="721" w:type="dxa"/>
            <w:vAlign w:val="top"/>
          </w:tcPr>
          <w:p>
            <w:pPr>
              <w:spacing w:line="440" w:lineRule="exact"/>
              <w:jc w:val="center"/>
              <w:rPr>
                <w:rFonts w:ascii="宋体" w:hAnsi="宋体" w:cs="宋体"/>
                <w:color w:val="auto"/>
                <w:szCs w:val="21"/>
                <w:highlight w:val="none"/>
              </w:rPr>
            </w:pPr>
          </w:p>
        </w:tc>
        <w:tc>
          <w:tcPr>
            <w:tcW w:w="719" w:type="dxa"/>
            <w:vAlign w:val="top"/>
          </w:tcPr>
          <w:p>
            <w:pPr>
              <w:spacing w:line="440" w:lineRule="exact"/>
              <w:jc w:val="center"/>
              <w:rPr>
                <w:rFonts w:ascii="宋体" w:hAnsi="宋体" w:cs="宋体"/>
                <w:color w:val="auto"/>
                <w:szCs w:val="21"/>
                <w:highlight w:val="none"/>
              </w:rPr>
            </w:pPr>
          </w:p>
        </w:tc>
        <w:tc>
          <w:tcPr>
            <w:tcW w:w="1081" w:type="dxa"/>
            <w:vAlign w:val="top"/>
          </w:tcPr>
          <w:p>
            <w:pPr>
              <w:spacing w:line="440" w:lineRule="exact"/>
              <w:jc w:val="center"/>
              <w:rPr>
                <w:rFonts w:ascii="宋体" w:hAnsi="宋体" w:cs="宋体"/>
                <w:color w:val="auto"/>
                <w:szCs w:val="21"/>
                <w:highlight w:val="none"/>
              </w:rPr>
            </w:pPr>
          </w:p>
        </w:tc>
        <w:tc>
          <w:tcPr>
            <w:tcW w:w="719" w:type="dxa"/>
            <w:vAlign w:val="top"/>
          </w:tcPr>
          <w:p>
            <w:pPr>
              <w:spacing w:line="440" w:lineRule="exact"/>
              <w:jc w:val="center"/>
              <w:rPr>
                <w:rFonts w:ascii="宋体" w:hAnsi="宋体" w:cs="宋体"/>
                <w:color w:val="auto"/>
                <w:szCs w:val="21"/>
                <w:highlight w:val="none"/>
              </w:rPr>
            </w:pPr>
          </w:p>
        </w:tc>
        <w:tc>
          <w:tcPr>
            <w:tcW w:w="721" w:type="dxa"/>
            <w:vAlign w:val="top"/>
          </w:tcPr>
          <w:p>
            <w:pPr>
              <w:spacing w:line="440" w:lineRule="exact"/>
              <w:jc w:val="center"/>
              <w:rPr>
                <w:rFonts w:ascii="宋体" w:hAnsi="宋体" w:cs="宋体"/>
                <w:color w:val="auto"/>
                <w:szCs w:val="21"/>
                <w:highlight w:val="none"/>
              </w:rPr>
            </w:pPr>
          </w:p>
        </w:tc>
        <w:tc>
          <w:tcPr>
            <w:tcW w:w="719" w:type="dxa"/>
            <w:vAlign w:val="top"/>
          </w:tcPr>
          <w:p>
            <w:pPr>
              <w:spacing w:line="440" w:lineRule="exact"/>
              <w:jc w:val="center"/>
              <w:rPr>
                <w:rFonts w:ascii="宋体" w:hAnsi="宋体" w:cs="宋体"/>
                <w:color w:val="auto"/>
                <w:szCs w:val="21"/>
                <w:highlight w:val="none"/>
              </w:rPr>
            </w:pPr>
          </w:p>
        </w:tc>
        <w:tc>
          <w:tcPr>
            <w:tcW w:w="2523" w:type="dxa"/>
            <w:vAlign w:val="top"/>
          </w:tcPr>
          <w:p>
            <w:pPr>
              <w:spacing w:line="440" w:lineRule="exact"/>
              <w:jc w:val="center"/>
              <w:rPr>
                <w:rFonts w:ascii="宋体" w:hAnsi="宋体" w:cs="宋体"/>
                <w:color w:val="auto"/>
                <w:szCs w:val="21"/>
                <w:highlight w:val="none"/>
              </w:rPr>
            </w:pPr>
          </w:p>
        </w:tc>
        <w:tc>
          <w:tcPr>
            <w:tcW w:w="672" w:type="dxa"/>
            <w:vAlign w:val="top"/>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vAlign w:val="top"/>
          </w:tcPr>
          <w:p>
            <w:pPr>
              <w:spacing w:line="440" w:lineRule="exact"/>
              <w:jc w:val="center"/>
              <w:rPr>
                <w:rFonts w:ascii="宋体" w:hAnsi="宋体" w:cs="宋体"/>
                <w:color w:val="auto"/>
                <w:szCs w:val="21"/>
                <w:highlight w:val="none"/>
              </w:rPr>
            </w:pPr>
          </w:p>
        </w:tc>
        <w:tc>
          <w:tcPr>
            <w:tcW w:w="721" w:type="dxa"/>
            <w:vAlign w:val="top"/>
          </w:tcPr>
          <w:p>
            <w:pPr>
              <w:spacing w:line="440" w:lineRule="exact"/>
              <w:jc w:val="center"/>
              <w:rPr>
                <w:rFonts w:ascii="宋体" w:hAnsi="宋体" w:cs="宋体"/>
                <w:color w:val="auto"/>
                <w:szCs w:val="21"/>
                <w:highlight w:val="none"/>
              </w:rPr>
            </w:pPr>
          </w:p>
        </w:tc>
        <w:tc>
          <w:tcPr>
            <w:tcW w:w="719" w:type="dxa"/>
            <w:vAlign w:val="top"/>
          </w:tcPr>
          <w:p>
            <w:pPr>
              <w:spacing w:line="440" w:lineRule="exact"/>
              <w:jc w:val="center"/>
              <w:rPr>
                <w:rFonts w:ascii="宋体" w:hAnsi="宋体" w:cs="宋体"/>
                <w:color w:val="auto"/>
                <w:szCs w:val="21"/>
                <w:highlight w:val="none"/>
              </w:rPr>
            </w:pPr>
          </w:p>
        </w:tc>
        <w:tc>
          <w:tcPr>
            <w:tcW w:w="1081" w:type="dxa"/>
            <w:vAlign w:val="top"/>
          </w:tcPr>
          <w:p>
            <w:pPr>
              <w:spacing w:line="440" w:lineRule="exact"/>
              <w:jc w:val="center"/>
              <w:rPr>
                <w:rFonts w:ascii="宋体" w:hAnsi="宋体" w:cs="宋体"/>
                <w:color w:val="auto"/>
                <w:szCs w:val="21"/>
                <w:highlight w:val="none"/>
              </w:rPr>
            </w:pPr>
          </w:p>
        </w:tc>
        <w:tc>
          <w:tcPr>
            <w:tcW w:w="719" w:type="dxa"/>
            <w:vAlign w:val="top"/>
          </w:tcPr>
          <w:p>
            <w:pPr>
              <w:spacing w:line="440" w:lineRule="exact"/>
              <w:jc w:val="center"/>
              <w:rPr>
                <w:rFonts w:ascii="宋体" w:hAnsi="宋体" w:cs="宋体"/>
                <w:color w:val="auto"/>
                <w:szCs w:val="21"/>
                <w:highlight w:val="none"/>
              </w:rPr>
            </w:pPr>
          </w:p>
        </w:tc>
        <w:tc>
          <w:tcPr>
            <w:tcW w:w="721" w:type="dxa"/>
            <w:vAlign w:val="top"/>
          </w:tcPr>
          <w:p>
            <w:pPr>
              <w:spacing w:line="440" w:lineRule="exact"/>
              <w:jc w:val="center"/>
              <w:rPr>
                <w:rFonts w:ascii="宋体" w:hAnsi="宋体" w:cs="宋体"/>
                <w:color w:val="auto"/>
                <w:szCs w:val="21"/>
                <w:highlight w:val="none"/>
              </w:rPr>
            </w:pPr>
          </w:p>
        </w:tc>
        <w:tc>
          <w:tcPr>
            <w:tcW w:w="719" w:type="dxa"/>
            <w:vAlign w:val="top"/>
          </w:tcPr>
          <w:p>
            <w:pPr>
              <w:spacing w:line="440" w:lineRule="exact"/>
              <w:jc w:val="center"/>
              <w:rPr>
                <w:rFonts w:ascii="宋体" w:hAnsi="宋体" w:cs="宋体"/>
                <w:color w:val="auto"/>
                <w:szCs w:val="21"/>
                <w:highlight w:val="none"/>
              </w:rPr>
            </w:pPr>
          </w:p>
        </w:tc>
        <w:tc>
          <w:tcPr>
            <w:tcW w:w="2523" w:type="dxa"/>
            <w:vAlign w:val="top"/>
          </w:tcPr>
          <w:p>
            <w:pPr>
              <w:spacing w:line="440" w:lineRule="exact"/>
              <w:jc w:val="center"/>
              <w:rPr>
                <w:rFonts w:ascii="宋体" w:hAnsi="宋体" w:cs="宋体"/>
                <w:color w:val="auto"/>
                <w:szCs w:val="21"/>
                <w:highlight w:val="none"/>
              </w:rPr>
            </w:pPr>
          </w:p>
        </w:tc>
        <w:tc>
          <w:tcPr>
            <w:tcW w:w="672" w:type="dxa"/>
            <w:vAlign w:val="top"/>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vAlign w:val="top"/>
          </w:tcPr>
          <w:p>
            <w:pPr>
              <w:spacing w:line="440" w:lineRule="exact"/>
              <w:jc w:val="center"/>
              <w:rPr>
                <w:rFonts w:ascii="宋体" w:hAnsi="宋体" w:cs="宋体"/>
                <w:color w:val="auto"/>
                <w:szCs w:val="21"/>
                <w:highlight w:val="none"/>
              </w:rPr>
            </w:pPr>
          </w:p>
        </w:tc>
        <w:tc>
          <w:tcPr>
            <w:tcW w:w="721" w:type="dxa"/>
            <w:vAlign w:val="top"/>
          </w:tcPr>
          <w:p>
            <w:pPr>
              <w:spacing w:line="440" w:lineRule="exact"/>
              <w:jc w:val="center"/>
              <w:rPr>
                <w:rFonts w:ascii="宋体" w:hAnsi="宋体" w:cs="宋体"/>
                <w:color w:val="auto"/>
                <w:szCs w:val="21"/>
                <w:highlight w:val="none"/>
              </w:rPr>
            </w:pPr>
          </w:p>
        </w:tc>
        <w:tc>
          <w:tcPr>
            <w:tcW w:w="719" w:type="dxa"/>
            <w:vAlign w:val="top"/>
          </w:tcPr>
          <w:p>
            <w:pPr>
              <w:spacing w:line="440" w:lineRule="exact"/>
              <w:jc w:val="center"/>
              <w:rPr>
                <w:rFonts w:ascii="宋体" w:hAnsi="宋体" w:cs="宋体"/>
                <w:color w:val="auto"/>
                <w:szCs w:val="21"/>
                <w:highlight w:val="none"/>
              </w:rPr>
            </w:pPr>
          </w:p>
        </w:tc>
        <w:tc>
          <w:tcPr>
            <w:tcW w:w="1081" w:type="dxa"/>
            <w:vAlign w:val="top"/>
          </w:tcPr>
          <w:p>
            <w:pPr>
              <w:spacing w:line="440" w:lineRule="exact"/>
              <w:jc w:val="center"/>
              <w:rPr>
                <w:rFonts w:ascii="宋体" w:hAnsi="宋体" w:cs="宋体"/>
                <w:color w:val="auto"/>
                <w:szCs w:val="21"/>
                <w:highlight w:val="none"/>
              </w:rPr>
            </w:pPr>
          </w:p>
        </w:tc>
        <w:tc>
          <w:tcPr>
            <w:tcW w:w="719" w:type="dxa"/>
            <w:vAlign w:val="top"/>
          </w:tcPr>
          <w:p>
            <w:pPr>
              <w:spacing w:line="440" w:lineRule="exact"/>
              <w:jc w:val="center"/>
              <w:rPr>
                <w:rFonts w:ascii="宋体" w:hAnsi="宋体" w:cs="宋体"/>
                <w:color w:val="auto"/>
                <w:szCs w:val="21"/>
                <w:highlight w:val="none"/>
              </w:rPr>
            </w:pPr>
          </w:p>
        </w:tc>
        <w:tc>
          <w:tcPr>
            <w:tcW w:w="721" w:type="dxa"/>
            <w:vAlign w:val="top"/>
          </w:tcPr>
          <w:p>
            <w:pPr>
              <w:spacing w:line="440" w:lineRule="exact"/>
              <w:jc w:val="center"/>
              <w:rPr>
                <w:rFonts w:ascii="宋体" w:hAnsi="宋体" w:cs="宋体"/>
                <w:color w:val="auto"/>
                <w:szCs w:val="21"/>
                <w:highlight w:val="none"/>
              </w:rPr>
            </w:pPr>
          </w:p>
        </w:tc>
        <w:tc>
          <w:tcPr>
            <w:tcW w:w="719" w:type="dxa"/>
            <w:vAlign w:val="top"/>
          </w:tcPr>
          <w:p>
            <w:pPr>
              <w:spacing w:line="440" w:lineRule="exact"/>
              <w:jc w:val="center"/>
              <w:rPr>
                <w:rFonts w:ascii="宋体" w:hAnsi="宋体" w:cs="宋体"/>
                <w:color w:val="auto"/>
                <w:szCs w:val="21"/>
                <w:highlight w:val="none"/>
              </w:rPr>
            </w:pPr>
          </w:p>
        </w:tc>
        <w:tc>
          <w:tcPr>
            <w:tcW w:w="2523" w:type="dxa"/>
            <w:vAlign w:val="top"/>
          </w:tcPr>
          <w:p>
            <w:pPr>
              <w:spacing w:line="440" w:lineRule="exact"/>
              <w:jc w:val="center"/>
              <w:rPr>
                <w:rFonts w:ascii="宋体" w:hAnsi="宋体" w:cs="宋体"/>
                <w:color w:val="auto"/>
                <w:szCs w:val="21"/>
                <w:highlight w:val="none"/>
              </w:rPr>
            </w:pPr>
          </w:p>
        </w:tc>
        <w:tc>
          <w:tcPr>
            <w:tcW w:w="672" w:type="dxa"/>
            <w:vAlign w:val="top"/>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vAlign w:val="top"/>
          </w:tcPr>
          <w:p>
            <w:pPr>
              <w:spacing w:line="440" w:lineRule="exact"/>
              <w:jc w:val="center"/>
              <w:rPr>
                <w:rFonts w:ascii="宋体" w:hAnsi="宋体" w:cs="宋体"/>
                <w:color w:val="auto"/>
                <w:szCs w:val="21"/>
                <w:highlight w:val="none"/>
              </w:rPr>
            </w:pPr>
          </w:p>
        </w:tc>
        <w:tc>
          <w:tcPr>
            <w:tcW w:w="721" w:type="dxa"/>
            <w:vAlign w:val="top"/>
          </w:tcPr>
          <w:p>
            <w:pPr>
              <w:spacing w:line="440" w:lineRule="exact"/>
              <w:jc w:val="center"/>
              <w:rPr>
                <w:rFonts w:ascii="宋体" w:hAnsi="宋体" w:cs="宋体"/>
                <w:color w:val="auto"/>
                <w:szCs w:val="21"/>
                <w:highlight w:val="none"/>
              </w:rPr>
            </w:pPr>
          </w:p>
        </w:tc>
        <w:tc>
          <w:tcPr>
            <w:tcW w:w="719" w:type="dxa"/>
            <w:vAlign w:val="top"/>
          </w:tcPr>
          <w:p>
            <w:pPr>
              <w:spacing w:line="440" w:lineRule="exact"/>
              <w:jc w:val="center"/>
              <w:rPr>
                <w:rFonts w:ascii="宋体" w:hAnsi="宋体" w:cs="宋体"/>
                <w:color w:val="auto"/>
                <w:szCs w:val="21"/>
                <w:highlight w:val="none"/>
              </w:rPr>
            </w:pPr>
          </w:p>
        </w:tc>
        <w:tc>
          <w:tcPr>
            <w:tcW w:w="1081" w:type="dxa"/>
            <w:vAlign w:val="top"/>
          </w:tcPr>
          <w:p>
            <w:pPr>
              <w:spacing w:line="440" w:lineRule="exact"/>
              <w:jc w:val="center"/>
              <w:rPr>
                <w:rFonts w:ascii="宋体" w:hAnsi="宋体" w:cs="宋体"/>
                <w:color w:val="auto"/>
                <w:szCs w:val="21"/>
                <w:highlight w:val="none"/>
              </w:rPr>
            </w:pPr>
          </w:p>
        </w:tc>
        <w:tc>
          <w:tcPr>
            <w:tcW w:w="719" w:type="dxa"/>
            <w:vAlign w:val="top"/>
          </w:tcPr>
          <w:p>
            <w:pPr>
              <w:spacing w:line="440" w:lineRule="exact"/>
              <w:jc w:val="center"/>
              <w:rPr>
                <w:rFonts w:ascii="宋体" w:hAnsi="宋体" w:cs="宋体"/>
                <w:color w:val="auto"/>
                <w:szCs w:val="21"/>
                <w:highlight w:val="none"/>
              </w:rPr>
            </w:pPr>
          </w:p>
        </w:tc>
        <w:tc>
          <w:tcPr>
            <w:tcW w:w="721" w:type="dxa"/>
            <w:vAlign w:val="top"/>
          </w:tcPr>
          <w:p>
            <w:pPr>
              <w:spacing w:line="440" w:lineRule="exact"/>
              <w:jc w:val="center"/>
              <w:rPr>
                <w:rFonts w:ascii="宋体" w:hAnsi="宋体" w:cs="宋体"/>
                <w:color w:val="auto"/>
                <w:szCs w:val="21"/>
                <w:highlight w:val="none"/>
              </w:rPr>
            </w:pPr>
          </w:p>
        </w:tc>
        <w:tc>
          <w:tcPr>
            <w:tcW w:w="719" w:type="dxa"/>
            <w:vAlign w:val="top"/>
          </w:tcPr>
          <w:p>
            <w:pPr>
              <w:spacing w:line="440" w:lineRule="exact"/>
              <w:jc w:val="center"/>
              <w:rPr>
                <w:rFonts w:ascii="宋体" w:hAnsi="宋体" w:cs="宋体"/>
                <w:color w:val="auto"/>
                <w:szCs w:val="21"/>
                <w:highlight w:val="none"/>
              </w:rPr>
            </w:pPr>
          </w:p>
        </w:tc>
        <w:tc>
          <w:tcPr>
            <w:tcW w:w="2523" w:type="dxa"/>
            <w:vAlign w:val="top"/>
          </w:tcPr>
          <w:p>
            <w:pPr>
              <w:spacing w:line="440" w:lineRule="exact"/>
              <w:jc w:val="center"/>
              <w:rPr>
                <w:rFonts w:ascii="宋体" w:hAnsi="宋体" w:cs="宋体"/>
                <w:color w:val="auto"/>
                <w:szCs w:val="21"/>
                <w:highlight w:val="none"/>
              </w:rPr>
            </w:pPr>
          </w:p>
        </w:tc>
        <w:tc>
          <w:tcPr>
            <w:tcW w:w="672" w:type="dxa"/>
            <w:vAlign w:val="top"/>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vAlign w:val="top"/>
          </w:tcPr>
          <w:p>
            <w:pPr>
              <w:spacing w:line="440" w:lineRule="exact"/>
              <w:jc w:val="center"/>
              <w:rPr>
                <w:rFonts w:ascii="宋体" w:hAnsi="宋体" w:cs="宋体"/>
                <w:color w:val="auto"/>
                <w:szCs w:val="21"/>
                <w:highlight w:val="none"/>
              </w:rPr>
            </w:pPr>
          </w:p>
        </w:tc>
        <w:tc>
          <w:tcPr>
            <w:tcW w:w="721" w:type="dxa"/>
            <w:vAlign w:val="top"/>
          </w:tcPr>
          <w:p>
            <w:pPr>
              <w:spacing w:line="440" w:lineRule="exact"/>
              <w:jc w:val="center"/>
              <w:rPr>
                <w:rFonts w:ascii="宋体" w:hAnsi="宋体" w:cs="宋体"/>
                <w:color w:val="auto"/>
                <w:szCs w:val="21"/>
                <w:highlight w:val="none"/>
              </w:rPr>
            </w:pPr>
          </w:p>
        </w:tc>
        <w:tc>
          <w:tcPr>
            <w:tcW w:w="719" w:type="dxa"/>
            <w:vAlign w:val="top"/>
          </w:tcPr>
          <w:p>
            <w:pPr>
              <w:spacing w:line="440" w:lineRule="exact"/>
              <w:jc w:val="center"/>
              <w:rPr>
                <w:rFonts w:ascii="宋体" w:hAnsi="宋体" w:cs="宋体"/>
                <w:color w:val="auto"/>
                <w:szCs w:val="21"/>
                <w:highlight w:val="none"/>
              </w:rPr>
            </w:pPr>
          </w:p>
        </w:tc>
        <w:tc>
          <w:tcPr>
            <w:tcW w:w="1081" w:type="dxa"/>
            <w:vAlign w:val="top"/>
          </w:tcPr>
          <w:p>
            <w:pPr>
              <w:spacing w:line="440" w:lineRule="exact"/>
              <w:jc w:val="center"/>
              <w:rPr>
                <w:rFonts w:ascii="宋体" w:hAnsi="宋体" w:cs="宋体"/>
                <w:color w:val="auto"/>
                <w:szCs w:val="21"/>
                <w:highlight w:val="none"/>
              </w:rPr>
            </w:pPr>
          </w:p>
        </w:tc>
        <w:tc>
          <w:tcPr>
            <w:tcW w:w="719" w:type="dxa"/>
            <w:vAlign w:val="top"/>
          </w:tcPr>
          <w:p>
            <w:pPr>
              <w:spacing w:line="440" w:lineRule="exact"/>
              <w:jc w:val="center"/>
              <w:rPr>
                <w:rFonts w:ascii="宋体" w:hAnsi="宋体" w:cs="宋体"/>
                <w:color w:val="auto"/>
                <w:szCs w:val="21"/>
                <w:highlight w:val="none"/>
              </w:rPr>
            </w:pPr>
          </w:p>
        </w:tc>
        <w:tc>
          <w:tcPr>
            <w:tcW w:w="721" w:type="dxa"/>
            <w:vAlign w:val="top"/>
          </w:tcPr>
          <w:p>
            <w:pPr>
              <w:spacing w:line="440" w:lineRule="exact"/>
              <w:jc w:val="center"/>
              <w:rPr>
                <w:rFonts w:ascii="宋体" w:hAnsi="宋体" w:cs="宋体"/>
                <w:color w:val="auto"/>
                <w:szCs w:val="21"/>
                <w:highlight w:val="none"/>
              </w:rPr>
            </w:pPr>
          </w:p>
        </w:tc>
        <w:tc>
          <w:tcPr>
            <w:tcW w:w="719" w:type="dxa"/>
            <w:vAlign w:val="top"/>
          </w:tcPr>
          <w:p>
            <w:pPr>
              <w:spacing w:line="440" w:lineRule="exact"/>
              <w:jc w:val="center"/>
              <w:rPr>
                <w:rFonts w:ascii="宋体" w:hAnsi="宋体" w:cs="宋体"/>
                <w:color w:val="auto"/>
                <w:szCs w:val="21"/>
                <w:highlight w:val="none"/>
              </w:rPr>
            </w:pPr>
          </w:p>
        </w:tc>
        <w:tc>
          <w:tcPr>
            <w:tcW w:w="2523" w:type="dxa"/>
            <w:vAlign w:val="top"/>
          </w:tcPr>
          <w:p>
            <w:pPr>
              <w:spacing w:line="440" w:lineRule="exact"/>
              <w:jc w:val="center"/>
              <w:rPr>
                <w:rFonts w:ascii="宋体" w:hAnsi="宋体" w:cs="宋体"/>
                <w:color w:val="auto"/>
                <w:szCs w:val="21"/>
                <w:highlight w:val="none"/>
              </w:rPr>
            </w:pPr>
          </w:p>
        </w:tc>
        <w:tc>
          <w:tcPr>
            <w:tcW w:w="672" w:type="dxa"/>
            <w:vAlign w:val="top"/>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vAlign w:val="top"/>
          </w:tcPr>
          <w:p>
            <w:pPr>
              <w:spacing w:line="440" w:lineRule="exact"/>
              <w:jc w:val="center"/>
              <w:rPr>
                <w:rFonts w:ascii="宋体" w:hAnsi="宋体" w:cs="宋体"/>
                <w:color w:val="auto"/>
                <w:szCs w:val="21"/>
                <w:highlight w:val="none"/>
              </w:rPr>
            </w:pPr>
          </w:p>
        </w:tc>
        <w:tc>
          <w:tcPr>
            <w:tcW w:w="721" w:type="dxa"/>
            <w:vAlign w:val="top"/>
          </w:tcPr>
          <w:p>
            <w:pPr>
              <w:spacing w:line="440" w:lineRule="exact"/>
              <w:jc w:val="center"/>
              <w:rPr>
                <w:rFonts w:ascii="宋体" w:hAnsi="宋体" w:cs="宋体"/>
                <w:color w:val="auto"/>
                <w:szCs w:val="21"/>
                <w:highlight w:val="none"/>
              </w:rPr>
            </w:pPr>
          </w:p>
        </w:tc>
        <w:tc>
          <w:tcPr>
            <w:tcW w:w="719" w:type="dxa"/>
            <w:vAlign w:val="top"/>
          </w:tcPr>
          <w:p>
            <w:pPr>
              <w:spacing w:line="440" w:lineRule="exact"/>
              <w:jc w:val="center"/>
              <w:rPr>
                <w:rFonts w:ascii="宋体" w:hAnsi="宋体" w:cs="宋体"/>
                <w:color w:val="auto"/>
                <w:szCs w:val="21"/>
                <w:highlight w:val="none"/>
              </w:rPr>
            </w:pPr>
          </w:p>
        </w:tc>
        <w:tc>
          <w:tcPr>
            <w:tcW w:w="1081" w:type="dxa"/>
            <w:vAlign w:val="top"/>
          </w:tcPr>
          <w:p>
            <w:pPr>
              <w:spacing w:line="440" w:lineRule="exact"/>
              <w:jc w:val="center"/>
              <w:rPr>
                <w:rFonts w:ascii="宋体" w:hAnsi="宋体" w:cs="宋体"/>
                <w:color w:val="auto"/>
                <w:szCs w:val="21"/>
                <w:highlight w:val="none"/>
              </w:rPr>
            </w:pPr>
          </w:p>
        </w:tc>
        <w:tc>
          <w:tcPr>
            <w:tcW w:w="719" w:type="dxa"/>
            <w:vAlign w:val="top"/>
          </w:tcPr>
          <w:p>
            <w:pPr>
              <w:spacing w:line="440" w:lineRule="exact"/>
              <w:jc w:val="center"/>
              <w:rPr>
                <w:rFonts w:ascii="宋体" w:hAnsi="宋体" w:cs="宋体"/>
                <w:color w:val="auto"/>
                <w:szCs w:val="21"/>
                <w:highlight w:val="none"/>
              </w:rPr>
            </w:pPr>
          </w:p>
        </w:tc>
        <w:tc>
          <w:tcPr>
            <w:tcW w:w="721" w:type="dxa"/>
            <w:vAlign w:val="top"/>
          </w:tcPr>
          <w:p>
            <w:pPr>
              <w:spacing w:line="440" w:lineRule="exact"/>
              <w:jc w:val="center"/>
              <w:rPr>
                <w:rFonts w:ascii="宋体" w:hAnsi="宋体" w:cs="宋体"/>
                <w:color w:val="auto"/>
                <w:szCs w:val="21"/>
                <w:highlight w:val="none"/>
              </w:rPr>
            </w:pPr>
          </w:p>
        </w:tc>
        <w:tc>
          <w:tcPr>
            <w:tcW w:w="719" w:type="dxa"/>
            <w:vAlign w:val="top"/>
          </w:tcPr>
          <w:p>
            <w:pPr>
              <w:spacing w:line="440" w:lineRule="exact"/>
              <w:jc w:val="center"/>
              <w:rPr>
                <w:rFonts w:ascii="宋体" w:hAnsi="宋体" w:cs="宋体"/>
                <w:color w:val="auto"/>
                <w:szCs w:val="21"/>
                <w:highlight w:val="none"/>
              </w:rPr>
            </w:pPr>
          </w:p>
        </w:tc>
        <w:tc>
          <w:tcPr>
            <w:tcW w:w="2523" w:type="dxa"/>
            <w:vAlign w:val="top"/>
          </w:tcPr>
          <w:p>
            <w:pPr>
              <w:spacing w:line="440" w:lineRule="exact"/>
              <w:jc w:val="center"/>
              <w:rPr>
                <w:rFonts w:ascii="宋体" w:hAnsi="宋体" w:cs="宋体"/>
                <w:color w:val="auto"/>
                <w:szCs w:val="21"/>
                <w:highlight w:val="none"/>
              </w:rPr>
            </w:pPr>
          </w:p>
        </w:tc>
        <w:tc>
          <w:tcPr>
            <w:tcW w:w="672" w:type="dxa"/>
            <w:vAlign w:val="top"/>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vAlign w:val="top"/>
          </w:tcPr>
          <w:p>
            <w:pPr>
              <w:spacing w:line="440" w:lineRule="exact"/>
              <w:jc w:val="center"/>
              <w:rPr>
                <w:rFonts w:ascii="宋体" w:hAnsi="宋体" w:cs="宋体"/>
                <w:color w:val="auto"/>
                <w:szCs w:val="21"/>
                <w:highlight w:val="none"/>
              </w:rPr>
            </w:pPr>
          </w:p>
        </w:tc>
        <w:tc>
          <w:tcPr>
            <w:tcW w:w="721" w:type="dxa"/>
            <w:vAlign w:val="top"/>
          </w:tcPr>
          <w:p>
            <w:pPr>
              <w:spacing w:line="440" w:lineRule="exact"/>
              <w:jc w:val="center"/>
              <w:rPr>
                <w:rFonts w:ascii="宋体" w:hAnsi="宋体" w:cs="宋体"/>
                <w:color w:val="auto"/>
                <w:szCs w:val="21"/>
                <w:highlight w:val="none"/>
              </w:rPr>
            </w:pPr>
          </w:p>
        </w:tc>
        <w:tc>
          <w:tcPr>
            <w:tcW w:w="719" w:type="dxa"/>
            <w:vAlign w:val="top"/>
          </w:tcPr>
          <w:p>
            <w:pPr>
              <w:spacing w:line="440" w:lineRule="exact"/>
              <w:jc w:val="center"/>
              <w:rPr>
                <w:rFonts w:ascii="宋体" w:hAnsi="宋体" w:cs="宋体"/>
                <w:color w:val="auto"/>
                <w:szCs w:val="21"/>
                <w:highlight w:val="none"/>
              </w:rPr>
            </w:pPr>
          </w:p>
        </w:tc>
        <w:tc>
          <w:tcPr>
            <w:tcW w:w="1081" w:type="dxa"/>
            <w:vAlign w:val="top"/>
          </w:tcPr>
          <w:p>
            <w:pPr>
              <w:spacing w:line="440" w:lineRule="exact"/>
              <w:jc w:val="center"/>
              <w:rPr>
                <w:rFonts w:ascii="宋体" w:hAnsi="宋体" w:cs="宋体"/>
                <w:color w:val="auto"/>
                <w:szCs w:val="21"/>
                <w:highlight w:val="none"/>
              </w:rPr>
            </w:pPr>
          </w:p>
        </w:tc>
        <w:tc>
          <w:tcPr>
            <w:tcW w:w="719" w:type="dxa"/>
            <w:vAlign w:val="top"/>
          </w:tcPr>
          <w:p>
            <w:pPr>
              <w:spacing w:line="440" w:lineRule="exact"/>
              <w:jc w:val="center"/>
              <w:rPr>
                <w:rFonts w:ascii="宋体" w:hAnsi="宋体" w:cs="宋体"/>
                <w:color w:val="auto"/>
                <w:szCs w:val="21"/>
                <w:highlight w:val="none"/>
              </w:rPr>
            </w:pPr>
          </w:p>
        </w:tc>
        <w:tc>
          <w:tcPr>
            <w:tcW w:w="721" w:type="dxa"/>
            <w:vAlign w:val="top"/>
          </w:tcPr>
          <w:p>
            <w:pPr>
              <w:spacing w:line="440" w:lineRule="exact"/>
              <w:jc w:val="center"/>
              <w:rPr>
                <w:rFonts w:ascii="宋体" w:hAnsi="宋体" w:cs="宋体"/>
                <w:color w:val="auto"/>
                <w:szCs w:val="21"/>
                <w:highlight w:val="none"/>
              </w:rPr>
            </w:pPr>
          </w:p>
        </w:tc>
        <w:tc>
          <w:tcPr>
            <w:tcW w:w="719" w:type="dxa"/>
            <w:vAlign w:val="top"/>
          </w:tcPr>
          <w:p>
            <w:pPr>
              <w:spacing w:line="440" w:lineRule="exact"/>
              <w:jc w:val="center"/>
              <w:rPr>
                <w:rFonts w:ascii="宋体" w:hAnsi="宋体" w:cs="宋体"/>
                <w:color w:val="auto"/>
                <w:szCs w:val="21"/>
                <w:highlight w:val="none"/>
              </w:rPr>
            </w:pPr>
          </w:p>
        </w:tc>
        <w:tc>
          <w:tcPr>
            <w:tcW w:w="2523" w:type="dxa"/>
            <w:vAlign w:val="top"/>
          </w:tcPr>
          <w:p>
            <w:pPr>
              <w:spacing w:line="440" w:lineRule="exact"/>
              <w:jc w:val="center"/>
              <w:rPr>
                <w:rFonts w:ascii="宋体" w:hAnsi="宋体" w:cs="宋体"/>
                <w:color w:val="auto"/>
                <w:szCs w:val="21"/>
                <w:highlight w:val="none"/>
              </w:rPr>
            </w:pPr>
          </w:p>
        </w:tc>
        <w:tc>
          <w:tcPr>
            <w:tcW w:w="672" w:type="dxa"/>
            <w:vAlign w:val="top"/>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vAlign w:val="top"/>
          </w:tcPr>
          <w:p>
            <w:pPr>
              <w:spacing w:line="440" w:lineRule="exact"/>
              <w:jc w:val="center"/>
              <w:rPr>
                <w:rFonts w:ascii="宋体" w:hAnsi="宋体" w:cs="宋体"/>
                <w:color w:val="auto"/>
                <w:szCs w:val="21"/>
                <w:highlight w:val="none"/>
              </w:rPr>
            </w:pPr>
          </w:p>
        </w:tc>
        <w:tc>
          <w:tcPr>
            <w:tcW w:w="721" w:type="dxa"/>
            <w:vAlign w:val="top"/>
          </w:tcPr>
          <w:p>
            <w:pPr>
              <w:spacing w:line="440" w:lineRule="exact"/>
              <w:jc w:val="center"/>
              <w:rPr>
                <w:rFonts w:ascii="宋体" w:hAnsi="宋体" w:cs="宋体"/>
                <w:color w:val="auto"/>
                <w:szCs w:val="21"/>
                <w:highlight w:val="none"/>
              </w:rPr>
            </w:pPr>
          </w:p>
        </w:tc>
        <w:tc>
          <w:tcPr>
            <w:tcW w:w="719" w:type="dxa"/>
            <w:vAlign w:val="top"/>
          </w:tcPr>
          <w:p>
            <w:pPr>
              <w:spacing w:line="440" w:lineRule="exact"/>
              <w:jc w:val="center"/>
              <w:rPr>
                <w:rFonts w:ascii="宋体" w:hAnsi="宋体" w:cs="宋体"/>
                <w:color w:val="auto"/>
                <w:szCs w:val="21"/>
                <w:highlight w:val="none"/>
              </w:rPr>
            </w:pPr>
          </w:p>
        </w:tc>
        <w:tc>
          <w:tcPr>
            <w:tcW w:w="1081" w:type="dxa"/>
            <w:vAlign w:val="top"/>
          </w:tcPr>
          <w:p>
            <w:pPr>
              <w:spacing w:line="440" w:lineRule="exact"/>
              <w:jc w:val="center"/>
              <w:rPr>
                <w:rFonts w:ascii="宋体" w:hAnsi="宋体" w:cs="宋体"/>
                <w:color w:val="auto"/>
                <w:szCs w:val="21"/>
                <w:highlight w:val="none"/>
              </w:rPr>
            </w:pPr>
          </w:p>
        </w:tc>
        <w:tc>
          <w:tcPr>
            <w:tcW w:w="719" w:type="dxa"/>
            <w:vAlign w:val="top"/>
          </w:tcPr>
          <w:p>
            <w:pPr>
              <w:spacing w:line="440" w:lineRule="exact"/>
              <w:jc w:val="center"/>
              <w:rPr>
                <w:rFonts w:ascii="宋体" w:hAnsi="宋体" w:cs="宋体"/>
                <w:color w:val="auto"/>
                <w:szCs w:val="21"/>
                <w:highlight w:val="none"/>
              </w:rPr>
            </w:pPr>
          </w:p>
        </w:tc>
        <w:tc>
          <w:tcPr>
            <w:tcW w:w="721" w:type="dxa"/>
            <w:vAlign w:val="top"/>
          </w:tcPr>
          <w:p>
            <w:pPr>
              <w:spacing w:line="440" w:lineRule="exact"/>
              <w:jc w:val="center"/>
              <w:rPr>
                <w:rFonts w:ascii="宋体" w:hAnsi="宋体" w:cs="宋体"/>
                <w:color w:val="auto"/>
                <w:szCs w:val="21"/>
                <w:highlight w:val="none"/>
              </w:rPr>
            </w:pPr>
          </w:p>
        </w:tc>
        <w:tc>
          <w:tcPr>
            <w:tcW w:w="719" w:type="dxa"/>
            <w:vAlign w:val="top"/>
          </w:tcPr>
          <w:p>
            <w:pPr>
              <w:spacing w:line="440" w:lineRule="exact"/>
              <w:jc w:val="center"/>
              <w:rPr>
                <w:rFonts w:ascii="宋体" w:hAnsi="宋体" w:cs="宋体"/>
                <w:color w:val="auto"/>
                <w:szCs w:val="21"/>
                <w:highlight w:val="none"/>
              </w:rPr>
            </w:pPr>
          </w:p>
        </w:tc>
        <w:tc>
          <w:tcPr>
            <w:tcW w:w="2523" w:type="dxa"/>
            <w:vAlign w:val="top"/>
          </w:tcPr>
          <w:p>
            <w:pPr>
              <w:spacing w:line="440" w:lineRule="exact"/>
              <w:jc w:val="center"/>
              <w:rPr>
                <w:rFonts w:ascii="宋体" w:hAnsi="宋体" w:cs="宋体"/>
                <w:color w:val="auto"/>
                <w:szCs w:val="21"/>
                <w:highlight w:val="none"/>
              </w:rPr>
            </w:pPr>
          </w:p>
        </w:tc>
        <w:tc>
          <w:tcPr>
            <w:tcW w:w="672" w:type="dxa"/>
            <w:vAlign w:val="top"/>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color w:val="auto"/>
                <w:szCs w:val="21"/>
                <w:highlight w:val="none"/>
              </w:rPr>
            </w:pPr>
          </w:p>
        </w:tc>
        <w:tc>
          <w:tcPr>
            <w:tcW w:w="72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color w:val="auto"/>
                <w:szCs w:val="21"/>
                <w:highlight w:val="none"/>
              </w:rPr>
            </w:pPr>
          </w:p>
        </w:tc>
        <w:tc>
          <w:tcPr>
            <w:tcW w:w="108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color w:val="auto"/>
                <w:szCs w:val="21"/>
                <w:highlight w:val="none"/>
              </w:rPr>
            </w:pPr>
          </w:p>
        </w:tc>
        <w:tc>
          <w:tcPr>
            <w:tcW w:w="72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color w:val="auto"/>
                <w:szCs w:val="21"/>
                <w:highlight w:val="none"/>
              </w:rPr>
            </w:pPr>
          </w:p>
        </w:tc>
        <w:tc>
          <w:tcPr>
            <w:tcW w:w="2523"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color w:val="auto"/>
                <w:szCs w:val="21"/>
                <w:highlight w:val="none"/>
              </w:rPr>
            </w:pPr>
          </w:p>
        </w:tc>
        <w:tc>
          <w:tcPr>
            <w:tcW w:w="72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color w:val="auto"/>
                <w:szCs w:val="21"/>
                <w:highlight w:val="none"/>
              </w:rPr>
            </w:pPr>
          </w:p>
        </w:tc>
        <w:tc>
          <w:tcPr>
            <w:tcW w:w="108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color w:val="auto"/>
                <w:szCs w:val="21"/>
                <w:highlight w:val="none"/>
              </w:rPr>
            </w:pPr>
          </w:p>
        </w:tc>
        <w:tc>
          <w:tcPr>
            <w:tcW w:w="72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color w:val="auto"/>
                <w:szCs w:val="21"/>
                <w:highlight w:val="none"/>
              </w:rPr>
            </w:pPr>
          </w:p>
        </w:tc>
        <w:tc>
          <w:tcPr>
            <w:tcW w:w="2523"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color w:val="auto"/>
                <w:szCs w:val="21"/>
                <w:highlight w:val="none"/>
              </w:rPr>
            </w:pPr>
          </w:p>
        </w:tc>
        <w:tc>
          <w:tcPr>
            <w:tcW w:w="72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color w:val="auto"/>
                <w:szCs w:val="21"/>
                <w:highlight w:val="none"/>
              </w:rPr>
            </w:pPr>
          </w:p>
        </w:tc>
        <w:tc>
          <w:tcPr>
            <w:tcW w:w="108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color w:val="auto"/>
                <w:szCs w:val="21"/>
                <w:highlight w:val="none"/>
              </w:rPr>
            </w:pPr>
          </w:p>
        </w:tc>
        <w:tc>
          <w:tcPr>
            <w:tcW w:w="72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color w:val="auto"/>
                <w:szCs w:val="21"/>
                <w:highlight w:val="none"/>
              </w:rPr>
            </w:pPr>
          </w:p>
        </w:tc>
        <w:tc>
          <w:tcPr>
            <w:tcW w:w="2523"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color w:val="auto"/>
                <w:szCs w:val="21"/>
                <w:highlight w:val="none"/>
              </w:rPr>
            </w:pPr>
          </w:p>
        </w:tc>
        <w:tc>
          <w:tcPr>
            <w:tcW w:w="72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color w:val="auto"/>
                <w:szCs w:val="21"/>
                <w:highlight w:val="none"/>
              </w:rPr>
            </w:pPr>
          </w:p>
        </w:tc>
        <w:tc>
          <w:tcPr>
            <w:tcW w:w="108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color w:val="auto"/>
                <w:szCs w:val="21"/>
                <w:highlight w:val="none"/>
              </w:rPr>
            </w:pPr>
          </w:p>
        </w:tc>
        <w:tc>
          <w:tcPr>
            <w:tcW w:w="72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color w:val="auto"/>
                <w:szCs w:val="21"/>
                <w:highlight w:val="none"/>
              </w:rPr>
            </w:pPr>
          </w:p>
        </w:tc>
        <w:tc>
          <w:tcPr>
            <w:tcW w:w="2523"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color w:val="auto"/>
                <w:szCs w:val="21"/>
                <w:highlight w:val="none"/>
              </w:rPr>
            </w:pPr>
          </w:p>
        </w:tc>
        <w:tc>
          <w:tcPr>
            <w:tcW w:w="72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color w:val="auto"/>
                <w:szCs w:val="21"/>
                <w:highlight w:val="none"/>
              </w:rPr>
            </w:pPr>
          </w:p>
        </w:tc>
        <w:tc>
          <w:tcPr>
            <w:tcW w:w="108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color w:val="auto"/>
                <w:szCs w:val="21"/>
                <w:highlight w:val="none"/>
              </w:rPr>
            </w:pPr>
          </w:p>
        </w:tc>
        <w:tc>
          <w:tcPr>
            <w:tcW w:w="72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color w:val="auto"/>
                <w:szCs w:val="21"/>
                <w:highlight w:val="none"/>
              </w:rPr>
            </w:pPr>
          </w:p>
        </w:tc>
        <w:tc>
          <w:tcPr>
            <w:tcW w:w="2523"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color w:val="auto"/>
                <w:szCs w:val="21"/>
                <w:highlight w:val="none"/>
              </w:rPr>
            </w:pPr>
          </w:p>
        </w:tc>
        <w:tc>
          <w:tcPr>
            <w:tcW w:w="72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color w:val="auto"/>
                <w:szCs w:val="21"/>
                <w:highlight w:val="none"/>
              </w:rPr>
            </w:pPr>
          </w:p>
        </w:tc>
        <w:tc>
          <w:tcPr>
            <w:tcW w:w="108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color w:val="auto"/>
                <w:szCs w:val="21"/>
                <w:highlight w:val="none"/>
              </w:rPr>
            </w:pPr>
          </w:p>
        </w:tc>
        <w:tc>
          <w:tcPr>
            <w:tcW w:w="72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color w:val="auto"/>
                <w:szCs w:val="21"/>
                <w:highlight w:val="none"/>
              </w:rPr>
            </w:pPr>
          </w:p>
        </w:tc>
        <w:tc>
          <w:tcPr>
            <w:tcW w:w="2523"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color w:val="auto"/>
                <w:szCs w:val="21"/>
                <w:highlight w:val="none"/>
              </w:rPr>
            </w:pPr>
          </w:p>
        </w:tc>
        <w:tc>
          <w:tcPr>
            <w:tcW w:w="72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color w:val="auto"/>
                <w:szCs w:val="21"/>
                <w:highlight w:val="none"/>
              </w:rPr>
            </w:pPr>
          </w:p>
        </w:tc>
        <w:tc>
          <w:tcPr>
            <w:tcW w:w="108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color w:val="auto"/>
                <w:szCs w:val="21"/>
                <w:highlight w:val="none"/>
              </w:rPr>
            </w:pPr>
          </w:p>
        </w:tc>
        <w:tc>
          <w:tcPr>
            <w:tcW w:w="72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color w:val="auto"/>
                <w:szCs w:val="21"/>
                <w:highlight w:val="none"/>
              </w:rPr>
            </w:pPr>
          </w:p>
        </w:tc>
        <w:tc>
          <w:tcPr>
            <w:tcW w:w="2523"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color w:val="auto"/>
                <w:szCs w:val="21"/>
                <w:highlight w:val="none"/>
              </w:rPr>
            </w:pPr>
          </w:p>
        </w:tc>
        <w:tc>
          <w:tcPr>
            <w:tcW w:w="72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color w:val="auto"/>
                <w:szCs w:val="21"/>
                <w:highlight w:val="none"/>
              </w:rPr>
            </w:pPr>
          </w:p>
        </w:tc>
        <w:tc>
          <w:tcPr>
            <w:tcW w:w="108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color w:val="auto"/>
                <w:szCs w:val="21"/>
                <w:highlight w:val="none"/>
              </w:rPr>
            </w:pPr>
          </w:p>
        </w:tc>
        <w:tc>
          <w:tcPr>
            <w:tcW w:w="72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color w:val="auto"/>
                <w:szCs w:val="21"/>
                <w:highlight w:val="none"/>
              </w:rPr>
            </w:pPr>
          </w:p>
        </w:tc>
        <w:tc>
          <w:tcPr>
            <w:tcW w:w="2523"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color w:val="auto"/>
                <w:szCs w:val="21"/>
                <w:highlight w:val="none"/>
              </w:rPr>
            </w:pPr>
          </w:p>
        </w:tc>
        <w:tc>
          <w:tcPr>
            <w:tcW w:w="72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color w:val="auto"/>
                <w:szCs w:val="21"/>
                <w:highlight w:val="none"/>
              </w:rPr>
            </w:pPr>
          </w:p>
        </w:tc>
        <w:tc>
          <w:tcPr>
            <w:tcW w:w="108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color w:val="auto"/>
                <w:szCs w:val="21"/>
                <w:highlight w:val="none"/>
              </w:rPr>
            </w:pPr>
          </w:p>
        </w:tc>
        <w:tc>
          <w:tcPr>
            <w:tcW w:w="72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color w:val="auto"/>
                <w:szCs w:val="21"/>
                <w:highlight w:val="none"/>
              </w:rPr>
            </w:pPr>
          </w:p>
        </w:tc>
        <w:tc>
          <w:tcPr>
            <w:tcW w:w="2523"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color w:val="auto"/>
                <w:szCs w:val="21"/>
                <w:highlight w:val="none"/>
              </w:rPr>
            </w:pPr>
          </w:p>
        </w:tc>
        <w:tc>
          <w:tcPr>
            <w:tcW w:w="72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color w:val="auto"/>
                <w:szCs w:val="21"/>
                <w:highlight w:val="none"/>
              </w:rPr>
            </w:pPr>
          </w:p>
        </w:tc>
        <w:tc>
          <w:tcPr>
            <w:tcW w:w="108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color w:val="auto"/>
                <w:szCs w:val="21"/>
                <w:highlight w:val="none"/>
              </w:rPr>
            </w:pPr>
          </w:p>
        </w:tc>
        <w:tc>
          <w:tcPr>
            <w:tcW w:w="72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color w:val="auto"/>
                <w:szCs w:val="21"/>
                <w:highlight w:val="none"/>
              </w:rPr>
            </w:pPr>
          </w:p>
        </w:tc>
        <w:tc>
          <w:tcPr>
            <w:tcW w:w="2523"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color w:val="auto"/>
                <w:szCs w:val="21"/>
                <w:highlight w:val="none"/>
              </w:rPr>
            </w:pPr>
          </w:p>
        </w:tc>
        <w:tc>
          <w:tcPr>
            <w:tcW w:w="672"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宋体" w:hAnsi="宋体" w:cs="宋体"/>
                <w:color w:val="auto"/>
                <w:szCs w:val="21"/>
                <w:highlight w:val="none"/>
              </w:rPr>
            </w:pPr>
          </w:p>
        </w:tc>
      </w:tr>
    </w:tbl>
    <w:p>
      <w:pPr>
        <w:topLinePunct/>
        <w:spacing w:line="440" w:lineRule="exact"/>
        <w:jc w:val="center"/>
        <w:rPr>
          <w:rFonts w:ascii="宋体" w:hAnsi="宋体" w:cs="宋体"/>
          <w:color w:val="auto"/>
          <w:sz w:val="20"/>
          <w:highlight w:val="none"/>
        </w:rPr>
      </w:pPr>
    </w:p>
    <w:p>
      <w:pPr>
        <w:topLinePunct/>
        <w:spacing w:line="440" w:lineRule="exact"/>
        <w:jc w:val="center"/>
        <w:rPr>
          <w:rFonts w:ascii="宋体" w:hAnsi="宋体" w:cs="宋体"/>
          <w:color w:val="auto"/>
          <w:sz w:val="20"/>
          <w:highlight w:val="none"/>
        </w:rPr>
      </w:pPr>
    </w:p>
    <w:p>
      <w:pPr>
        <w:topLinePunct/>
        <w:spacing w:line="440" w:lineRule="exact"/>
        <w:jc w:val="center"/>
        <w:rPr>
          <w:rFonts w:ascii="宋体" w:hAnsi="宋体" w:cs="宋体"/>
          <w:color w:val="auto"/>
          <w:sz w:val="20"/>
          <w:highlight w:val="none"/>
        </w:rPr>
      </w:pPr>
    </w:p>
    <w:p>
      <w:pPr>
        <w:pStyle w:val="5"/>
        <w:jc w:val="center"/>
        <w:rPr>
          <w:rFonts w:ascii="宋体" w:hAnsi="宋体" w:cs="宋体"/>
          <w:color w:val="auto"/>
          <w:highlight w:val="none"/>
        </w:rPr>
      </w:pPr>
      <w:bookmarkStart w:id="1304" w:name="_Toc246997114"/>
      <w:bookmarkStart w:id="1305" w:name="_Toc247085889"/>
      <w:bookmarkStart w:id="1306" w:name="_Toc179632825"/>
      <w:bookmarkStart w:id="1307" w:name="_Toc152042594"/>
      <w:bookmarkStart w:id="1308" w:name="_Toc144974873"/>
      <w:bookmarkStart w:id="1309" w:name="_Toc152045805"/>
      <w:bookmarkStart w:id="1310" w:name="_Toc246996371"/>
      <w:bookmarkStart w:id="1311" w:name="_Toc466470837"/>
      <w:bookmarkStart w:id="1312" w:name="_Toc466470967"/>
      <w:r>
        <w:rPr>
          <w:rFonts w:hint="eastAsia" w:ascii="宋体" w:hAnsi="宋体" w:cs="宋体"/>
          <w:color w:val="auto"/>
          <w:highlight w:val="none"/>
        </w:rPr>
        <w:t>（二）</w:t>
      </w:r>
      <w:bookmarkEnd w:id="1304"/>
      <w:bookmarkEnd w:id="1305"/>
      <w:bookmarkEnd w:id="1306"/>
      <w:bookmarkEnd w:id="1307"/>
      <w:bookmarkEnd w:id="1308"/>
      <w:bookmarkEnd w:id="1309"/>
      <w:bookmarkEnd w:id="1310"/>
      <w:r>
        <w:rPr>
          <w:rFonts w:hint="eastAsia" w:ascii="宋体" w:hAnsi="宋体" w:cs="宋体"/>
          <w:color w:val="auto"/>
          <w:highlight w:val="none"/>
        </w:rPr>
        <w:t>项目经理简历表</w:t>
      </w:r>
      <w:bookmarkEnd w:id="1311"/>
      <w:bookmarkEnd w:id="1312"/>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应附项目经理证书或注册建造师执业资格证书、身份证、职称证、学历证、养老保险复印件，管理过的项目业绩须附合同协议书复印件。</w:t>
      </w:r>
    </w:p>
    <w:p>
      <w:pPr>
        <w:topLinePunct/>
        <w:spacing w:line="440" w:lineRule="exact"/>
        <w:jc w:val="center"/>
        <w:rPr>
          <w:rFonts w:ascii="宋体" w:hAnsi="宋体" w:cs="宋体"/>
          <w:color w:val="auto"/>
          <w:sz w:val="23"/>
          <w:szCs w:val="23"/>
          <w:highlight w:val="none"/>
        </w:rPr>
      </w:pPr>
    </w:p>
    <w:tbl>
      <w:tblPr>
        <w:tblStyle w:val="1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359"/>
        <w:gridCol w:w="720"/>
        <w:gridCol w:w="927"/>
        <w:gridCol w:w="1065"/>
        <w:gridCol w:w="708"/>
        <w:gridCol w:w="1261"/>
        <w:gridCol w:w="161"/>
        <w:gridCol w:w="2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姓  名</w:t>
            </w:r>
          </w:p>
        </w:tc>
        <w:tc>
          <w:tcPr>
            <w:tcW w:w="1079" w:type="dxa"/>
            <w:gridSpan w:val="2"/>
            <w:vAlign w:val="center"/>
          </w:tcPr>
          <w:p>
            <w:pPr>
              <w:spacing w:line="440" w:lineRule="exact"/>
              <w:jc w:val="center"/>
              <w:rPr>
                <w:rFonts w:ascii="宋体" w:hAnsi="宋体" w:cs="宋体"/>
                <w:color w:val="auto"/>
                <w:szCs w:val="21"/>
                <w:highlight w:val="none"/>
              </w:rPr>
            </w:pPr>
          </w:p>
        </w:tc>
        <w:tc>
          <w:tcPr>
            <w:tcW w:w="927" w:type="dxa"/>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年 龄</w:t>
            </w:r>
          </w:p>
        </w:tc>
        <w:tc>
          <w:tcPr>
            <w:tcW w:w="1065" w:type="dxa"/>
            <w:vAlign w:val="center"/>
          </w:tcPr>
          <w:p>
            <w:pPr>
              <w:spacing w:line="440" w:lineRule="exact"/>
              <w:jc w:val="center"/>
              <w:rPr>
                <w:rFonts w:ascii="宋体" w:hAnsi="宋体" w:cs="宋体"/>
                <w:color w:val="auto"/>
                <w:szCs w:val="21"/>
                <w:highlight w:val="none"/>
              </w:rPr>
            </w:pPr>
          </w:p>
        </w:tc>
        <w:tc>
          <w:tcPr>
            <w:tcW w:w="2130" w:type="dxa"/>
            <w:gridSpan w:val="3"/>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学历</w:t>
            </w:r>
          </w:p>
        </w:tc>
        <w:tc>
          <w:tcPr>
            <w:tcW w:w="2135" w:type="dxa"/>
            <w:vAlign w:val="center"/>
          </w:tcPr>
          <w:p>
            <w:pPr>
              <w:spacing w:line="44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职  称</w:t>
            </w:r>
          </w:p>
        </w:tc>
        <w:tc>
          <w:tcPr>
            <w:tcW w:w="1079" w:type="dxa"/>
            <w:gridSpan w:val="2"/>
            <w:vAlign w:val="center"/>
          </w:tcPr>
          <w:p>
            <w:pPr>
              <w:spacing w:line="440" w:lineRule="exact"/>
              <w:jc w:val="center"/>
              <w:rPr>
                <w:rFonts w:ascii="宋体" w:hAnsi="宋体" w:cs="宋体"/>
                <w:color w:val="auto"/>
                <w:szCs w:val="21"/>
                <w:highlight w:val="none"/>
              </w:rPr>
            </w:pPr>
          </w:p>
        </w:tc>
        <w:tc>
          <w:tcPr>
            <w:tcW w:w="927" w:type="dxa"/>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职 务</w:t>
            </w:r>
          </w:p>
        </w:tc>
        <w:tc>
          <w:tcPr>
            <w:tcW w:w="1065" w:type="dxa"/>
            <w:vAlign w:val="center"/>
          </w:tcPr>
          <w:p>
            <w:pPr>
              <w:spacing w:line="440" w:lineRule="exact"/>
              <w:jc w:val="center"/>
              <w:rPr>
                <w:rFonts w:ascii="宋体" w:hAnsi="宋体" w:cs="宋体"/>
                <w:color w:val="auto"/>
                <w:szCs w:val="21"/>
                <w:highlight w:val="none"/>
              </w:rPr>
            </w:pPr>
          </w:p>
        </w:tc>
        <w:tc>
          <w:tcPr>
            <w:tcW w:w="2130" w:type="dxa"/>
            <w:gridSpan w:val="3"/>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拟在本合同任职</w:t>
            </w:r>
          </w:p>
        </w:tc>
        <w:tc>
          <w:tcPr>
            <w:tcW w:w="2135" w:type="dxa"/>
            <w:vAlign w:val="center"/>
          </w:tcPr>
          <w:p>
            <w:pPr>
              <w:spacing w:line="44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毕业学校</w:t>
            </w:r>
          </w:p>
        </w:tc>
        <w:tc>
          <w:tcPr>
            <w:tcW w:w="7336" w:type="dxa"/>
            <w:gridSpan w:val="8"/>
            <w:vAlign w:val="top"/>
          </w:tcPr>
          <w:p>
            <w:pPr>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      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9"/>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5" w:type="dxa"/>
            <w:gridSpan w:val="2"/>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时  间</w:t>
            </w:r>
          </w:p>
        </w:tc>
        <w:tc>
          <w:tcPr>
            <w:tcW w:w="3420" w:type="dxa"/>
            <w:gridSpan w:val="4"/>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参加过的类似项目</w:t>
            </w:r>
          </w:p>
        </w:tc>
        <w:tc>
          <w:tcPr>
            <w:tcW w:w="1261" w:type="dxa"/>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担任职务</w:t>
            </w:r>
          </w:p>
        </w:tc>
        <w:tc>
          <w:tcPr>
            <w:tcW w:w="2296" w:type="dxa"/>
            <w:gridSpan w:val="2"/>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vAlign w:val="top"/>
          </w:tcPr>
          <w:p>
            <w:pPr>
              <w:spacing w:line="440" w:lineRule="exact"/>
              <w:rPr>
                <w:rFonts w:ascii="宋体" w:hAnsi="宋体" w:cs="宋体"/>
                <w:color w:val="auto"/>
                <w:szCs w:val="21"/>
                <w:highlight w:val="none"/>
              </w:rPr>
            </w:pPr>
          </w:p>
        </w:tc>
        <w:tc>
          <w:tcPr>
            <w:tcW w:w="3420" w:type="dxa"/>
            <w:gridSpan w:val="4"/>
            <w:vAlign w:val="top"/>
          </w:tcPr>
          <w:p>
            <w:pPr>
              <w:spacing w:line="440" w:lineRule="exact"/>
              <w:rPr>
                <w:rFonts w:ascii="宋体" w:hAnsi="宋体" w:cs="宋体"/>
                <w:color w:val="auto"/>
                <w:szCs w:val="21"/>
                <w:highlight w:val="none"/>
              </w:rPr>
            </w:pPr>
          </w:p>
        </w:tc>
        <w:tc>
          <w:tcPr>
            <w:tcW w:w="1261" w:type="dxa"/>
            <w:vAlign w:val="top"/>
          </w:tcPr>
          <w:p>
            <w:pPr>
              <w:spacing w:line="440" w:lineRule="exact"/>
              <w:rPr>
                <w:rFonts w:ascii="宋体" w:hAnsi="宋体" w:cs="宋体"/>
                <w:color w:val="auto"/>
                <w:szCs w:val="21"/>
                <w:highlight w:val="none"/>
              </w:rPr>
            </w:pPr>
          </w:p>
        </w:tc>
        <w:tc>
          <w:tcPr>
            <w:tcW w:w="2296" w:type="dxa"/>
            <w:gridSpan w:val="2"/>
            <w:vAlign w:val="top"/>
          </w:tcPr>
          <w:p>
            <w:pPr>
              <w:spacing w:line="44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vAlign w:val="top"/>
          </w:tcPr>
          <w:p>
            <w:pPr>
              <w:spacing w:line="440" w:lineRule="exact"/>
              <w:rPr>
                <w:rFonts w:ascii="宋体" w:hAnsi="宋体" w:cs="宋体"/>
                <w:color w:val="auto"/>
                <w:szCs w:val="21"/>
                <w:highlight w:val="none"/>
              </w:rPr>
            </w:pPr>
          </w:p>
        </w:tc>
        <w:tc>
          <w:tcPr>
            <w:tcW w:w="3420" w:type="dxa"/>
            <w:gridSpan w:val="4"/>
            <w:vAlign w:val="top"/>
          </w:tcPr>
          <w:p>
            <w:pPr>
              <w:spacing w:line="440" w:lineRule="exact"/>
              <w:rPr>
                <w:rFonts w:ascii="宋体" w:hAnsi="宋体" w:cs="宋体"/>
                <w:color w:val="auto"/>
                <w:szCs w:val="21"/>
                <w:highlight w:val="none"/>
              </w:rPr>
            </w:pPr>
          </w:p>
        </w:tc>
        <w:tc>
          <w:tcPr>
            <w:tcW w:w="1261" w:type="dxa"/>
            <w:vAlign w:val="top"/>
          </w:tcPr>
          <w:p>
            <w:pPr>
              <w:spacing w:line="440" w:lineRule="exact"/>
              <w:rPr>
                <w:rFonts w:ascii="宋体" w:hAnsi="宋体" w:cs="宋体"/>
                <w:color w:val="auto"/>
                <w:szCs w:val="21"/>
                <w:highlight w:val="none"/>
              </w:rPr>
            </w:pPr>
          </w:p>
        </w:tc>
        <w:tc>
          <w:tcPr>
            <w:tcW w:w="2296" w:type="dxa"/>
            <w:gridSpan w:val="2"/>
            <w:vAlign w:val="top"/>
          </w:tcPr>
          <w:p>
            <w:pPr>
              <w:spacing w:line="44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vAlign w:val="top"/>
          </w:tcPr>
          <w:p>
            <w:pPr>
              <w:spacing w:line="440" w:lineRule="exact"/>
              <w:rPr>
                <w:rFonts w:ascii="宋体" w:hAnsi="宋体" w:cs="宋体"/>
                <w:color w:val="auto"/>
                <w:szCs w:val="21"/>
                <w:highlight w:val="none"/>
              </w:rPr>
            </w:pPr>
          </w:p>
        </w:tc>
        <w:tc>
          <w:tcPr>
            <w:tcW w:w="3420" w:type="dxa"/>
            <w:gridSpan w:val="4"/>
            <w:vAlign w:val="top"/>
          </w:tcPr>
          <w:p>
            <w:pPr>
              <w:spacing w:line="440" w:lineRule="exact"/>
              <w:rPr>
                <w:rFonts w:ascii="宋体" w:hAnsi="宋体" w:cs="宋体"/>
                <w:color w:val="auto"/>
                <w:szCs w:val="21"/>
                <w:highlight w:val="none"/>
              </w:rPr>
            </w:pPr>
          </w:p>
        </w:tc>
        <w:tc>
          <w:tcPr>
            <w:tcW w:w="1261" w:type="dxa"/>
            <w:vAlign w:val="top"/>
          </w:tcPr>
          <w:p>
            <w:pPr>
              <w:spacing w:line="440" w:lineRule="exact"/>
              <w:rPr>
                <w:rFonts w:ascii="宋体" w:hAnsi="宋体" w:cs="宋体"/>
                <w:color w:val="auto"/>
                <w:szCs w:val="21"/>
                <w:highlight w:val="none"/>
              </w:rPr>
            </w:pPr>
          </w:p>
        </w:tc>
        <w:tc>
          <w:tcPr>
            <w:tcW w:w="2296" w:type="dxa"/>
            <w:gridSpan w:val="2"/>
            <w:vAlign w:val="top"/>
          </w:tcPr>
          <w:p>
            <w:pPr>
              <w:spacing w:line="44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vAlign w:val="top"/>
          </w:tcPr>
          <w:p>
            <w:pPr>
              <w:spacing w:line="440" w:lineRule="exact"/>
              <w:rPr>
                <w:rFonts w:ascii="宋体" w:hAnsi="宋体" w:cs="宋体"/>
                <w:color w:val="auto"/>
                <w:szCs w:val="21"/>
                <w:highlight w:val="none"/>
              </w:rPr>
            </w:pPr>
          </w:p>
        </w:tc>
        <w:tc>
          <w:tcPr>
            <w:tcW w:w="3420" w:type="dxa"/>
            <w:gridSpan w:val="4"/>
            <w:vAlign w:val="top"/>
          </w:tcPr>
          <w:p>
            <w:pPr>
              <w:spacing w:line="440" w:lineRule="exact"/>
              <w:rPr>
                <w:rFonts w:ascii="宋体" w:hAnsi="宋体" w:cs="宋体"/>
                <w:color w:val="auto"/>
                <w:szCs w:val="21"/>
                <w:highlight w:val="none"/>
              </w:rPr>
            </w:pPr>
          </w:p>
        </w:tc>
        <w:tc>
          <w:tcPr>
            <w:tcW w:w="1261" w:type="dxa"/>
            <w:vAlign w:val="top"/>
          </w:tcPr>
          <w:p>
            <w:pPr>
              <w:spacing w:line="440" w:lineRule="exact"/>
              <w:rPr>
                <w:rFonts w:ascii="宋体" w:hAnsi="宋体" w:cs="宋体"/>
                <w:color w:val="auto"/>
                <w:szCs w:val="21"/>
                <w:highlight w:val="none"/>
              </w:rPr>
            </w:pPr>
          </w:p>
        </w:tc>
        <w:tc>
          <w:tcPr>
            <w:tcW w:w="2296" w:type="dxa"/>
            <w:gridSpan w:val="2"/>
            <w:vAlign w:val="top"/>
          </w:tcPr>
          <w:p>
            <w:pPr>
              <w:spacing w:line="44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vAlign w:val="top"/>
          </w:tcPr>
          <w:p>
            <w:pPr>
              <w:spacing w:line="440" w:lineRule="exact"/>
              <w:rPr>
                <w:rFonts w:ascii="宋体" w:hAnsi="宋体" w:cs="宋体"/>
                <w:color w:val="auto"/>
                <w:szCs w:val="21"/>
                <w:highlight w:val="none"/>
              </w:rPr>
            </w:pPr>
          </w:p>
        </w:tc>
        <w:tc>
          <w:tcPr>
            <w:tcW w:w="3420" w:type="dxa"/>
            <w:gridSpan w:val="4"/>
            <w:vAlign w:val="top"/>
          </w:tcPr>
          <w:p>
            <w:pPr>
              <w:spacing w:line="440" w:lineRule="exact"/>
              <w:rPr>
                <w:rFonts w:ascii="宋体" w:hAnsi="宋体" w:cs="宋体"/>
                <w:color w:val="auto"/>
                <w:szCs w:val="21"/>
                <w:highlight w:val="none"/>
              </w:rPr>
            </w:pPr>
          </w:p>
        </w:tc>
        <w:tc>
          <w:tcPr>
            <w:tcW w:w="1261" w:type="dxa"/>
            <w:vAlign w:val="top"/>
          </w:tcPr>
          <w:p>
            <w:pPr>
              <w:spacing w:line="440" w:lineRule="exact"/>
              <w:rPr>
                <w:rFonts w:ascii="宋体" w:hAnsi="宋体" w:cs="宋体"/>
                <w:color w:val="auto"/>
                <w:szCs w:val="21"/>
                <w:highlight w:val="none"/>
              </w:rPr>
            </w:pPr>
          </w:p>
        </w:tc>
        <w:tc>
          <w:tcPr>
            <w:tcW w:w="2296" w:type="dxa"/>
            <w:gridSpan w:val="2"/>
            <w:vAlign w:val="top"/>
          </w:tcPr>
          <w:p>
            <w:pPr>
              <w:spacing w:line="44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vAlign w:val="top"/>
          </w:tcPr>
          <w:p>
            <w:pPr>
              <w:spacing w:line="440" w:lineRule="exact"/>
              <w:rPr>
                <w:rFonts w:ascii="宋体" w:hAnsi="宋体" w:cs="宋体"/>
                <w:color w:val="auto"/>
                <w:szCs w:val="21"/>
                <w:highlight w:val="none"/>
              </w:rPr>
            </w:pPr>
          </w:p>
        </w:tc>
        <w:tc>
          <w:tcPr>
            <w:tcW w:w="3420" w:type="dxa"/>
            <w:gridSpan w:val="4"/>
            <w:vAlign w:val="top"/>
          </w:tcPr>
          <w:p>
            <w:pPr>
              <w:spacing w:line="440" w:lineRule="exact"/>
              <w:rPr>
                <w:rFonts w:ascii="宋体" w:hAnsi="宋体" w:cs="宋体"/>
                <w:color w:val="auto"/>
                <w:szCs w:val="21"/>
                <w:highlight w:val="none"/>
              </w:rPr>
            </w:pPr>
          </w:p>
        </w:tc>
        <w:tc>
          <w:tcPr>
            <w:tcW w:w="1261" w:type="dxa"/>
            <w:vAlign w:val="top"/>
          </w:tcPr>
          <w:p>
            <w:pPr>
              <w:spacing w:line="440" w:lineRule="exact"/>
              <w:rPr>
                <w:rFonts w:ascii="宋体" w:hAnsi="宋体" w:cs="宋体"/>
                <w:color w:val="auto"/>
                <w:szCs w:val="21"/>
                <w:highlight w:val="none"/>
              </w:rPr>
            </w:pPr>
          </w:p>
        </w:tc>
        <w:tc>
          <w:tcPr>
            <w:tcW w:w="2296" w:type="dxa"/>
            <w:gridSpan w:val="2"/>
            <w:vAlign w:val="top"/>
          </w:tcPr>
          <w:p>
            <w:pPr>
              <w:spacing w:line="44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vAlign w:val="top"/>
          </w:tcPr>
          <w:p>
            <w:pPr>
              <w:spacing w:line="440" w:lineRule="exact"/>
              <w:rPr>
                <w:rFonts w:ascii="宋体" w:hAnsi="宋体" w:cs="宋体"/>
                <w:color w:val="auto"/>
                <w:szCs w:val="21"/>
                <w:highlight w:val="none"/>
              </w:rPr>
            </w:pPr>
          </w:p>
        </w:tc>
        <w:tc>
          <w:tcPr>
            <w:tcW w:w="3420" w:type="dxa"/>
            <w:gridSpan w:val="4"/>
            <w:vAlign w:val="top"/>
          </w:tcPr>
          <w:p>
            <w:pPr>
              <w:spacing w:line="440" w:lineRule="exact"/>
              <w:rPr>
                <w:rFonts w:ascii="宋体" w:hAnsi="宋体" w:cs="宋体"/>
                <w:color w:val="auto"/>
                <w:szCs w:val="21"/>
                <w:highlight w:val="none"/>
              </w:rPr>
            </w:pPr>
          </w:p>
        </w:tc>
        <w:tc>
          <w:tcPr>
            <w:tcW w:w="1261" w:type="dxa"/>
            <w:vAlign w:val="top"/>
          </w:tcPr>
          <w:p>
            <w:pPr>
              <w:spacing w:line="440" w:lineRule="exact"/>
              <w:rPr>
                <w:rFonts w:ascii="宋体" w:hAnsi="宋体" w:cs="宋体"/>
                <w:color w:val="auto"/>
                <w:szCs w:val="21"/>
                <w:highlight w:val="none"/>
              </w:rPr>
            </w:pPr>
          </w:p>
        </w:tc>
        <w:tc>
          <w:tcPr>
            <w:tcW w:w="2296" w:type="dxa"/>
            <w:gridSpan w:val="2"/>
            <w:vAlign w:val="top"/>
          </w:tcPr>
          <w:p>
            <w:pPr>
              <w:spacing w:line="44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vAlign w:val="top"/>
          </w:tcPr>
          <w:p>
            <w:pPr>
              <w:spacing w:line="440" w:lineRule="exact"/>
              <w:rPr>
                <w:rFonts w:ascii="宋体" w:hAnsi="宋体" w:cs="宋体"/>
                <w:color w:val="auto"/>
                <w:szCs w:val="21"/>
                <w:highlight w:val="none"/>
              </w:rPr>
            </w:pPr>
          </w:p>
        </w:tc>
        <w:tc>
          <w:tcPr>
            <w:tcW w:w="3420" w:type="dxa"/>
            <w:gridSpan w:val="4"/>
            <w:vAlign w:val="top"/>
          </w:tcPr>
          <w:p>
            <w:pPr>
              <w:spacing w:line="440" w:lineRule="exact"/>
              <w:rPr>
                <w:rFonts w:ascii="宋体" w:hAnsi="宋体" w:cs="宋体"/>
                <w:color w:val="auto"/>
                <w:szCs w:val="21"/>
                <w:highlight w:val="none"/>
              </w:rPr>
            </w:pPr>
          </w:p>
        </w:tc>
        <w:tc>
          <w:tcPr>
            <w:tcW w:w="1261" w:type="dxa"/>
            <w:vAlign w:val="top"/>
          </w:tcPr>
          <w:p>
            <w:pPr>
              <w:spacing w:line="440" w:lineRule="exact"/>
              <w:rPr>
                <w:rFonts w:ascii="宋体" w:hAnsi="宋体" w:cs="宋体"/>
                <w:color w:val="auto"/>
                <w:szCs w:val="21"/>
                <w:highlight w:val="none"/>
              </w:rPr>
            </w:pPr>
          </w:p>
        </w:tc>
        <w:tc>
          <w:tcPr>
            <w:tcW w:w="2296" w:type="dxa"/>
            <w:gridSpan w:val="2"/>
            <w:vAlign w:val="top"/>
          </w:tcPr>
          <w:p>
            <w:pPr>
              <w:spacing w:line="44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vAlign w:val="top"/>
          </w:tcPr>
          <w:p>
            <w:pPr>
              <w:spacing w:line="440" w:lineRule="exact"/>
              <w:rPr>
                <w:rFonts w:ascii="宋体" w:hAnsi="宋体" w:cs="宋体"/>
                <w:color w:val="auto"/>
                <w:szCs w:val="21"/>
                <w:highlight w:val="none"/>
              </w:rPr>
            </w:pPr>
          </w:p>
        </w:tc>
        <w:tc>
          <w:tcPr>
            <w:tcW w:w="3420" w:type="dxa"/>
            <w:gridSpan w:val="4"/>
            <w:vAlign w:val="top"/>
          </w:tcPr>
          <w:p>
            <w:pPr>
              <w:spacing w:line="440" w:lineRule="exact"/>
              <w:rPr>
                <w:rFonts w:ascii="宋体" w:hAnsi="宋体" w:cs="宋体"/>
                <w:color w:val="auto"/>
                <w:szCs w:val="21"/>
                <w:highlight w:val="none"/>
              </w:rPr>
            </w:pPr>
          </w:p>
        </w:tc>
        <w:tc>
          <w:tcPr>
            <w:tcW w:w="1261" w:type="dxa"/>
            <w:vAlign w:val="top"/>
          </w:tcPr>
          <w:p>
            <w:pPr>
              <w:spacing w:line="440" w:lineRule="exact"/>
              <w:rPr>
                <w:rFonts w:ascii="宋体" w:hAnsi="宋体" w:cs="宋体"/>
                <w:color w:val="auto"/>
                <w:szCs w:val="21"/>
                <w:highlight w:val="none"/>
              </w:rPr>
            </w:pPr>
          </w:p>
        </w:tc>
        <w:tc>
          <w:tcPr>
            <w:tcW w:w="2296" w:type="dxa"/>
            <w:gridSpan w:val="2"/>
            <w:vAlign w:val="top"/>
          </w:tcPr>
          <w:p>
            <w:pPr>
              <w:spacing w:line="44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vAlign w:val="top"/>
          </w:tcPr>
          <w:p>
            <w:pPr>
              <w:spacing w:line="440" w:lineRule="exact"/>
              <w:rPr>
                <w:rFonts w:ascii="宋体" w:hAnsi="宋体" w:cs="宋体"/>
                <w:color w:val="auto"/>
                <w:szCs w:val="21"/>
                <w:highlight w:val="none"/>
              </w:rPr>
            </w:pPr>
          </w:p>
        </w:tc>
        <w:tc>
          <w:tcPr>
            <w:tcW w:w="3420" w:type="dxa"/>
            <w:gridSpan w:val="4"/>
            <w:vAlign w:val="top"/>
          </w:tcPr>
          <w:p>
            <w:pPr>
              <w:spacing w:line="440" w:lineRule="exact"/>
              <w:rPr>
                <w:rFonts w:ascii="宋体" w:hAnsi="宋体" w:cs="宋体"/>
                <w:color w:val="auto"/>
                <w:szCs w:val="21"/>
                <w:highlight w:val="none"/>
              </w:rPr>
            </w:pPr>
          </w:p>
        </w:tc>
        <w:tc>
          <w:tcPr>
            <w:tcW w:w="1261" w:type="dxa"/>
            <w:vAlign w:val="top"/>
          </w:tcPr>
          <w:p>
            <w:pPr>
              <w:spacing w:line="440" w:lineRule="exact"/>
              <w:rPr>
                <w:rFonts w:ascii="宋体" w:hAnsi="宋体" w:cs="宋体"/>
                <w:color w:val="auto"/>
                <w:szCs w:val="21"/>
                <w:highlight w:val="none"/>
              </w:rPr>
            </w:pPr>
          </w:p>
        </w:tc>
        <w:tc>
          <w:tcPr>
            <w:tcW w:w="2296" w:type="dxa"/>
            <w:gridSpan w:val="2"/>
            <w:vAlign w:val="top"/>
          </w:tcPr>
          <w:p>
            <w:pPr>
              <w:spacing w:line="440" w:lineRule="exact"/>
              <w:rPr>
                <w:rFonts w:ascii="宋体" w:hAnsi="宋体" w:cs="宋体"/>
                <w:color w:val="auto"/>
                <w:szCs w:val="21"/>
                <w:highlight w:val="none"/>
              </w:rPr>
            </w:pPr>
          </w:p>
        </w:tc>
      </w:tr>
    </w:tbl>
    <w:p>
      <w:pPr>
        <w:topLinePunct/>
        <w:spacing w:line="440" w:lineRule="exact"/>
        <w:rPr>
          <w:rFonts w:ascii="宋体" w:hAnsi="宋体" w:cs="宋体"/>
          <w:color w:val="auto"/>
          <w:sz w:val="27"/>
          <w:szCs w:val="27"/>
          <w:highlight w:val="none"/>
        </w:rPr>
      </w:pPr>
    </w:p>
    <w:p>
      <w:pPr>
        <w:pStyle w:val="4"/>
        <w:jc w:val="center"/>
        <w:rPr>
          <w:rFonts w:ascii="宋体" w:hAnsi="宋体" w:eastAsia="宋体" w:cs="宋体"/>
          <w:color w:val="auto"/>
          <w:highlight w:val="none"/>
        </w:rPr>
      </w:pPr>
      <w:bookmarkStart w:id="1313" w:name="_Toc466470838"/>
      <w:bookmarkStart w:id="1314" w:name="_Toc179632827"/>
      <w:bookmarkStart w:id="1315" w:name="_Toc152045807"/>
      <w:bookmarkStart w:id="1316" w:name="_Toc144974875"/>
      <w:bookmarkStart w:id="1317" w:name="_Toc152042596"/>
      <w:bookmarkStart w:id="1318" w:name="_Toc246997115"/>
      <w:bookmarkStart w:id="1319" w:name="_Toc246996372"/>
      <w:bookmarkStart w:id="1320" w:name="_Toc466470968"/>
      <w:bookmarkStart w:id="1321" w:name="_Toc247085890"/>
      <w:r>
        <w:rPr>
          <w:rFonts w:hint="eastAsia" w:ascii="宋体" w:hAnsi="宋体" w:eastAsia="宋体" w:cs="宋体"/>
          <w:color w:val="auto"/>
          <w:highlight w:val="none"/>
        </w:rPr>
        <w:t>八、资格审查资料</w:t>
      </w:r>
      <w:bookmarkEnd w:id="1313"/>
      <w:bookmarkEnd w:id="1314"/>
      <w:bookmarkEnd w:id="1315"/>
      <w:bookmarkEnd w:id="1316"/>
      <w:bookmarkEnd w:id="1317"/>
      <w:bookmarkEnd w:id="1318"/>
      <w:bookmarkEnd w:id="1319"/>
      <w:bookmarkEnd w:id="1320"/>
      <w:bookmarkEnd w:id="1321"/>
    </w:p>
    <w:p>
      <w:pPr>
        <w:pStyle w:val="5"/>
        <w:jc w:val="center"/>
        <w:rPr>
          <w:rFonts w:ascii="宋体" w:hAnsi="宋体" w:cs="宋体"/>
          <w:color w:val="auto"/>
          <w:highlight w:val="none"/>
        </w:rPr>
      </w:pPr>
      <w:bookmarkStart w:id="1322" w:name="_Toc466470839"/>
      <w:bookmarkStart w:id="1323" w:name="_Toc152045808"/>
      <w:bookmarkStart w:id="1324" w:name="_Toc179632828"/>
      <w:bookmarkStart w:id="1325" w:name="_Toc246996373"/>
      <w:bookmarkStart w:id="1326" w:name="_Toc246997116"/>
      <w:bookmarkStart w:id="1327" w:name="_Toc466470969"/>
      <w:bookmarkStart w:id="1328" w:name="_Toc152042597"/>
      <w:bookmarkStart w:id="1329" w:name="_Toc247085891"/>
      <w:bookmarkStart w:id="1330" w:name="_Toc144974876"/>
      <w:r>
        <w:rPr>
          <w:rFonts w:hint="eastAsia" w:ascii="宋体" w:hAnsi="宋体" w:cs="宋体"/>
          <w:color w:val="auto"/>
          <w:highlight w:val="none"/>
        </w:rPr>
        <w:t>（一）投标人基本情况表</w:t>
      </w:r>
      <w:bookmarkEnd w:id="1322"/>
      <w:bookmarkEnd w:id="1323"/>
      <w:bookmarkEnd w:id="1324"/>
      <w:bookmarkEnd w:id="1325"/>
      <w:bookmarkEnd w:id="1326"/>
      <w:bookmarkEnd w:id="1327"/>
      <w:bookmarkEnd w:id="1328"/>
      <w:bookmarkEnd w:id="1329"/>
      <w:bookmarkEnd w:id="1330"/>
    </w:p>
    <w:tbl>
      <w:tblPr>
        <w:tblStyle w:val="15"/>
        <w:tblW w:w="85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投标人名称</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8"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电 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传  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网 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组织结构</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4991" w:type="dxa"/>
            <w:gridSpan w:val="7"/>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企业资质等级</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注册资金</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highlight w:val="none"/>
              </w:rPr>
            </w:pPr>
            <w:r>
              <w:rPr>
                <w:rFonts w:hint="eastAsia" w:ascii="宋体" w:hAnsi="宋体" w:cs="宋体"/>
                <w:color w:val="auto"/>
                <w:szCs w:val="21"/>
                <w:highlight w:val="none"/>
              </w:rPr>
              <w:t>技  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1728" w:type="dxa"/>
            <w:tcBorders>
              <w:top w:val="single" w:color="auto" w:sz="4" w:space="0"/>
              <w:left w:val="single" w:color="auto" w:sz="4" w:space="0"/>
              <w:right w:val="single" w:color="auto" w:sz="4" w:space="0"/>
            </w:tcBorders>
            <w:vAlign w:val="center"/>
          </w:tcPr>
          <w:p>
            <w:pPr>
              <w:topLinePunct/>
              <w:spacing w:line="440" w:lineRule="exact"/>
              <w:ind w:firstLine="210" w:firstLineChars="100"/>
              <w:jc w:val="center"/>
              <w:rPr>
                <w:rFonts w:ascii="宋体" w:hAnsi="宋体" w:cs="宋体"/>
                <w:color w:val="auto"/>
                <w:szCs w:val="21"/>
                <w:highlight w:val="none"/>
              </w:rPr>
            </w:pPr>
            <w:r>
              <w:rPr>
                <w:rFonts w:hint="eastAsia" w:ascii="宋体" w:hAnsi="宋体" w:cs="宋体"/>
                <w:color w:val="auto"/>
                <w:szCs w:val="21"/>
                <w:highlight w:val="none"/>
              </w:rPr>
              <w:t>经营范围</w:t>
            </w:r>
          </w:p>
        </w:tc>
        <w:tc>
          <w:tcPr>
            <w:tcW w:w="6840" w:type="dxa"/>
            <w:gridSpan w:val="9"/>
            <w:tcBorders>
              <w:top w:val="single" w:color="auto" w:sz="4" w:space="0"/>
              <w:left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p>
            <w:pPr>
              <w:topLinePunct/>
              <w:spacing w:line="440" w:lineRule="exact"/>
              <w:jc w:val="center"/>
              <w:rPr>
                <w:rFonts w:ascii="宋体" w:hAnsi="宋体" w:cs="宋体"/>
                <w:color w:val="auto"/>
                <w:szCs w:val="21"/>
                <w:highlight w:val="none"/>
              </w:rPr>
            </w:pPr>
          </w:p>
          <w:p>
            <w:pPr>
              <w:topLinePunct/>
              <w:spacing w:line="440" w:lineRule="exact"/>
              <w:jc w:val="center"/>
              <w:rPr>
                <w:rFonts w:ascii="宋体" w:hAnsi="宋体" w:cs="宋体"/>
                <w:color w:val="auto"/>
                <w:szCs w:val="21"/>
                <w:highlight w:val="none"/>
              </w:rPr>
            </w:pPr>
          </w:p>
          <w:p>
            <w:pPr>
              <w:topLinePunct/>
              <w:spacing w:line="440" w:lineRule="exact"/>
              <w:jc w:val="center"/>
              <w:rPr>
                <w:rFonts w:ascii="宋体" w:hAnsi="宋体" w:cs="宋体"/>
                <w:color w:val="auto"/>
                <w:szCs w:val="21"/>
                <w:highlight w:val="none"/>
              </w:rPr>
            </w:pPr>
          </w:p>
          <w:p>
            <w:pPr>
              <w:topLinePunct/>
              <w:spacing w:line="44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备注</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Cs w:val="21"/>
                <w:highlight w:val="none"/>
              </w:rPr>
            </w:pPr>
          </w:p>
        </w:tc>
      </w:tr>
    </w:tbl>
    <w:p>
      <w:pPr>
        <w:topLinePunct/>
        <w:spacing w:line="440" w:lineRule="exact"/>
        <w:rPr>
          <w:rFonts w:ascii="宋体" w:hAnsi="宋体" w:cs="宋体"/>
          <w:color w:val="auto"/>
          <w:sz w:val="20"/>
          <w:highlight w:val="none"/>
        </w:rPr>
      </w:pPr>
    </w:p>
    <w:p>
      <w:pPr>
        <w:spacing w:line="440" w:lineRule="exact"/>
        <w:rPr>
          <w:rFonts w:ascii="宋体" w:hAnsi="宋体" w:cs="宋体"/>
          <w:color w:val="auto"/>
          <w:sz w:val="20"/>
          <w:szCs w:val="20"/>
          <w:highlight w:val="none"/>
        </w:rPr>
      </w:pPr>
      <w:bookmarkStart w:id="1331" w:name="_Toc152042602"/>
      <w:bookmarkStart w:id="1332" w:name="_Toc144974881"/>
      <w:bookmarkStart w:id="1333" w:name="_Toc179632833"/>
      <w:bookmarkStart w:id="1334" w:name="_Toc152045813"/>
    </w:p>
    <w:p>
      <w:pPr>
        <w:pStyle w:val="5"/>
        <w:numPr>
          <w:ilvl w:val="0"/>
          <w:numId w:val="5"/>
        </w:numPr>
        <w:jc w:val="center"/>
        <w:rPr>
          <w:rFonts w:ascii="宋体" w:hAnsi="宋体" w:cs="宋体"/>
          <w:color w:val="auto"/>
          <w:highlight w:val="none"/>
        </w:rPr>
      </w:pPr>
      <w:bookmarkStart w:id="1335" w:name="_Toc152045809"/>
      <w:bookmarkStart w:id="1336" w:name="_Toc265953295"/>
      <w:bookmarkStart w:id="1337" w:name="_Toc247514301"/>
      <w:bookmarkStart w:id="1338" w:name="_Toc144974877"/>
      <w:bookmarkStart w:id="1339" w:name="_Toc247527849"/>
      <w:bookmarkStart w:id="1340" w:name="_Toc466470970"/>
      <w:bookmarkStart w:id="1341" w:name="_Toc152042598"/>
      <w:bookmarkStart w:id="1342" w:name="_Toc466470840"/>
      <w:r>
        <w:rPr>
          <w:rFonts w:hint="eastAsia" w:ascii="宋体" w:hAnsi="宋体" w:cs="宋体"/>
          <w:color w:val="auto"/>
          <w:highlight w:val="none"/>
        </w:rPr>
        <w:t>近年财务状况表</w:t>
      </w:r>
      <w:bookmarkEnd w:id="1335"/>
      <w:bookmarkEnd w:id="1336"/>
      <w:bookmarkEnd w:id="1337"/>
      <w:bookmarkEnd w:id="1338"/>
      <w:bookmarkEnd w:id="1339"/>
      <w:bookmarkEnd w:id="1340"/>
      <w:bookmarkEnd w:id="1341"/>
      <w:bookmarkEnd w:id="1342"/>
    </w:p>
    <w:p>
      <w:pPr>
        <w:topLinePunct/>
        <w:spacing w:line="440" w:lineRule="exact"/>
        <w:jc w:val="center"/>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3"/>
          <w:szCs w:val="23"/>
          <w:highlight w:val="none"/>
        </w:rPr>
      </w:pPr>
    </w:p>
    <w:p>
      <w:pPr>
        <w:pStyle w:val="5"/>
        <w:jc w:val="center"/>
        <w:rPr>
          <w:rFonts w:ascii="宋体" w:hAnsi="宋体" w:cs="宋体"/>
          <w:color w:val="auto"/>
          <w:highlight w:val="none"/>
        </w:rPr>
      </w:pPr>
      <w:bookmarkStart w:id="1343" w:name="_Toc247527850"/>
      <w:bookmarkStart w:id="1344" w:name="_Toc466470971"/>
      <w:bookmarkStart w:id="1345" w:name="_Toc152045810"/>
      <w:bookmarkStart w:id="1346" w:name="_Toc247514302"/>
      <w:bookmarkStart w:id="1347" w:name="_Toc265953296"/>
      <w:bookmarkStart w:id="1348" w:name="_Toc144974878"/>
      <w:bookmarkStart w:id="1349" w:name="_Toc466470841"/>
      <w:bookmarkStart w:id="1350" w:name="_Toc152042599"/>
      <w:r>
        <w:rPr>
          <w:rFonts w:hint="eastAsia" w:ascii="宋体" w:hAnsi="宋体" w:cs="宋体"/>
          <w:color w:val="auto"/>
          <w:highlight w:val="none"/>
        </w:rPr>
        <w:t>（三）近年完成的类似项目情况表</w:t>
      </w:r>
      <w:bookmarkEnd w:id="1343"/>
      <w:bookmarkEnd w:id="1344"/>
      <w:bookmarkEnd w:id="1345"/>
      <w:bookmarkEnd w:id="1346"/>
      <w:bookmarkEnd w:id="1347"/>
      <w:bookmarkEnd w:id="1348"/>
      <w:bookmarkEnd w:id="1349"/>
      <w:bookmarkEnd w:id="1350"/>
    </w:p>
    <w:p>
      <w:pPr>
        <w:spacing w:line="440" w:lineRule="exact"/>
        <w:jc w:val="center"/>
        <w:rPr>
          <w:rFonts w:ascii="宋体" w:hAnsi="宋体" w:cs="宋体"/>
          <w:color w:val="auto"/>
          <w:sz w:val="23"/>
          <w:szCs w:val="23"/>
          <w:highlight w:val="none"/>
        </w:rPr>
      </w:pP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69" w:type="dxa"/>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6253" w:type="dxa"/>
            <w:vAlign w:val="top"/>
          </w:tcPr>
          <w:p>
            <w:pPr>
              <w:topLinePunct/>
              <w:spacing w:line="44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69" w:type="dxa"/>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项目所在地</w:t>
            </w:r>
          </w:p>
        </w:tc>
        <w:tc>
          <w:tcPr>
            <w:tcW w:w="6253" w:type="dxa"/>
            <w:vAlign w:val="top"/>
          </w:tcPr>
          <w:p>
            <w:pPr>
              <w:topLinePunct/>
              <w:spacing w:line="44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69" w:type="dxa"/>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发包人名称</w:t>
            </w:r>
          </w:p>
        </w:tc>
        <w:tc>
          <w:tcPr>
            <w:tcW w:w="6253" w:type="dxa"/>
            <w:vAlign w:val="top"/>
          </w:tcPr>
          <w:p>
            <w:pPr>
              <w:topLinePunct/>
              <w:spacing w:line="44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69" w:type="dxa"/>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发包人地址</w:t>
            </w:r>
          </w:p>
        </w:tc>
        <w:tc>
          <w:tcPr>
            <w:tcW w:w="6253" w:type="dxa"/>
            <w:vAlign w:val="top"/>
          </w:tcPr>
          <w:p>
            <w:pPr>
              <w:topLinePunct/>
              <w:spacing w:line="44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69" w:type="dxa"/>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发包人电话</w:t>
            </w:r>
          </w:p>
        </w:tc>
        <w:tc>
          <w:tcPr>
            <w:tcW w:w="6253" w:type="dxa"/>
            <w:vAlign w:val="top"/>
          </w:tcPr>
          <w:p>
            <w:pPr>
              <w:topLinePunct/>
              <w:spacing w:line="44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69" w:type="dxa"/>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合同价格</w:t>
            </w:r>
          </w:p>
        </w:tc>
        <w:tc>
          <w:tcPr>
            <w:tcW w:w="6253" w:type="dxa"/>
            <w:vAlign w:val="top"/>
          </w:tcPr>
          <w:p>
            <w:pPr>
              <w:topLinePunct/>
              <w:spacing w:line="44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69" w:type="dxa"/>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开工日期</w:t>
            </w:r>
          </w:p>
        </w:tc>
        <w:tc>
          <w:tcPr>
            <w:tcW w:w="6253" w:type="dxa"/>
            <w:vAlign w:val="top"/>
          </w:tcPr>
          <w:p>
            <w:pPr>
              <w:topLinePunct/>
              <w:spacing w:line="44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269" w:type="dxa"/>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highlight w:val="none"/>
              </w:rPr>
              <w:t>竣工</w:t>
            </w:r>
            <w:r>
              <w:rPr>
                <w:rFonts w:hint="eastAsia" w:ascii="宋体" w:hAnsi="宋体" w:cs="宋体"/>
                <w:color w:val="auto"/>
                <w:szCs w:val="21"/>
                <w:highlight w:val="none"/>
              </w:rPr>
              <w:t>日期</w:t>
            </w:r>
          </w:p>
        </w:tc>
        <w:tc>
          <w:tcPr>
            <w:tcW w:w="6253" w:type="dxa"/>
            <w:vAlign w:val="top"/>
          </w:tcPr>
          <w:p>
            <w:pPr>
              <w:topLinePunct/>
              <w:spacing w:line="44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69" w:type="dxa"/>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承担的工作</w:t>
            </w:r>
          </w:p>
        </w:tc>
        <w:tc>
          <w:tcPr>
            <w:tcW w:w="6253" w:type="dxa"/>
            <w:vAlign w:val="top"/>
          </w:tcPr>
          <w:p>
            <w:pPr>
              <w:topLinePunct/>
              <w:spacing w:line="44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69" w:type="dxa"/>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工程质量</w:t>
            </w:r>
          </w:p>
        </w:tc>
        <w:tc>
          <w:tcPr>
            <w:tcW w:w="6253" w:type="dxa"/>
            <w:vAlign w:val="top"/>
          </w:tcPr>
          <w:p>
            <w:pPr>
              <w:topLinePunct/>
              <w:spacing w:line="44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269" w:type="dxa"/>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项目经理</w:t>
            </w:r>
          </w:p>
        </w:tc>
        <w:tc>
          <w:tcPr>
            <w:tcW w:w="6253" w:type="dxa"/>
            <w:vAlign w:val="top"/>
          </w:tcPr>
          <w:p>
            <w:pPr>
              <w:topLinePunct/>
              <w:spacing w:line="44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69" w:type="dxa"/>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技术负责人</w:t>
            </w:r>
          </w:p>
        </w:tc>
        <w:tc>
          <w:tcPr>
            <w:tcW w:w="6253" w:type="dxa"/>
            <w:vAlign w:val="top"/>
          </w:tcPr>
          <w:p>
            <w:pPr>
              <w:topLinePunct/>
              <w:spacing w:line="44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69" w:type="dxa"/>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项目描述</w:t>
            </w:r>
          </w:p>
        </w:tc>
        <w:tc>
          <w:tcPr>
            <w:tcW w:w="6253" w:type="dxa"/>
            <w:vAlign w:val="top"/>
          </w:tcPr>
          <w:p>
            <w:pPr>
              <w:topLinePunct/>
              <w:spacing w:line="440" w:lineRule="exact"/>
              <w:rPr>
                <w:rFonts w:ascii="宋体" w:hAnsi="宋体" w:cs="宋体"/>
                <w:color w:val="auto"/>
                <w:szCs w:val="21"/>
                <w:highlight w:val="none"/>
              </w:rPr>
            </w:pPr>
          </w:p>
          <w:p>
            <w:pPr>
              <w:topLinePunct/>
              <w:spacing w:line="440" w:lineRule="exact"/>
              <w:rPr>
                <w:rFonts w:ascii="宋体" w:hAnsi="宋体" w:cs="宋体"/>
                <w:color w:val="auto"/>
                <w:szCs w:val="21"/>
                <w:highlight w:val="none"/>
              </w:rPr>
            </w:pPr>
          </w:p>
          <w:p>
            <w:pPr>
              <w:topLinePunct/>
              <w:spacing w:line="440" w:lineRule="exact"/>
              <w:rPr>
                <w:rFonts w:ascii="宋体" w:hAnsi="宋体" w:cs="宋体"/>
                <w:color w:val="auto"/>
                <w:szCs w:val="21"/>
                <w:highlight w:val="none"/>
              </w:rPr>
            </w:pPr>
          </w:p>
          <w:p>
            <w:pPr>
              <w:topLinePunct/>
              <w:spacing w:line="440" w:lineRule="exact"/>
              <w:rPr>
                <w:rFonts w:ascii="宋体" w:hAnsi="宋体" w:cs="宋体"/>
                <w:color w:val="auto"/>
                <w:szCs w:val="21"/>
                <w:highlight w:val="none"/>
              </w:rPr>
            </w:pPr>
          </w:p>
          <w:p>
            <w:pPr>
              <w:topLinePunct/>
              <w:spacing w:line="440" w:lineRule="exact"/>
              <w:rPr>
                <w:rFonts w:ascii="宋体" w:hAnsi="宋体" w:cs="宋体"/>
                <w:color w:val="auto"/>
                <w:szCs w:val="21"/>
                <w:highlight w:val="none"/>
              </w:rPr>
            </w:pPr>
          </w:p>
          <w:p>
            <w:pPr>
              <w:topLinePunct/>
              <w:spacing w:line="440" w:lineRule="exact"/>
              <w:rPr>
                <w:rFonts w:ascii="宋体" w:hAnsi="宋体" w:cs="宋体"/>
                <w:color w:val="auto"/>
                <w:szCs w:val="21"/>
                <w:highlight w:val="none"/>
              </w:rPr>
            </w:pPr>
          </w:p>
          <w:p>
            <w:pPr>
              <w:topLinePunct/>
              <w:spacing w:line="44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69" w:type="dxa"/>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备注</w:t>
            </w:r>
          </w:p>
        </w:tc>
        <w:tc>
          <w:tcPr>
            <w:tcW w:w="6253" w:type="dxa"/>
            <w:vAlign w:val="top"/>
          </w:tcPr>
          <w:p>
            <w:pPr>
              <w:topLinePunct/>
              <w:spacing w:line="440" w:lineRule="exact"/>
              <w:rPr>
                <w:rFonts w:ascii="宋体" w:hAnsi="宋体" w:cs="宋体"/>
                <w:color w:val="auto"/>
                <w:szCs w:val="21"/>
                <w:highlight w:val="none"/>
              </w:rPr>
            </w:pPr>
          </w:p>
        </w:tc>
      </w:tr>
    </w:tbl>
    <w:p>
      <w:pPr>
        <w:spacing w:line="440" w:lineRule="exact"/>
        <w:rPr>
          <w:rFonts w:ascii="宋体" w:hAnsi="宋体" w:cs="宋体"/>
          <w:color w:val="auto"/>
          <w:sz w:val="23"/>
          <w:szCs w:val="23"/>
          <w:highlight w:val="none"/>
        </w:rPr>
      </w:pPr>
    </w:p>
    <w:p>
      <w:pPr>
        <w:pStyle w:val="5"/>
        <w:jc w:val="center"/>
        <w:rPr>
          <w:rFonts w:ascii="宋体" w:hAnsi="宋体" w:cs="宋体"/>
          <w:color w:val="auto"/>
          <w:highlight w:val="none"/>
        </w:rPr>
      </w:pPr>
      <w:bookmarkStart w:id="1351" w:name="_Toc265953297"/>
      <w:bookmarkStart w:id="1352" w:name="_Toc152042600"/>
      <w:bookmarkStart w:id="1353" w:name="_Toc466470972"/>
      <w:bookmarkStart w:id="1354" w:name="_Toc466470842"/>
      <w:bookmarkStart w:id="1355" w:name="_Toc144974879"/>
      <w:bookmarkStart w:id="1356" w:name="_Toc152045811"/>
      <w:bookmarkStart w:id="1357" w:name="_Toc247527851"/>
      <w:bookmarkStart w:id="1358" w:name="_Toc247514303"/>
      <w:r>
        <w:rPr>
          <w:rFonts w:hint="eastAsia" w:ascii="宋体" w:hAnsi="宋体" w:cs="宋体"/>
          <w:color w:val="auto"/>
          <w:highlight w:val="none"/>
        </w:rPr>
        <w:t>（四）正在实施的和新承接的项目情况表</w:t>
      </w:r>
      <w:bookmarkEnd w:id="1351"/>
      <w:bookmarkEnd w:id="1352"/>
      <w:bookmarkEnd w:id="1353"/>
      <w:bookmarkEnd w:id="1354"/>
      <w:bookmarkEnd w:id="1355"/>
      <w:bookmarkEnd w:id="1356"/>
      <w:bookmarkEnd w:id="1357"/>
      <w:bookmarkEnd w:id="1358"/>
    </w:p>
    <w:p>
      <w:pPr>
        <w:spacing w:line="440" w:lineRule="exact"/>
        <w:rPr>
          <w:rFonts w:ascii="宋体" w:hAnsi="宋体" w:cs="宋体"/>
          <w:color w:val="auto"/>
          <w:sz w:val="20"/>
          <w:szCs w:val="20"/>
          <w:highlight w:val="none"/>
        </w:rPr>
      </w:pP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6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119" w:type="dxa"/>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6403" w:type="dxa"/>
            <w:vAlign w:val="top"/>
          </w:tcPr>
          <w:p>
            <w:pPr>
              <w:topLinePunct/>
              <w:spacing w:line="44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119" w:type="dxa"/>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项目所在地</w:t>
            </w:r>
          </w:p>
        </w:tc>
        <w:tc>
          <w:tcPr>
            <w:tcW w:w="6403" w:type="dxa"/>
            <w:vAlign w:val="top"/>
          </w:tcPr>
          <w:p>
            <w:pPr>
              <w:topLinePunct/>
              <w:spacing w:line="44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19" w:type="dxa"/>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发包人名称</w:t>
            </w:r>
          </w:p>
        </w:tc>
        <w:tc>
          <w:tcPr>
            <w:tcW w:w="6403" w:type="dxa"/>
            <w:vAlign w:val="top"/>
          </w:tcPr>
          <w:p>
            <w:pPr>
              <w:topLinePunct/>
              <w:spacing w:line="44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119" w:type="dxa"/>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发包人地址</w:t>
            </w:r>
          </w:p>
        </w:tc>
        <w:tc>
          <w:tcPr>
            <w:tcW w:w="6403" w:type="dxa"/>
            <w:vAlign w:val="top"/>
          </w:tcPr>
          <w:p>
            <w:pPr>
              <w:topLinePunct/>
              <w:spacing w:line="44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119" w:type="dxa"/>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发包人电话</w:t>
            </w:r>
          </w:p>
        </w:tc>
        <w:tc>
          <w:tcPr>
            <w:tcW w:w="6403" w:type="dxa"/>
            <w:vAlign w:val="top"/>
          </w:tcPr>
          <w:p>
            <w:pPr>
              <w:topLinePunct/>
              <w:spacing w:line="44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119" w:type="dxa"/>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签约合同价</w:t>
            </w:r>
          </w:p>
        </w:tc>
        <w:tc>
          <w:tcPr>
            <w:tcW w:w="6403" w:type="dxa"/>
            <w:vAlign w:val="top"/>
          </w:tcPr>
          <w:p>
            <w:pPr>
              <w:topLinePunct/>
              <w:spacing w:line="44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119" w:type="dxa"/>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开工日期</w:t>
            </w:r>
          </w:p>
        </w:tc>
        <w:tc>
          <w:tcPr>
            <w:tcW w:w="6403" w:type="dxa"/>
            <w:vAlign w:val="top"/>
          </w:tcPr>
          <w:p>
            <w:pPr>
              <w:topLinePunct/>
              <w:spacing w:line="44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119" w:type="dxa"/>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计划</w:t>
            </w:r>
            <w:r>
              <w:rPr>
                <w:rFonts w:hint="eastAsia" w:ascii="宋体" w:hAnsi="宋体" w:cs="宋体"/>
                <w:color w:val="auto"/>
                <w:highlight w:val="none"/>
              </w:rPr>
              <w:t>竣工</w:t>
            </w:r>
            <w:r>
              <w:rPr>
                <w:rFonts w:hint="eastAsia" w:ascii="宋体" w:hAnsi="宋体" w:cs="宋体"/>
                <w:color w:val="auto"/>
                <w:szCs w:val="21"/>
                <w:highlight w:val="none"/>
              </w:rPr>
              <w:t>日期</w:t>
            </w:r>
          </w:p>
        </w:tc>
        <w:tc>
          <w:tcPr>
            <w:tcW w:w="6403" w:type="dxa"/>
            <w:vAlign w:val="top"/>
          </w:tcPr>
          <w:p>
            <w:pPr>
              <w:topLinePunct/>
              <w:spacing w:line="44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119" w:type="dxa"/>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承担的工作</w:t>
            </w:r>
          </w:p>
        </w:tc>
        <w:tc>
          <w:tcPr>
            <w:tcW w:w="6403" w:type="dxa"/>
            <w:vAlign w:val="top"/>
          </w:tcPr>
          <w:p>
            <w:pPr>
              <w:topLinePunct/>
              <w:spacing w:line="44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119" w:type="dxa"/>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工程质量</w:t>
            </w:r>
          </w:p>
        </w:tc>
        <w:tc>
          <w:tcPr>
            <w:tcW w:w="6403" w:type="dxa"/>
            <w:vAlign w:val="top"/>
          </w:tcPr>
          <w:p>
            <w:pPr>
              <w:topLinePunct/>
              <w:spacing w:line="44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119" w:type="dxa"/>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项目经理</w:t>
            </w:r>
          </w:p>
        </w:tc>
        <w:tc>
          <w:tcPr>
            <w:tcW w:w="6403" w:type="dxa"/>
            <w:vAlign w:val="top"/>
          </w:tcPr>
          <w:p>
            <w:pPr>
              <w:topLinePunct/>
              <w:spacing w:line="44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119" w:type="dxa"/>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技术负责人</w:t>
            </w:r>
          </w:p>
        </w:tc>
        <w:tc>
          <w:tcPr>
            <w:tcW w:w="6403" w:type="dxa"/>
            <w:vAlign w:val="top"/>
          </w:tcPr>
          <w:p>
            <w:pPr>
              <w:topLinePunct/>
              <w:spacing w:line="44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119" w:type="dxa"/>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项目描述</w:t>
            </w:r>
          </w:p>
        </w:tc>
        <w:tc>
          <w:tcPr>
            <w:tcW w:w="6403" w:type="dxa"/>
            <w:vAlign w:val="top"/>
          </w:tcPr>
          <w:p>
            <w:pPr>
              <w:topLinePunct/>
              <w:spacing w:line="440" w:lineRule="exact"/>
              <w:rPr>
                <w:rFonts w:ascii="宋体" w:hAnsi="宋体" w:cs="宋体"/>
                <w:color w:val="auto"/>
                <w:szCs w:val="21"/>
                <w:highlight w:val="none"/>
              </w:rPr>
            </w:pPr>
          </w:p>
          <w:p>
            <w:pPr>
              <w:topLinePunct/>
              <w:spacing w:line="440" w:lineRule="exact"/>
              <w:rPr>
                <w:rFonts w:ascii="宋体" w:hAnsi="宋体" w:cs="宋体"/>
                <w:color w:val="auto"/>
                <w:szCs w:val="21"/>
                <w:highlight w:val="none"/>
              </w:rPr>
            </w:pPr>
          </w:p>
          <w:p>
            <w:pPr>
              <w:topLinePunct/>
              <w:spacing w:line="440" w:lineRule="exact"/>
              <w:rPr>
                <w:rFonts w:ascii="宋体" w:hAnsi="宋体" w:cs="宋体"/>
                <w:color w:val="auto"/>
                <w:szCs w:val="21"/>
                <w:highlight w:val="none"/>
              </w:rPr>
            </w:pPr>
          </w:p>
          <w:p>
            <w:pPr>
              <w:topLinePunct/>
              <w:spacing w:line="440" w:lineRule="exact"/>
              <w:rPr>
                <w:rFonts w:ascii="宋体" w:hAnsi="宋体" w:cs="宋体"/>
                <w:color w:val="auto"/>
                <w:szCs w:val="21"/>
                <w:highlight w:val="none"/>
              </w:rPr>
            </w:pPr>
          </w:p>
          <w:p>
            <w:pPr>
              <w:topLinePunct/>
              <w:spacing w:line="440" w:lineRule="exact"/>
              <w:rPr>
                <w:rFonts w:ascii="宋体" w:hAnsi="宋体" w:cs="宋体"/>
                <w:color w:val="auto"/>
                <w:szCs w:val="21"/>
                <w:highlight w:val="none"/>
              </w:rPr>
            </w:pPr>
          </w:p>
          <w:p>
            <w:pPr>
              <w:topLinePunct/>
              <w:spacing w:line="440" w:lineRule="exact"/>
              <w:rPr>
                <w:rFonts w:ascii="宋体" w:hAnsi="宋体" w:cs="宋体"/>
                <w:color w:val="auto"/>
                <w:szCs w:val="21"/>
                <w:highlight w:val="none"/>
              </w:rPr>
            </w:pPr>
          </w:p>
          <w:p>
            <w:pPr>
              <w:topLinePunct/>
              <w:spacing w:line="44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119" w:type="dxa"/>
            <w:vAlign w:val="center"/>
          </w:tcPr>
          <w:p>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备注</w:t>
            </w:r>
          </w:p>
        </w:tc>
        <w:tc>
          <w:tcPr>
            <w:tcW w:w="6403" w:type="dxa"/>
            <w:vAlign w:val="top"/>
          </w:tcPr>
          <w:p>
            <w:pPr>
              <w:topLinePunct/>
              <w:spacing w:line="440" w:lineRule="exact"/>
              <w:rPr>
                <w:rFonts w:ascii="宋体" w:hAnsi="宋体" w:cs="宋体"/>
                <w:color w:val="auto"/>
                <w:szCs w:val="21"/>
                <w:highlight w:val="none"/>
              </w:rPr>
            </w:pPr>
          </w:p>
        </w:tc>
      </w:tr>
    </w:tbl>
    <w:p>
      <w:pPr>
        <w:spacing w:line="440" w:lineRule="exact"/>
        <w:rPr>
          <w:rFonts w:ascii="宋体" w:hAnsi="宋体" w:cs="宋体"/>
          <w:color w:val="auto"/>
          <w:sz w:val="20"/>
          <w:szCs w:val="20"/>
          <w:highlight w:val="none"/>
        </w:rPr>
      </w:pPr>
    </w:p>
    <w:p>
      <w:pPr>
        <w:spacing w:line="440" w:lineRule="exact"/>
        <w:ind w:firstLine="500" w:firstLineChars="250"/>
        <w:jc w:val="center"/>
        <w:rPr>
          <w:rFonts w:ascii="宋体" w:hAnsi="宋体" w:cs="宋体"/>
          <w:color w:val="auto"/>
          <w:sz w:val="20"/>
          <w:szCs w:val="20"/>
          <w:highlight w:val="none"/>
        </w:rPr>
      </w:pPr>
    </w:p>
    <w:bookmarkEnd w:id="1331"/>
    <w:bookmarkEnd w:id="1332"/>
    <w:bookmarkEnd w:id="1333"/>
    <w:bookmarkEnd w:id="1334"/>
    <w:p>
      <w:pPr>
        <w:rPr>
          <w:rFonts w:ascii="宋体" w:hAnsi="宋体" w:cs="宋体"/>
          <w:color w:val="auto"/>
          <w:kern w:val="0"/>
          <w:highlight w:val="none"/>
        </w:rPr>
      </w:pPr>
    </w:p>
    <w:p>
      <w:pPr>
        <w:pStyle w:val="5"/>
        <w:jc w:val="center"/>
        <w:rPr>
          <w:rFonts w:ascii="宋体" w:hAnsi="宋体" w:cs="宋体"/>
          <w:color w:val="auto"/>
          <w:highlight w:val="none"/>
        </w:rPr>
      </w:pPr>
      <w:bookmarkStart w:id="1359" w:name="_Toc466470974"/>
      <w:bookmarkStart w:id="1360" w:name="_Toc466470844"/>
      <w:r>
        <w:rPr>
          <w:rFonts w:hint="eastAsia" w:ascii="宋体" w:hAnsi="宋体" w:cs="宋体"/>
          <w:color w:val="auto"/>
          <w:highlight w:val="none"/>
        </w:rPr>
        <w:t>（五）其他资格审查资料</w:t>
      </w:r>
      <w:bookmarkEnd w:id="1359"/>
      <w:bookmarkEnd w:id="1360"/>
    </w:p>
    <w:p>
      <w:pPr>
        <w:autoSpaceDE w:val="0"/>
        <w:autoSpaceDN w:val="0"/>
        <w:spacing w:line="360" w:lineRule="auto"/>
        <w:jc w:val="center"/>
        <w:rPr>
          <w:rFonts w:ascii="宋体" w:hAnsi="宋体" w:cs="宋体"/>
          <w:b/>
          <w:color w:val="auto"/>
          <w:kern w:val="0"/>
          <w:highlight w:val="none"/>
        </w:rPr>
      </w:pPr>
      <w:r>
        <w:rPr>
          <w:rFonts w:hint="eastAsia" w:ascii="宋体" w:hAnsi="宋体" w:cs="宋体"/>
          <w:b/>
          <w:color w:val="auto"/>
          <w:kern w:val="0"/>
          <w:highlight w:val="none"/>
        </w:rPr>
        <w:t>投标人须知前附表3.1.1“构成投标文件的其他材料”</w:t>
      </w:r>
    </w:p>
    <w:p>
      <w:pPr>
        <w:autoSpaceDE w:val="0"/>
        <w:autoSpaceDN w:val="0"/>
        <w:spacing w:line="360" w:lineRule="auto"/>
        <w:jc w:val="left"/>
        <w:rPr>
          <w:rFonts w:ascii="宋体" w:hAnsi="宋体" w:cs="宋体"/>
          <w:b/>
          <w:color w:val="auto"/>
          <w:kern w:val="0"/>
          <w:highlight w:val="none"/>
        </w:rPr>
      </w:pPr>
      <w:r>
        <w:rPr>
          <w:rFonts w:hint="eastAsia" w:ascii="宋体" w:hAnsi="宋体" w:cs="宋体"/>
          <w:b/>
          <w:color w:val="auto"/>
          <w:kern w:val="0"/>
          <w:highlight w:val="none"/>
        </w:rPr>
        <w:t>1.出具的项目经理、五大员的劳动关系证明</w:t>
      </w:r>
    </w:p>
    <w:p>
      <w:pPr>
        <w:autoSpaceDE w:val="0"/>
        <w:autoSpaceDN w:val="0"/>
        <w:spacing w:line="360" w:lineRule="auto"/>
        <w:jc w:val="left"/>
        <w:rPr>
          <w:rFonts w:ascii="宋体" w:hAnsi="宋体" w:cs="宋体"/>
          <w:b/>
          <w:color w:val="auto"/>
          <w:kern w:val="0"/>
          <w:highlight w:val="none"/>
        </w:rPr>
      </w:pPr>
      <w:r>
        <w:rPr>
          <w:rFonts w:hint="eastAsia" w:ascii="宋体" w:hAnsi="宋体" w:cs="宋体"/>
          <w:b/>
          <w:color w:val="auto"/>
          <w:kern w:val="0"/>
          <w:highlight w:val="none"/>
        </w:rPr>
        <w:t>2.不拖欠农民工工资的承诺（格式自拟，内容符合招标文件第二章前附表9.12的要求）</w:t>
      </w:r>
    </w:p>
    <w:p>
      <w:pPr>
        <w:autoSpaceDE w:val="0"/>
        <w:autoSpaceDN w:val="0"/>
        <w:spacing w:line="360" w:lineRule="auto"/>
        <w:jc w:val="left"/>
        <w:rPr>
          <w:rFonts w:ascii="宋体" w:hAnsi="宋体" w:cs="宋体"/>
          <w:b/>
          <w:color w:val="auto"/>
          <w:sz w:val="22"/>
          <w:szCs w:val="22"/>
          <w:highlight w:val="none"/>
        </w:rPr>
      </w:pPr>
      <w:r>
        <w:rPr>
          <w:rFonts w:hint="eastAsia" w:ascii="宋体" w:hAnsi="宋体" w:cs="宋体"/>
          <w:b/>
          <w:color w:val="auto"/>
          <w:sz w:val="22"/>
          <w:szCs w:val="22"/>
          <w:highlight w:val="none"/>
        </w:rPr>
        <w:t>3.近三年内是否被法院列入过失信被执行人的情况说明（格式自拟，内容符合招标文件第二章前附表9.12的要求）。</w:t>
      </w:r>
    </w:p>
    <w:p>
      <w:pPr>
        <w:autoSpaceDE w:val="0"/>
        <w:autoSpaceDN w:val="0"/>
        <w:spacing w:line="360" w:lineRule="auto"/>
        <w:jc w:val="left"/>
        <w:rPr>
          <w:rFonts w:ascii="宋体" w:hAnsi="宋体" w:cs="宋体"/>
          <w:b/>
          <w:color w:val="auto"/>
          <w:sz w:val="22"/>
          <w:szCs w:val="22"/>
          <w:highlight w:val="none"/>
        </w:rPr>
      </w:pPr>
      <w:r>
        <w:rPr>
          <w:rFonts w:hint="eastAsia" w:ascii="宋体" w:hAnsi="宋体" w:cs="宋体"/>
          <w:b/>
          <w:color w:val="auto"/>
          <w:sz w:val="22"/>
          <w:szCs w:val="22"/>
          <w:highlight w:val="none"/>
        </w:rPr>
        <w:t>4.近三年内是否因围标串标被行政主管部门进行过行政处罚的情况说明（格式自拟，内容符合招标文件第二章前附表9.12的要求）。</w:t>
      </w:r>
    </w:p>
    <w:p>
      <w:pPr>
        <w:autoSpaceDE w:val="0"/>
        <w:autoSpaceDN w:val="0"/>
        <w:spacing w:line="360" w:lineRule="auto"/>
        <w:jc w:val="left"/>
        <w:rPr>
          <w:rFonts w:ascii="宋体" w:hAnsi="宋体" w:cs="宋体"/>
          <w:b/>
          <w:color w:val="auto"/>
          <w:kern w:val="0"/>
          <w:highlight w:val="none"/>
        </w:rPr>
      </w:pPr>
      <w:r>
        <w:rPr>
          <w:rFonts w:hint="eastAsia" w:ascii="宋体" w:hAnsi="宋体" w:cs="宋体"/>
          <w:b/>
          <w:color w:val="auto"/>
          <w:kern w:val="0"/>
          <w:highlight w:val="none"/>
        </w:rPr>
        <w:t>5.对项目经理无在建承诺（格式自拟，内容符合招标文件第二章前附表1.4.1的要求）</w:t>
      </w:r>
    </w:p>
    <w:p>
      <w:pPr>
        <w:autoSpaceDE w:val="0"/>
        <w:autoSpaceDN w:val="0"/>
        <w:spacing w:line="360" w:lineRule="auto"/>
        <w:jc w:val="left"/>
        <w:rPr>
          <w:rFonts w:ascii="宋体" w:hAnsi="宋体" w:cs="宋体"/>
          <w:b/>
          <w:color w:val="auto"/>
          <w:kern w:val="0"/>
          <w:highlight w:val="none"/>
        </w:rPr>
      </w:pPr>
      <w:r>
        <w:rPr>
          <w:rFonts w:hint="eastAsia" w:ascii="宋体" w:hAnsi="宋体" w:cs="宋体"/>
          <w:b/>
          <w:color w:val="auto"/>
          <w:kern w:val="0"/>
          <w:highlight w:val="none"/>
        </w:rPr>
        <w:t>6.对诚信要求作出承诺（格式自拟，内容符合招标文件第二章前附表1.4.1的要求）</w:t>
      </w:r>
    </w:p>
    <w:p>
      <w:pPr>
        <w:autoSpaceDE w:val="0"/>
        <w:autoSpaceDN w:val="0"/>
        <w:spacing w:line="360" w:lineRule="auto"/>
        <w:jc w:val="left"/>
        <w:rPr>
          <w:rFonts w:ascii="宋体" w:hAnsi="宋体" w:cs="宋体"/>
          <w:b/>
          <w:color w:val="auto"/>
          <w:kern w:val="0"/>
          <w:highlight w:val="none"/>
        </w:rPr>
      </w:pPr>
      <w:r>
        <w:rPr>
          <w:rFonts w:hint="eastAsia" w:ascii="宋体" w:hAnsi="宋体" w:cs="宋体"/>
          <w:b/>
          <w:color w:val="auto"/>
          <w:kern w:val="0"/>
          <w:highlight w:val="none"/>
        </w:rPr>
        <w:t>7.信誉要求（自201</w:t>
      </w:r>
      <w:r>
        <w:rPr>
          <w:rFonts w:hint="eastAsia" w:ascii="宋体" w:hAnsi="宋体" w:cs="宋体"/>
          <w:b/>
          <w:color w:val="auto"/>
          <w:kern w:val="0"/>
          <w:highlight w:val="none"/>
          <w:lang w:val="en-US" w:eastAsia="zh-CN"/>
        </w:rPr>
        <w:t>6</w:t>
      </w:r>
      <w:r>
        <w:rPr>
          <w:rFonts w:hint="eastAsia" w:ascii="宋体" w:hAnsi="宋体" w:cs="宋体"/>
          <w:b/>
          <w:color w:val="auto"/>
          <w:kern w:val="0"/>
          <w:highlight w:val="none"/>
        </w:rPr>
        <w:t>年以来主要针对企业以往履约情况不少于一个（业主证明））</w:t>
      </w:r>
    </w:p>
    <w:p>
      <w:pPr>
        <w:autoSpaceDE w:val="0"/>
        <w:autoSpaceDN w:val="0"/>
        <w:spacing w:line="360" w:lineRule="auto"/>
        <w:jc w:val="left"/>
        <w:rPr>
          <w:rFonts w:ascii="宋体" w:hAnsi="宋体" w:cs="宋体"/>
          <w:b/>
          <w:color w:val="auto"/>
          <w:sz w:val="22"/>
          <w:szCs w:val="22"/>
          <w:highlight w:val="none"/>
        </w:rPr>
      </w:pPr>
      <w:r>
        <w:rPr>
          <w:rFonts w:hint="eastAsia" w:ascii="宋体" w:hAnsi="宋体" w:cs="宋体"/>
          <w:b/>
          <w:color w:val="auto"/>
          <w:sz w:val="22"/>
          <w:szCs w:val="22"/>
          <w:highlight w:val="none"/>
        </w:rPr>
        <w:t>8、施工过程中，项目经理、技术负责人和五大员常驻现场的承诺（格式自拟，内容符合招标文件第二章前附表9.15的要求）</w:t>
      </w:r>
    </w:p>
    <w:p>
      <w:pPr>
        <w:autoSpaceDE w:val="0"/>
        <w:autoSpaceDN w:val="0"/>
        <w:spacing w:line="360" w:lineRule="auto"/>
        <w:jc w:val="left"/>
        <w:rPr>
          <w:rFonts w:hint="eastAsia" w:ascii="宋体" w:hAnsi="宋体" w:cs="宋体"/>
          <w:b/>
          <w:color w:val="auto"/>
          <w:sz w:val="22"/>
          <w:szCs w:val="22"/>
          <w:highlight w:val="none"/>
        </w:rPr>
      </w:pPr>
      <w:r>
        <w:rPr>
          <w:rFonts w:hint="eastAsia" w:ascii="宋体" w:hAnsi="宋体" w:cs="宋体"/>
          <w:b/>
          <w:color w:val="auto"/>
          <w:sz w:val="22"/>
          <w:szCs w:val="22"/>
          <w:highlight w:val="none"/>
        </w:rPr>
        <w:t>9.施工工地扬尘防治达到“六个百分之百”、“两个禁止”要求的承诺（格式自拟，内容符合招标文件第二章前附表9.15的要求）</w:t>
      </w:r>
    </w:p>
    <w:p>
      <w:pPr>
        <w:autoSpaceDE w:val="0"/>
        <w:autoSpaceDN w:val="0"/>
        <w:spacing w:line="360" w:lineRule="auto"/>
        <w:jc w:val="left"/>
        <w:rPr>
          <w:rFonts w:hint="eastAsia" w:ascii="宋体" w:hAnsi="宋体" w:eastAsia="宋体" w:cs="宋体"/>
          <w:b/>
          <w:color w:val="auto"/>
          <w:sz w:val="22"/>
          <w:szCs w:val="22"/>
          <w:highlight w:val="none"/>
          <w:lang w:val="en-US" w:eastAsia="zh-CN"/>
        </w:rPr>
      </w:pPr>
      <w:r>
        <w:rPr>
          <w:rFonts w:hint="eastAsia" w:ascii="宋体" w:hAnsi="宋体" w:cs="宋体"/>
          <w:b/>
          <w:color w:val="auto"/>
          <w:sz w:val="22"/>
          <w:szCs w:val="22"/>
          <w:highlight w:val="none"/>
          <w:lang w:val="en-US" w:eastAsia="zh-CN"/>
        </w:rPr>
        <w:t>10.无行贿犯罪记录承诺书（出具由“中国裁判文书网”网站查询近三年来法人、法定代表人、法定代表人委托人、项目经理无行贿犯罪记录网页截图加盖企业公章证明）。</w:t>
      </w:r>
    </w:p>
    <w:p>
      <w:pPr>
        <w:autoSpaceDE w:val="0"/>
        <w:autoSpaceDN w:val="0"/>
        <w:spacing w:line="360" w:lineRule="auto"/>
        <w:jc w:val="left"/>
        <w:rPr>
          <w:rFonts w:ascii="宋体" w:hAnsi="宋体" w:cs="宋体"/>
          <w:b/>
          <w:color w:val="auto"/>
          <w:kern w:val="0"/>
          <w:highlight w:val="none"/>
        </w:rPr>
      </w:pPr>
      <w:r>
        <w:rPr>
          <w:rFonts w:hint="eastAsia" w:ascii="宋体" w:hAnsi="宋体" w:cs="宋体"/>
          <w:b/>
          <w:color w:val="auto"/>
          <w:kern w:val="0"/>
          <w:highlight w:val="none"/>
        </w:rPr>
        <w:t>1</w:t>
      </w:r>
      <w:r>
        <w:rPr>
          <w:rFonts w:hint="eastAsia" w:ascii="宋体" w:hAnsi="宋体" w:cs="宋体"/>
          <w:b/>
          <w:color w:val="auto"/>
          <w:kern w:val="0"/>
          <w:highlight w:val="none"/>
          <w:lang w:val="en-US" w:eastAsia="zh-CN"/>
        </w:rPr>
        <w:t>1</w:t>
      </w:r>
      <w:r>
        <w:rPr>
          <w:rFonts w:hint="eastAsia" w:ascii="宋体" w:hAnsi="宋体" w:cs="宋体"/>
          <w:b/>
          <w:color w:val="auto"/>
          <w:kern w:val="0"/>
          <w:highlight w:val="none"/>
        </w:rPr>
        <w:t>.投标人认为应该具备的其他材料</w:t>
      </w:r>
    </w:p>
    <w:p>
      <w:pPr>
        <w:autoSpaceDE w:val="0"/>
        <w:autoSpaceDN w:val="0"/>
        <w:spacing w:line="360" w:lineRule="auto"/>
        <w:jc w:val="center"/>
        <w:rPr>
          <w:rFonts w:ascii="宋体" w:hAnsi="宋体" w:cs="宋体"/>
          <w:b/>
          <w:color w:val="auto"/>
          <w:kern w:val="0"/>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pStyle w:val="4"/>
        <w:spacing w:line="360" w:lineRule="exact"/>
        <w:jc w:val="center"/>
        <w:rPr>
          <w:rFonts w:ascii="宋体" w:hAnsi="宋体" w:eastAsia="宋体" w:cs="宋体"/>
          <w:color w:val="auto"/>
          <w:highlight w:val="none"/>
        </w:rPr>
      </w:pPr>
      <w:bookmarkStart w:id="1361" w:name="_Toc466470845"/>
      <w:bookmarkStart w:id="1362" w:name="_Toc466470975"/>
      <w:r>
        <w:rPr>
          <w:rFonts w:hint="eastAsia" w:ascii="宋体" w:hAnsi="宋体" w:eastAsia="宋体" w:cs="宋体"/>
          <w:color w:val="auto"/>
          <w:highlight w:val="none"/>
        </w:rPr>
        <w:t>九、承诺书</w:t>
      </w:r>
      <w:bookmarkEnd w:id="1361"/>
      <w:bookmarkEnd w:id="1362"/>
    </w:p>
    <w:p>
      <w:pPr>
        <w:autoSpaceDE w:val="0"/>
        <w:autoSpaceDN w:val="0"/>
        <w:spacing w:line="360" w:lineRule="auto"/>
        <w:jc w:val="center"/>
        <w:rPr>
          <w:rFonts w:ascii="宋体" w:hAnsi="宋体" w:cs="宋体"/>
          <w:color w:val="auto"/>
          <w:kern w:val="0"/>
          <w:highlight w:val="none"/>
        </w:rPr>
      </w:pPr>
    </w:p>
    <w:p>
      <w:pPr>
        <w:autoSpaceDE w:val="0"/>
        <w:autoSpaceDN w:val="0"/>
        <w:spacing w:line="360" w:lineRule="auto"/>
        <w:jc w:val="left"/>
        <w:rPr>
          <w:rFonts w:ascii="宋体" w:hAnsi="宋体" w:cs="宋体"/>
          <w:color w:val="auto"/>
          <w:kern w:val="0"/>
          <w:highlight w:val="none"/>
        </w:rPr>
      </w:pPr>
      <w:r>
        <w:rPr>
          <w:rFonts w:hint="eastAsia" w:ascii="宋体" w:hAnsi="宋体" w:cs="宋体"/>
          <w:color w:val="auto"/>
          <w:kern w:val="0"/>
          <w:highlight w:val="none"/>
        </w:rPr>
        <w:t>我单位承诺，对本项目所提供的所有资料、文件，均真实有效；如有弄虚作假情况，愿承担相应法律责任。</w:t>
      </w:r>
    </w:p>
    <w:p>
      <w:pPr>
        <w:autoSpaceDE w:val="0"/>
        <w:autoSpaceDN w:val="0"/>
        <w:spacing w:line="360" w:lineRule="auto"/>
        <w:jc w:val="center"/>
        <w:rPr>
          <w:rFonts w:ascii="宋体" w:hAnsi="宋体" w:cs="宋体"/>
          <w:color w:val="auto"/>
          <w:kern w:val="0"/>
          <w:highlight w:val="none"/>
        </w:rPr>
      </w:pPr>
    </w:p>
    <w:p>
      <w:pPr>
        <w:autoSpaceDE w:val="0"/>
        <w:autoSpaceDN w:val="0"/>
        <w:spacing w:line="360" w:lineRule="auto"/>
        <w:jc w:val="center"/>
        <w:rPr>
          <w:rFonts w:ascii="宋体" w:hAnsi="宋体" w:cs="宋体"/>
          <w:color w:val="auto"/>
          <w:kern w:val="0"/>
          <w:highlight w:val="none"/>
        </w:rPr>
      </w:pPr>
    </w:p>
    <w:p>
      <w:pPr>
        <w:autoSpaceDE w:val="0"/>
        <w:autoSpaceDN w:val="0"/>
        <w:spacing w:line="360" w:lineRule="auto"/>
        <w:jc w:val="center"/>
        <w:rPr>
          <w:rFonts w:ascii="宋体" w:hAnsi="宋体" w:cs="宋体"/>
          <w:color w:val="auto"/>
          <w:kern w:val="0"/>
          <w:highlight w:val="none"/>
        </w:rPr>
      </w:pPr>
    </w:p>
    <w:p>
      <w:pPr>
        <w:autoSpaceDE w:val="0"/>
        <w:autoSpaceDN w:val="0"/>
        <w:spacing w:line="360" w:lineRule="auto"/>
        <w:jc w:val="right"/>
        <w:rPr>
          <w:rFonts w:ascii="宋体" w:hAnsi="宋体" w:cs="宋体"/>
          <w:color w:val="auto"/>
          <w:kern w:val="0"/>
          <w:highlight w:val="none"/>
        </w:rPr>
      </w:pPr>
      <w:r>
        <w:rPr>
          <w:rFonts w:hint="eastAsia" w:ascii="宋体" w:hAnsi="宋体" w:cs="宋体"/>
          <w:color w:val="auto"/>
          <w:kern w:val="0"/>
          <w:highlight w:val="none"/>
        </w:rPr>
        <w:t>投标单位名称：（盖单位公章）</w:t>
      </w:r>
    </w:p>
    <w:p>
      <w:pPr>
        <w:rPr>
          <w:rFonts w:ascii="宋体" w:hAnsi="宋体" w:cs="宋体"/>
          <w:color w:val="auto"/>
          <w:highlight w:val="none"/>
        </w:rPr>
      </w:pPr>
      <w:r>
        <w:rPr>
          <w:rFonts w:hint="eastAsia" w:ascii="宋体" w:hAnsi="宋体" w:cs="宋体"/>
          <w:color w:val="auto"/>
          <w:kern w:val="0"/>
          <w:highlight w:val="none"/>
        </w:rPr>
        <w:t xml:space="preserve">                                                   法定代表人签字：</w:t>
      </w: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pStyle w:val="4"/>
        <w:spacing w:line="360" w:lineRule="exact"/>
        <w:jc w:val="center"/>
        <w:rPr>
          <w:rFonts w:ascii="宋体" w:hAnsi="宋体" w:eastAsia="宋体" w:cs="宋体"/>
          <w:color w:val="auto"/>
          <w:highlight w:val="none"/>
        </w:rPr>
      </w:pPr>
      <w:bookmarkStart w:id="1363" w:name="_Toc466470846"/>
      <w:bookmarkStart w:id="1364" w:name="_Toc30036"/>
      <w:bookmarkStart w:id="1365" w:name="_Toc14876"/>
      <w:bookmarkStart w:id="1366" w:name="_Toc466470976"/>
      <w:r>
        <w:rPr>
          <w:rFonts w:hint="eastAsia" w:ascii="宋体" w:hAnsi="宋体" w:eastAsia="宋体" w:cs="宋体"/>
          <w:color w:val="auto"/>
          <w:highlight w:val="none"/>
        </w:rPr>
        <w:t>十、廉政建设承诺书</w:t>
      </w:r>
      <w:bookmarkEnd w:id="1363"/>
      <w:bookmarkEnd w:id="1364"/>
      <w:bookmarkEnd w:id="1365"/>
      <w:bookmarkEnd w:id="1366"/>
    </w:p>
    <w:p>
      <w:pPr>
        <w:rPr>
          <w:rFonts w:ascii="宋体" w:hAnsi="宋体" w:cs="宋体"/>
          <w:color w:val="auto"/>
          <w:sz w:val="28"/>
          <w:szCs w:val="28"/>
          <w:highlight w:val="none"/>
        </w:rPr>
      </w:pPr>
    </w:p>
    <w:p>
      <w:pPr>
        <w:rPr>
          <w:rFonts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招标人名称</w:t>
      </w:r>
      <w:r>
        <w:rPr>
          <w:rFonts w:hint="eastAsia" w:ascii="宋体" w:hAnsi="宋体" w:cs="宋体"/>
          <w:color w:val="auto"/>
          <w:szCs w:val="21"/>
          <w:highlight w:val="none"/>
        </w:rPr>
        <w:t>：</w:t>
      </w:r>
    </w:p>
    <w:p>
      <w:pPr>
        <w:spacing w:line="6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根据收到贵方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名称）的招标文件，我方已仔细阅读了招标文件等资料，并且研究上述招标文件投标须知等其他有关文件，我方决定参加本工程的竞标，并且完全接受贵方招标文件的所有内容，同时在廉政责任方面作出如下承诺：</w:t>
      </w:r>
    </w:p>
    <w:p>
      <w:pPr>
        <w:spacing w:line="6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我方保证遵守廉政建设各项规定，规范自身廉政行为，在竞标及工程建设过程中不发生不廉洁行为。</w:t>
      </w:r>
    </w:p>
    <w:p>
      <w:pPr>
        <w:spacing w:line="6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我方若违反上述承诺，愿承担一切责任并接受处罚。</w:t>
      </w:r>
    </w:p>
    <w:p>
      <w:pPr>
        <w:spacing w:line="680" w:lineRule="exact"/>
        <w:ind w:firstLine="420" w:firstLineChars="200"/>
        <w:jc w:val="left"/>
        <w:rPr>
          <w:rFonts w:ascii="宋体" w:hAnsi="宋体" w:cs="宋体"/>
          <w:color w:val="auto"/>
          <w:szCs w:val="21"/>
          <w:highlight w:val="none"/>
        </w:rPr>
      </w:pPr>
    </w:p>
    <w:p>
      <w:pPr>
        <w:spacing w:line="680" w:lineRule="exact"/>
        <w:ind w:firstLine="420" w:firstLineChars="200"/>
        <w:jc w:val="left"/>
        <w:rPr>
          <w:rFonts w:ascii="宋体" w:hAnsi="宋体" w:cs="宋体"/>
          <w:color w:val="auto"/>
          <w:szCs w:val="21"/>
          <w:highlight w:val="none"/>
        </w:rPr>
      </w:pPr>
    </w:p>
    <w:p>
      <w:pPr>
        <w:spacing w:line="6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投标人（盖单位章）：</w:t>
      </w:r>
    </w:p>
    <w:p>
      <w:pPr>
        <w:spacing w:line="680" w:lineRule="exact"/>
        <w:ind w:firstLine="420" w:firstLineChars="200"/>
        <w:jc w:val="left"/>
        <w:rPr>
          <w:rFonts w:ascii="宋体" w:hAnsi="宋体" w:cs="宋体"/>
          <w:color w:val="auto"/>
          <w:szCs w:val="21"/>
          <w:highlight w:val="none"/>
        </w:rPr>
      </w:pPr>
    </w:p>
    <w:p>
      <w:pPr>
        <w:spacing w:line="6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法定代表人或授权人（签字）：                </w:t>
      </w:r>
    </w:p>
    <w:p>
      <w:pPr>
        <w:spacing w:line="680" w:lineRule="exact"/>
        <w:ind w:firstLine="420" w:firstLineChars="200"/>
        <w:jc w:val="left"/>
        <w:rPr>
          <w:rFonts w:ascii="宋体" w:hAnsi="宋体" w:cs="宋体"/>
          <w:color w:val="auto"/>
          <w:szCs w:val="21"/>
          <w:highlight w:val="none"/>
        </w:rPr>
      </w:pPr>
    </w:p>
    <w:p>
      <w:pPr>
        <w:jc w:val="right"/>
        <w:rPr>
          <w:rFonts w:ascii="宋体" w:hAnsi="宋体" w:cs="宋体"/>
          <w:color w:val="auto"/>
          <w:szCs w:val="21"/>
          <w:highlight w:val="none"/>
        </w:rPr>
      </w:pPr>
      <w:r>
        <w:rPr>
          <w:rFonts w:hint="eastAsia" w:ascii="宋体" w:hAnsi="宋体" w:cs="宋体"/>
          <w:color w:val="auto"/>
          <w:szCs w:val="21"/>
          <w:highlight w:val="none"/>
        </w:rPr>
        <w:t>年   月   日</w:t>
      </w:r>
    </w:p>
    <w:p>
      <w:pPr>
        <w:jc w:val="right"/>
        <w:rPr>
          <w:rFonts w:ascii="宋体" w:hAnsi="宋体" w:cs="宋体"/>
          <w:color w:val="auto"/>
          <w:szCs w:val="21"/>
          <w:highlight w:val="none"/>
        </w:rPr>
      </w:pPr>
    </w:p>
    <w:p>
      <w:pPr>
        <w:widowControl/>
        <w:jc w:val="left"/>
        <w:rPr>
          <w:rFonts w:ascii="宋体" w:hAnsi="宋体" w:cs="宋体"/>
          <w:color w:val="auto"/>
          <w:szCs w:val="21"/>
          <w:highlight w:val="none"/>
        </w:rPr>
      </w:pPr>
      <w:r>
        <w:rPr>
          <w:rFonts w:ascii="宋体" w:hAnsi="宋体" w:cs="宋体"/>
          <w:color w:val="auto"/>
          <w:szCs w:val="21"/>
          <w:highlight w:val="none"/>
        </w:rPr>
        <w:br w:type="page"/>
      </w:r>
    </w:p>
    <w:p>
      <w:pPr>
        <w:pStyle w:val="4"/>
        <w:numPr>
          <w:ilvl w:val="0"/>
          <w:numId w:val="6"/>
        </w:numPr>
        <w:jc w:val="center"/>
        <w:rPr>
          <w:color w:val="auto"/>
          <w:highlight w:val="none"/>
        </w:rPr>
      </w:pPr>
      <w:r>
        <w:rPr>
          <w:rFonts w:hint="eastAsia"/>
          <w:color w:val="auto"/>
          <w:highlight w:val="none"/>
        </w:rPr>
        <w:t>无行贿犯罪记录承诺书</w:t>
      </w:r>
    </w:p>
    <w:p>
      <w:pPr>
        <w:jc w:val="right"/>
        <w:rPr>
          <w:rFonts w:ascii="宋体" w:hAnsi="宋体" w:cs="宋体"/>
          <w:color w:val="auto"/>
          <w:szCs w:val="21"/>
          <w:highlight w:val="none"/>
        </w:rPr>
      </w:pPr>
    </w:p>
    <w:p>
      <w:pPr>
        <w:spacing w:line="600" w:lineRule="auto"/>
        <w:jc w:val="center"/>
        <w:rPr>
          <w:rFonts w:ascii="宋体" w:hAnsi="宋体" w:cs="宋体"/>
          <w:color w:val="auto"/>
          <w:szCs w:val="21"/>
          <w:highlight w:val="none"/>
        </w:rPr>
      </w:pPr>
      <w:r>
        <w:rPr>
          <w:rFonts w:hint="eastAsia" w:ascii="宋体" w:hAnsi="宋体" w:cs="宋体"/>
          <w:color w:val="auto"/>
          <w:szCs w:val="21"/>
          <w:highlight w:val="none"/>
        </w:rPr>
        <w:t>承诺书</w:t>
      </w:r>
    </w:p>
    <w:p>
      <w:pPr>
        <w:spacing w:line="6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u w:val="single"/>
        </w:rPr>
        <w:t>(招标人名称)</w:t>
      </w:r>
      <w:r>
        <w:rPr>
          <w:rFonts w:hint="eastAsia" w:ascii="宋体" w:hAnsi="宋体" w:cs="宋体"/>
          <w:color w:val="auto"/>
          <w:szCs w:val="21"/>
          <w:highlight w:val="none"/>
        </w:rPr>
        <w:t>:</w:t>
      </w:r>
    </w:p>
    <w:p>
      <w:pPr>
        <w:spacing w:line="6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我方在此声明，我方在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（项目名称） 招投标过程中所涉及的包括法人、法定代表人、法定代表人委托代理人、项目经理近三年来均无行贿犯罪记录。</w:t>
      </w:r>
    </w:p>
    <w:p>
      <w:pPr>
        <w:spacing w:line="6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我方保证上述信息的真实和准确，并愿意承担因我方就此弄虚作假所引起的一切法律后果。</w:t>
      </w:r>
    </w:p>
    <w:p>
      <w:pPr>
        <w:spacing w:line="6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特此承诺</w:t>
      </w:r>
    </w:p>
    <w:p>
      <w:pPr>
        <w:spacing w:line="600" w:lineRule="auto"/>
        <w:jc w:val="left"/>
        <w:rPr>
          <w:rFonts w:ascii="宋体" w:hAnsi="宋体" w:cs="宋体"/>
          <w:color w:val="auto"/>
          <w:szCs w:val="21"/>
          <w:highlight w:val="none"/>
        </w:rPr>
      </w:pPr>
      <w:r>
        <w:rPr>
          <w:rFonts w:hint="eastAsia" w:ascii="宋体" w:hAnsi="宋体" w:cs="宋体"/>
          <w:color w:val="auto"/>
          <w:szCs w:val="21"/>
          <w:highlight w:val="none"/>
        </w:rPr>
        <w:t>投标人: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pPr>
        <w:spacing w:line="600" w:lineRule="auto"/>
        <w:jc w:val="left"/>
        <w:rPr>
          <w:rFonts w:ascii="宋体" w:hAnsi="宋体" w:cs="宋体"/>
          <w:color w:val="auto"/>
          <w:szCs w:val="21"/>
          <w:highlight w:val="non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pPr>
        <w:tabs>
          <w:tab w:val="left" w:pos="616"/>
        </w:tabs>
        <w:spacing w:line="600" w:lineRule="auto"/>
        <w:ind w:firstLine="1470" w:firstLineChars="700"/>
        <w:jc w:val="left"/>
        <w:rPr>
          <w:rFonts w:ascii="宋体" w:hAnsi="宋体" w:cs="宋体"/>
          <w:color w:val="auto"/>
          <w:szCs w:val="21"/>
          <w:highlight w:val="none"/>
        </w:rPr>
      </w:pPr>
      <w:r>
        <w:rPr>
          <w:rFonts w:hint="eastAsia" w:ascii="宋体" w:hAnsi="宋体" w:cs="宋体"/>
          <w:color w:val="auto"/>
          <w:szCs w:val="21"/>
          <w:highlight w:val="none"/>
        </w:rPr>
        <w:tab/>
      </w: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jc w:val="right"/>
        <w:rPr>
          <w:rFonts w:ascii="宋体" w:hAnsi="宋体" w:cs="宋体"/>
          <w:color w:val="auto"/>
          <w:szCs w:val="21"/>
          <w:highlight w:val="none"/>
        </w:rPr>
      </w:pPr>
    </w:p>
    <w:p>
      <w:pPr>
        <w:jc w:val="right"/>
        <w:rPr>
          <w:rFonts w:ascii="宋体" w:hAnsi="宋体" w:cs="宋体"/>
          <w:color w:val="auto"/>
          <w:szCs w:val="21"/>
          <w:highlight w:val="none"/>
        </w:rPr>
      </w:pPr>
    </w:p>
    <w:p>
      <w:pPr>
        <w:jc w:val="right"/>
        <w:rPr>
          <w:rFonts w:ascii="宋体" w:hAnsi="宋体" w:cs="宋体"/>
          <w:color w:val="auto"/>
          <w:szCs w:val="21"/>
          <w:highlight w:val="none"/>
        </w:rPr>
      </w:pPr>
    </w:p>
    <w:p>
      <w:pPr>
        <w:jc w:val="right"/>
        <w:rPr>
          <w:rFonts w:ascii="宋体" w:hAnsi="宋体" w:cs="宋体"/>
          <w:color w:val="auto"/>
          <w:szCs w:val="21"/>
          <w:highlight w:val="none"/>
        </w:rPr>
      </w:pPr>
    </w:p>
    <w:p>
      <w:pPr>
        <w:jc w:val="right"/>
        <w:rPr>
          <w:rFonts w:ascii="宋体" w:hAnsi="宋体" w:cs="宋体"/>
          <w:color w:val="auto"/>
          <w:szCs w:val="21"/>
          <w:highlight w:val="none"/>
        </w:rPr>
      </w:pPr>
    </w:p>
    <w:p>
      <w:pPr>
        <w:jc w:val="right"/>
        <w:rPr>
          <w:rFonts w:ascii="宋体" w:hAnsi="宋体" w:cs="宋体"/>
          <w:color w:val="auto"/>
          <w:szCs w:val="21"/>
          <w:highlight w:val="none"/>
        </w:rPr>
      </w:pPr>
    </w:p>
    <w:p>
      <w:pPr>
        <w:jc w:val="right"/>
        <w:rPr>
          <w:rFonts w:ascii="宋体" w:hAnsi="宋体" w:cs="宋体"/>
          <w:color w:val="auto"/>
          <w:szCs w:val="21"/>
          <w:highlight w:val="none"/>
        </w:rPr>
      </w:pPr>
    </w:p>
    <w:p>
      <w:pPr>
        <w:jc w:val="right"/>
        <w:rPr>
          <w:rFonts w:ascii="宋体" w:hAnsi="宋体" w:cs="宋体"/>
          <w:color w:val="auto"/>
          <w:szCs w:val="21"/>
          <w:highlight w:val="none"/>
        </w:rPr>
      </w:pPr>
    </w:p>
    <w:p>
      <w:pPr>
        <w:rPr>
          <w:rFonts w:ascii="宋体" w:hAnsi="宋体" w:cs="宋体"/>
          <w:color w:val="auto"/>
          <w:highlight w:val="none"/>
        </w:rPr>
      </w:pPr>
    </w:p>
    <w:p>
      <w:pPr>
        <w:rPr>
          <w:color w:val="auto"/>
          <w:highlight w:val="none"/>
        </w:rPr>
      </w:pPr>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single" w:color="auto" w:sz="4" w:space="1"/>
      </w:pBdr>
      <w:ind w:right="-58"/>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wps:txbx>
                    <wps:bodyPr wrap="none" lIns="0" tIns="0" rIns="0" bIns="0" upright="1">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jQA7OoAQAAQQMAAA4AAABkcnMvZTJvRG9jLnhtbK1SS27bMBDdF8gd&#10;CO5jyloEhmA5CBAkKFCkAdIegKZIiwB/GNKWfIH2Bl11033P5XN0SEtO0+6KbqiZ4ejNe4+zvh2t&#10;IQcJUXvX0uWiokQ64Tvtdi39/OnhekVJTNx13HgnW3qUkd5urt6th9DI2vfedBIIgrjYDKGlfUqh&#10;YSyKXloeFz5Ih5fKg+UJU9ixDviA6Nawuqpu2OChC+CFjBGr9+dLuin4SkmRPioVZSKmpcgtlRPK&#10;uc0n26x5swMeei0mGvwfWFiuHQ69QN3zxMke9F9QVgvw0au0EN4yr5QWsmhANcvqDzUvPQ+yaEFz&#10;YrjYFP8frHg6PAPRXUtrShy3+ESnb19P33+efnwhdbZnCLHBrpfwDFMWMcxaRwU2f1EFGYulx4ul&#10;ckxEYHG5qlerCp0XeDcniMNefw8Q06P0luSgpYBvVqzkhw8xnVvnljzN+QdtDNZ5Y9ybAmLmCsuM&#10;zxxzlMbtOBHf+u6Iagd87pY63EdKzHuHbubNmAOYg+0c7APoXY/UloVXDHf7hCQKtzzhDDsNxncq&#10;6qadyovwe166Xjd/8w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5dblS0AAAAAUBAAAPAAAAAAAA&#10;AAEAIAAAACIAAABkcnMvZG93bnJldi54bWxQSwECFAAUAAAACACHTuJAyNADs6gBAABBAwAADgAA&#10;AAAAAAABACAAAAAfAQAAZHJzL2Uyb0RvYy54bWxQSwUGAAAAAAYABgBZAQAAOQ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spacing w:line="440" w:lineRule="exact"/>
      <w:ind w:right="-57" w:rightChars="-27"/>
      <w:jc w:val="left"/>
      <w:rPr>
        <w:rFonts w:ascii="宋体" w:hAnsi="宋体"/>
        <w:sz w:val="18"/>
        <w:szCs w:val="18"/>
      </w:rPr>
    </w:pPr>
    <w:r>
      <w:rPr>
        <w:rFonts w:hint="eastAsia"/>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tentative="0">
      <w:start w:val="1"/>
      <w:numFmt w:val="japaneseCounting"/>
      <w:lvlText w:val="第%1章"/>
      <w:lvlJc w:val="left"/>
      <w:pPr>
        <w:tabs>
          <w:tab w:val="left" w:pos="2175"/>
        </w:tabs>
        <w:ind w:left="2175" w:hanging="1755"/>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00000004"/>
    <w:multiLevelType w:val="singleLevel"/>
    <w:tmpl w:val="00000004"/>
    <w:lvl w:ilvl="0" w:tentative="0">
      <w:start w:val="4"/>
      <w:numFmt w:val="chineseCounting"/>
      <w:suff w:val="space"/>
      <w:lvlText w:val="第%1章"/>
      <w:lvlJc w:val="left"/>
    </w:lvl>
  </w:abstractNum>
  <w:abstractNum w:abstractNumId="2">
    <w:nsid w:val="57BE6B08"/>
    <w:multiLevelType w:val="singleLevel"/>
    <w:tmpl w:val="57BE6B08"/>
    <w:lvl w:ilvl="0" w:tentative="0">
      <w:start w:val="1"/>
      <w:numFmt w:val="decimal"/>
      <w:suff w:val="nothing"/>
      <w:lvlText w:val="（%1）"/>
      <w:lvlJc w:val="left"/>
    </w:lvl>
  </w:abstractNum>
  <w:abstractNum w:abstractNumId="3">
    <w:nsid w:val="5800B1EE"/>
    <w:multiLevelType w:val="singleLevel"/>
    <w:tmpl w:val="5800B1EE"/>
    <w:lvl w:ilvl="0" w:tentative="0">
      <w:start w:val="3"/>
      <w:numFmt w:val="decimal"/>
      <w:suff w:val="space"/>
      <w:lvlText w:val="%1."/>
      <w:lvlJc w:val="left"/>
    </w:lvl>
  </w:abstractNum>
  <w:abstractNum w:abstractNumId="4">
    <w:nsid w:val="5812DF60"/>
    <w:multiLevelType w:val="singleLevel"/>
    <w:tmpl w:val="5812DF60"/>
    <w:lvl w:ilvl="0" w:tentative="0">
      <w:start w:val="2"/>
      <w:numFmt w:val="chineseCounting"/>
      <w:suff w:val="nothing"/>
      <w:lvlText w:val="（%1）"/>
      <w:lvlJc w:val="left"/>
    </w:lvl>
  </w:abstractNum>
  <w:abstractNum w:abstractNumId="5">
    <w:nsid w:val="611BB944"/>
    <w:multiLevelType w:val="singleLevel"/>
    <w:tmpl w:val="611BB944"/>
    <w:lvl w:ilvl="0" w:tentative="0">
      <w:start w:val="11"/>
      <w:numFmt w:val="chineseCounting"/>
      <w:suff w:val="nothing"/>
      <w:lvlText w:val="%1、"/>
      <w:lvlJc w:val="left"/>
      <w:rPr>
        <w:rFonts w:hint="eastAsia"/>
      </w:rPr>
    </w:lvl>
  </w:abstractNum>
  <w:num w:numId="1">
    <w:abstractNumId w:val="0"/>
  </w:num>
  <w:num w:numId="2">
    <w:abstractNumId w:val="2"/>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A56E2E"/>
    <w:rsid w:val="10895047"/>
    <w:rsid w:val="1C435DB2"/>
    <w:rsid w:val="3C072243"/>
    <w:rsid w:val="42394600"/>
    <w:rsid w:val="42A56DB6"/>
    <w:rsid w:val="544518A6"/>
    <w:rsid w:val="56D95BF6"/>
    <w:rsid w:val="5D77611A"/>
    <w:rsid w:val="5E454051"/>
    <w:rsid w:val="63FC0471"/>
    <w:rsid w:val="64533475"/>
    <w:rsid w:val="65C67FAC"/>
    <w:rsid w:val="71D006BE"/>
    <w:rsid w:val="78361F02"/>
    <w:rsid w:val="7D8824DC"/>
    <w:rsid w:val="7EC23F2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23"/>
    <w:qFormat/>
    <w:uiPriority w:val="0"/>
    <w:pPr>
      <w:keepNext/>
      <w:keepLines/>
      <w:spacing w:before="20" w:after="20" w:line="413" w:lineRule="auto"/>
      <w:outlineLvl w:val="1"/>
    </w:pPr>
    <w:rPr>
      <w:rFonts w:ascii="Arial" w:hAnsi="Arial" w:eastAsia="黑体"/>
      <w:b/>
      <w:bCs/>
      <w:sz w:val="30"/>
      <w:szCs w:val="32"/>
    </w:rPr>
  </w:style>
  <w:style w:type="paragraph" w:styleId="5">
    <w:name w:val="heading 3"/>
    <w:basedOn w:val="1"/>
    <w:next w:val="1"/>
    <w:qFormat/>
    <w:uiPriority w:val="0"/>
    <w:pPr>
      <w:keepNext/>
      <w:keepLines/>
      <w:spacing w:before="260" w:after="260" w:line="413" w:lineRule="auto"/>
      <w:outlineLvl w:val="2"/>
    </w:pPr>
    <w:rPr>
      <w:b/>
      <w:bCs/>
      <w:kern w:val="0"/>
      <w:sz w:val="32"/>
      <w:szCs w:val="32"/>
    </w:rPr>
  </w:style>
  <w:style w:type="character" w:default="1" w:styleId="16">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6">
    <w:name w:val="Body Text 3"/>
    <w:basedOn w:val="1"/>
    <w:qFormat/>
    <w:uiPriority w:val="0"/>
    <w:rPr>
      <w:rFonts w:ascii="宋体"/>
      <w:sz w:val="24"/>
      <w:szCs w:val="20"/>
    </w:rPr>
  </w:style>
  <w:style w:type="paragraph" w:styleId="7">
    <w:name w:val="Body Text"/>
    <w:basedOn w:val="1"/>
    <w:next w:val="8"/>
    <w:qFormat/>
    <w:uiPriority w:val="0"/>
  </w:style>
  <w:style w:type="paragraph" w:customStyle="1" w:styleId="8">
    <w:name w:val="正文文本 21"/>
    <w:basedOn w:val="1"/>
    <w:qFormat/>
    <w:uiPriority w:val="0"/>
    <w:rPr>
      <w:sz w:val="28"/>
    </w:rPr>
  </w:style>
  <w:style w:type="paragraph" w:styleId="9">
    <w:name w:val="Plain Text"/>
    <w:basedOn w:val="1"/>
    <w:qFormat/>
    <w:uiPriority w:val="0"/>
    <w:rPr>
      <w:rFonts w:ascii="Courier New" w:hAnsi="Courier New"/>
      <w:szCs w:val="20"/>
    </w:rPr>
  </w:style>
  <w:style w:type="paragraph" w:styleId="10">
    <w:name w:val="Balloon Text"/>
    <w:basedOn w:val="1"/>
    <w:link w:val="24"/>
    <w:qFormat/>
    <w:uiPriority w:val="0"/>
    <w:rPr>
      <w:sz w:val="18"/>
      <w:szCs w:val="18"/>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spacing w:before="120" w:after="120"/>
      <w:jc w:val="left"/>
    </w:pPr>
    <w:rPr>
      <w:b/>
      <w:bCs/>
      <w:caps/>
      <w:sz w:val="20"/>
      <w:szCs w:val="20"/>
    </w:rPr>
  </w:style>
  <w:style w:type="paragraph" w:styleId="14">
    <w:name w:val="toc 2"/>
    <w:basedOn w:val="1"/>
    <w:next w:val="1"/>
    <w:qFormat/>
    <w:uiPriority w:val="39"/>
    <w:pPr>
      <w:ind w:left="210"/>
      <w:jc w:val="left"/>
    </w:pPr>
    <w:rPr>
      <w:smallCaps/>
      <w:sz w:val="20"/>
      <w:szCs w:val="20"/>
    </w:rPr>
  </w:style>
  <w:style w:type="character" w:styleId="17">
    <w:name w:val="Hyperlink"/>
    <w:qFormat/>
    <w:uiPriority w:val="99"/>
    <w:rPr>
      <w:color w:val="0000FF"/>
      <w:u w:val="single"/>
    </w:rPr>
  </w:style>
  <w:style w:type="paragraph" w:customStyle="1" w:styleId="18">
    <w:name w:val="正文首行缩进1"/>
    <w:basedOn w:val="7"/>
    <w:next w:val="19"/>
    <w:qFormat/>
    <w:uiPriority w:val="0"/>
    <w:pPr>
      <w:ind w:firstLine="420" w:firstLineChars="100"/>
    </w:pPr>
  </w:style>
  <w:style w:type="paragraph" w:customStyle="1" w:styleId="19">
    <w:name w:val="正文首行缩进 21"/>
    <w:basedOn w:val="20"/>
    <w:qFormat/>
    <w:uiPriority w:val="0"/>
    <w:pPr>
      <w:ind w:firstLine="420" w:firstLineChars="200"/>
    </w:pPr>
  </w:style>
  <w:style w:type="paragraph" w:customStyle="1" w:styleId="20">
    <w:name w:val="Body Text Indent1"/>
    <w:basedOn w:val="1"/>
    <w:qFormat/>
    <w:uiPriority w:val="0"/>
    <w:pPr>
      <w:spacing w:after="120"/>
      <w:ind w:left="420" w:leftChars="200"/>
    </w:pPr>
  </w:style>
  <w:style w:type="paragraph" w:customStyle="1" w:styleId="21">
    <w:name w:val="目录"/>
    <w:basedOn w:val="1"/>
    <w:qFormat/>
    <w:uiPriority w:val="0"/>
    <w:pPr>
      <w:widowControl/>
      <w:jc w:val="center"/>
    </w:pPr>
    <w:rPr>
      <w:rFonts w:ascii="宋体" w:eastAsia="Times New Roman"/>
      <w:b/>
      <w:sz w:val="36"/>
      <w:lang w:val="zh-CN"/>
    </w:rPr>
  </w:style>
  <w:style w:type="paragraph" w:customStyle="1" w:styleId="22">
    <w:name w:val="p0"/>
    <w:basedOn w:val="1"/>
    <w:qFormat/>
    <w:uiPriority w:val="0"/>
    <w:pPr>
      <w:widowControl/>
      <w:ind w:firstLine="420"/>
      <w:jc w:val="left"/>
    </w:pPr>
    <w:rPr>
      <w:kern w:val="0"/>
      <w:sz w:val="20"/>
      <w:szCs w:val="20"/>
    </w:rPr>
  </w:style>
  <w:style w:type="character" w:customStyle="1" w:styleId="23">
    <w:name w:val="标题 2 Char Char"/>
    <w:link w:val="4"/>
    <w:qFormat/>
    <w:uiPriority w:val="0"/>
    <w:rPr>
      <w:rFonts w:ascii="Arial" w:hAnsi="Arial" w:eastAsia="黑体"/>
      <w:b/>
      <w:bCs/>
      <w:kern w:val="2"/>
      <w:sz w:val="30"/>
      <w:szCs w:val="32"/>
    </w:rPr>
  </w:style>
  <w:style w:type="character" w:customStyle="1" w:styleId="24">
    <w:name w:val="批注框文本 Char Char"/>
    <w:link w:val="10"/>
    <w:qFormat/>
    <w:uiPriority w:val="0"/>
    <w:rPr>
      <w:kern w:val="2"/>
      <w:sz w:val="18"/>
      <w:szCs w:val="18"/>
    </w:rPr>
  </w:style>
  <w:style w:type="character" w:customStyle="1" w:styleId="25">
    <w:name w:val="apple-converted-space"/>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75</Pages>
  <Words>6810</Words>
  <Characters>38821</Characters>
  <Lines>323</Lines>
  <Paragraphs>91</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2019-01-27T09:14:00Z</dcterms:created>
  <dc:creator>雨</dc:creator>
  <cp:lastModifiedBy>Administrator</cp:lastModifiedBy>
  <cp:lastPrinted>2020-03-27T00:37:00Z</cp:lastPrinted>
  <dcterms:modified xsi:type="dcterms:W3CDTF">2020-03-30T01:56:03Z</dcterms:modified>
  <dc:title>温县职业技术教育中心改造提升项目体育场工程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