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Times New Roman"/>
          <w:b/>
          <w:bCs/>
          <w:color w:val="auto"/>
          <w:sz w:val="44"/>
          <w:szCs w:val="44"/>
          <w:highlight w:val="none"/>
        </w:rPr>
      </w:pPr>
    </w:p>
    <w:p>
      <w:pPr>
        <w:spacing w:line="360" w:lineRule="auto"/>
        <w:jc w:val="center"/>
        <w:rPr>
          <w:rFonts w:ascii="宋体" w:cs="Times New Roman"/>
          <w:b/>
          <w:bCs/>
          <w:color w:val="auto"/>
          <w:sz w:val="44"/>
          <w:szCs w:val="44"/>
          <w:highlight w:val="none"/>
        </w:rPr>
      </w:pPr>
      <w:r>
        <w:rPr>
          <w:rFonts w:hint="eastAsia" w:ascii="宋体" w:cs="宋体"/>
          <w:b/>
          <w:bCs/>
          <w:color w:val="auto"/>
          <w:sz w:val="44"/>
          <w:szCs w:val="44"/>
          <w:highlight w:val="none"/>
        </w:rPr>
        <w:t>温县妇幼保健院（迁建项目）机房</w:t>
      </w:r>
    </w:p>
    <w:p>
      <w:pPr>
        <w:spacing w:line="360" w:lineRule="auto"/>
        <w:jc w:val="center"/>
        <w:rPr>
          <w:rFonts w:ascii="宋体" w:cs="Times New Roman"/>
          <w:b/>
          <w:bCs/>
          <w:color w:val="auto"/>
          <w:sz w:val="44"/>
          <w:szCs w:val="44"/>
          <w:highlight w:val="none"/>
        </w:rPr>
      </w:pPr>
      <w:r>
        <w:rPr>
          <w:rFonts w:hint="eastAsia" w:ascii="宋体" w:cs="宋体"/>
          <w:b/>
          <w:bCs/>
          <w:color w:val="auto"/>
          <w:sz w:val="44"/>
          <w:szCs w:val="44"/>
          <w:highlight w:val="none"/>
        </w:rPr>
        <w:t>建设项目</w:t>
      </w:r>
    </w:p>
    <w:p>
      <w:pPr>
        <w:spacing w:line="360" w:lineRule="auto"/>
        <w:jc w:val="center"/>
        <w:rPr>
          <w:rFonts w:ascii="宋体" w:cs="Times New Roman"/>
          <w:b/>
          <w:bCs/>
          <w:color w:val="auto"/>
          <w:sz w:val="44"/>
          <w:szCs w:val="44"/>
          <w:highlight w:val="none"/>
        </w:rPr>
      </w:pPr>
    </w:p>
    <w:p>
      <w:pPr>
        <w:spacing w:line="440" w:lineRule="exact"/>
        <w:rPr>
          <w:rFonts w:ascii="宋体" w:cs="Times New Roman"/>
          <w:b/>
          <w:bCs/>
          <w:color w:val="auto"/>
          <w:sz w:val="48"/>
          <w:szCs w:val="48"/>
          <w:highlight w:val="none"/>
        </w:rPr>
      </w:pPr>
    </w:p>
    <w:p>
      <w:pPr>
        <w:spacing w:line="480" w:lineRule="auto"/>
        <w:jc w:val="center"/>
        <w:rPr>
          <w:rFonts w:ascii="宋体" w:cs="Times New Roman"/>
          <w:b/>
          <w:bCs/>
          <w:color w:val="auto"/>
          <w:spacing w:val="80"/>
          <w:sz w:val="144"/>
          <w:szCs w:val="144"/>
          <w:highlight w:val="none"/>
        </w:rPr>
      </w:pPr>
      <w:r>
        <w:rPr>
          <w:rFonts w:hint="eastAsia" w:ascii="宋体" w:hAnsi="宋体" w:cs="宋体"/>
          <w:b/>
          <w:bCs/>
          <w:color w:val="auto"/>
          <w:spacing w:val="80"/>
          <w:sz w:val="52"/>
          <w:szCs w:val="52"/>
          <w:highlight w:val="none"/>
        </w:rPr>
        <w:t>招标文件</w:t>
      </w:r>
    </w:p>
    <w:p>
      <w:pPr>
        <w:tabs>
          <w:tab w:val="left" w:pos="7560"/>
        </w:tabs>
        <w:spacing w:line="440" w:lineRule="exact"/>
        <w:ind w:left="2692" w:leftChars="1282"/>
        <w:jc w:val="left"/>
        <w:rPr>
          <w:rFonts w:ascii="宋体" w:cs="Times New Roman"/>
          <w:b/>
          <w:bCs/>
          <w:color w:val="auto"/>
          <w:sz w:val="24"/>
          <w:szCs w:val="24"/>
          <w:highlight w:val="none"/>
        </w:rPr>
      </w:pPr>
      <w:r>
        <w:rPr>
          <w:rFonts w:ascii="宋体" w:cs="Times New Roman"/>
          <w:b/>
          <w:bCs/>
          <w:color w:val="auto"/>
          <w:sz w:val="24"/>
          <w:szCs w:val="24"/>
          <w:highlight w:val="none"/>
        </w:rPr>
        <w:tab/>
      </w:r>
    </w:p>
    <w:p>
      <w:pPr>
        <w:spacing w:line="440" w:lineRule="exact"/>
        <w:rPr>
          <w:rFonts w:ascii="宋体" w:cs="Times New Roman"/>
          <w:b/>
          <w:bCs/>
          <w:color w:val="auto"/>
          <w:sz w:val="24"/>
          <w:szCs w:val="24"/>
          <w:highlight w:val="none"/>
        </w:rPr>
      </w:pPr>
    </w:p>
    <w:p>
      <w:pPr>
        <w:spacing w:line="440" w:lineRule="exact"/>
        <w:ind w:left="2692" w:leftChars="1282"/>
        <w:jc w:val="left"/>
        <w:rPr>
          <w:rFonts w:ascii="宋体" w:cs="宋体"/>
          <w:b/>
          <w:bCs/>
          <w:color w:val="auto"/>
          <w:sz w:val="24"/>
          <w:szCs w:val="24"/>
          <w:highlight w:val="none"/>
        </w:rPr>
      </w:pPr>
      <w:r>
        <w:rPr>
          <w:rFonts w:hint="eastAsia" w:ascii="宋体" w:cs="宋体"/>
          <w:b/>
          <w:bCs/>
          <w:color w:val="auto"/>
          <w:sz w:val="24"/>
          <w:szCs w:val="24"/>
          <w:highlight w:val="none"/>
        </w:rPr>
        <w:t>项目编号：温交易［</w:t>
      </w:r>
      <w:r>
        <w:rPr>
          <w:rFonts w:ascii="宋体" w:cs="宋体"/>
          <w:b/>
          <w:bCs/>
          <w:color w:val="auto"/>
          <w:sz w:val="24"/>
          <w:szCs w:val="24"/>
          <w:highlight w:val="none"/>
        </w:rPr>
        <w:t>2019</w:t>
      </w:r>
      <w:r>
        <w:rPr>
          <w:rFonts w:hint="eastAsia" w:ascii="宋体" w:cs="宋体"/>
          <w:b/>
          <w:bCs/>
          <w:color w:val="auto"/>
          <w:sz w:val="24"/>
          <w:szCs w:val="24"/>
          <w:highlight w:val="none"/>
        </w:rPr>
        <w:t>］</w:t>
      </w:r>
      <w:r>
        <w:rPr>
          <w:rFonts w:ascii="宋体" w:cs="宋体"/>
          <w:b/>
          <w:bCs/>
          <w:color w:val="auto"/>
          <w:sz w:val="24"/>
          <w:szCs w:val="24"/>
          <w:highlight w:val="none"/>
        </w:rPr>
        <w:t>286</w:t>
      </w:r>
      <w:r>
        <w:rPr>
          <w:rFonts w:hint="eastAsia" w:ascii="宋体" w:cs="宋体"/>
          <w:b/>
          <w:bCs/>
          <w:color w:val="auto"/>
          <w:sz w:val="24"/>
          <w:szCs w:val="24"/>
          <w:highlight w:val="none"/>
        </w:rPr>
        <w:t>号</w:t>
      </w:r>
      <w:r>
        <w:rPr>
          <w:rFonts w:ascii="宋体" w:cs="宋体"/>
          <w:b/>
          <w:bCs/>
          <w:color w:val="auto"/>
          <w:sz w:val="24"/>
          <w:szCs w:val="24"/>
          <w:highlight w:val="none"/>
        </w:rPr>
        <w:t xml:space="preserve"> </w:t>
      </w:r>
    </w:p>
    <w:p>
      <w:pPr>
        <w:spacing w:line="440" w:lineRule="exact"/>
        <w:ind w:left="2692" w:leftChars="1282"/>
        <w:jc w:val="left"/>
        <w:rPr>
          <w:rFonts w:ascii="宋体" w:cs="宋体"/>
          <w:b/>
          <w:bCs/>
          <w:color w:val="auto"/>
          <w:sz w:val="24"/>
          <w:szCs w:val="24"/>
          <w:highlight w:val="none"/>
        </w:rPr>
      </w:pPr>
      <w:r>
        <w:rPr>
          <w:rFonts w:hint="eastAsia" w:ascii="宋体" w:cs="宋体"/>
          <w:b/>
          <w:bCs/>
          <w:color w:val="auto"/>
          <w:sz w:val="24"/>
          <w:szCs w:val="24"/>
          <w:highlight w:val="none"/>
        </w:rPr>
        <w:t>采购编号：温政采［</w:t>
      </w:r>
      <w:r>
        <w:rPr>
          <w:rFonts w:ascii="宋体" w:cs="宋体"/>
          <w:b/>
          <w:bCs/>
          <w:color w:val="auto"/>
          <w:sz w:val="24"/>
          <w:szCs w:val="24"/>
          <w:highlight w:val="none"/>
        </w:rPr>
        <w:t>2019</w:t>
      </w:r>
      <w:r>
        <w:rPr>
          <w:rFonts w:hint="eastAsia" w:ascii="宋体" w:cs="宋体"/>
          <w:b/>
          <w:bCs/>
          <w:color w:val="auto"/>
          <w:sz w:val="24"/>
          <w:szCs w:val="24"/>
          <w:highlight w:val="none"/>
        </w:rPr>
        <w:t>］</w:t>
      </w:r>
      <w:r>
        <w:rPr>
          <w:rFonts w:ascii="宋体" w:cs="宋体"/>
          <w:b/>
          <w:bCs/>
          <w:color w:val="auto"/>
          <w:sz w:val="24"/>
          <w:szCs w:val="24"/>
          <w:highlight w:val="none"/>
        </w:rPr>
        <w:t>277</w:t>
      </w:r>
      <w:r>
        <w:rPr>
          <w:rFonts w:hint="eastAsia" w:ascii="宋体" w:cs="宋体"/>
          <w:b/>
          <w:bCs/>
          <w:color w:val="auto"/>
          <w:sz w:val="24"/>
          <w:szCs w:val="24"/>
          <w:highlight w:val="none"/>
        </w:rPr>
        <w:t>号</w:t>
      </w:r>
      <w:r>
        <w:rPr>
          <w:rFonts w:ascii="宋体" w:cs="宋体"/>
          <w:b/>
          <w:bCs/>
          <w:color w:val="auto"/>
          <w:sz w:val="24"/>
          <w:szCs w:val="24"/>
          <w:highlight w:val="none"/>
        </w:rPr>
        <w:t xml:space="preserve"> </w:t>
      </w:r>
    </w:p>
    <w:p>
      <w:pPr>
        <w:spacing w:line="440" w:lineRule="exact"/>
        <w:ind w:left="2692" w:leftChars="1282" w:firstLine="1200" w:firstLineChars="500"/>
        <w:jc w:val="left"/>
        <w:rPr>
          <w:rFonts w:ascii="宋体" w:cs="Times New Roman"/>
          <w:b/>
          <w:bCs/>
          <w:color w:val="auto"/>
          <w:sz w:val="24"/>
          <w:szCs w:val="24"/>
          <w:highlight w:val="none"/>
        </w:rPr>
      </w:pPr>
      <w:r>
        <w:rPr>
          <w:rFonts w:hint="eastAsia" w:ascii="宋体" w:cs="宋体"/>
          <w:b/>
          <w:bCs/>
          <w:color w:val="auto"/>
          <w:sz w:val="24"/>
          <w:szCs w:val="24"/>
          <w:highlight w:val="none"/>
        </w:rPr>
        <w:t>温政采［</w:t>
      </w:r>
      <w:r>
        <w:rPr>
          <w:rFonts w:ascii="宋体" w:cs="宋体"/>
          <w:b/>
          <w:bCs/>
          <w:color w:val="auto"/>
          <w:sz w:val="24"/>
          <w:szCs w:val="24"/>
          <w:highlight w:val="none"/>
        </w:rPr>
        <w:t>2019</w:t>
      </w:r>
      <w:r>
        <w:rPr>
          <w:rFonts w:hint="eastAsia" w:ascii="宋体" w:cs="宋体"/>
          <w:b/>
          <w:bCs/>
          <w:color w:val="auto"/>
          <w:sz w:val="24"/>
          <w:szCs w:val="24"/>
          <w:highlight w:val="none"/>
        </w:rPr>
        <w:t>］</w:t>
      </w:r>
      <w:r>
        <w:rPr>
          <w:rFonts w:ascii="宋体" w:cs="宋体"/>
          <w:b/>
          <w:bCs/>
          <w:color w:val="auto"/>
          <w:sz w:val="24"/>
          <w:szCs w:val="24"/>
          <w:highlight w:val="none"/>
        </w:rPr>
        <w:t>11-11</w:t>
      </w:r>
      <w:r>
        <w:rPr>
          <w:rFonts w:hint="eastAsia" w:ascii="宋体" w:cs="宋体"/>
          <w:b/>
          <w:bCs/>
          <w:color w:val="auto"/>
          <w:sz w:val="24"/>
          <w:szCs w:val="24"/>
          <w:highlight w:val="none"/>
        </w:rPr>
        <w:t>号</w:t>
      </w:r>
    </w:p>
    <w:p>
      <w:pPr>
        <w:spacing w:line="440" w:lineRule="exact"/>
        <w:jc w:val="center"/>
        <w:rPr>
          <w:rFonts w:ascii="宋体" w:cs="Times New Roman"/>
          <w:b/>
          <w:bCs/>
          <w:color w:val="auto"/>
          <w:highlight w:val="none"/>
        </w:rPr>
      </w:pPr>
    </w:p>
    <w:p>
      <w:pPr>
        <w:spacing w:line="440" w:lineRule="exact"/>
        <w:rPr>
          <w:rFonts w:ascii="宋体" w:cs="Times New Roman"/>
          <w:b/>
          <w:bCs/>
          <w:color w:val="auto"/>
          <w:highlight w:val="none"/>
        </w:rPr>
      </w:pPr>
    </w:p>
    <w:p>
      <w:pPr>
        <w:spacing w:line="600" w:lineRule="auto"/>
        <w:jc w:val="center"/>
        <w:rPr>
          <w:rFonts w:ascii="宋体" w:cs="Times New Roman"/>
          <w:b/>
          <w:bCs/>
          <w:color w:val="auto"/>
          <w:highlight w:val="none"/>
        </w:rPr>
      </w:pPr>
    </w:p>
    <w:p>
      <w:pPr>
        <w:spacing w:line="600" w:lineRule="auto"/>
        <w:rPr>
          <w:rFonts w:ascii="宋体" w:cs="Times New Roman"/>
          <w:b/>
          <w:bCs/>
          <w:color w:val="auto"/>
          <w:highlight w:val="none"/>
        </w:rPr>
      </w:pPr>
    </w:p>
    <w:p>
      <w:pPr>
        <w:spacing w:line="440" w:lineRule="exact"/>
        <w:rPr>
          <w:rFonts w:ascii="宋体" w:cs="Times New Roman"/>
          <w:b/>
          <w:bCs/>
          <w:color w:val="auto"/>
          <w:highlight w:val="none"/>
        </w:rPr>
      </w:pPr>
    </w:p>
    <w:p>
      <w:pPr>
        <w:spacing w:line="440" w:lineRule="exact"/>
        <w:rPr>
          <w:rFonts w:ascii="宋体" w:cs="Times New Roman"/>
          <w:b/>
          <w:bCs/>
          <w:color w:val="auto"/>
          <w:highlight w:val="none"/>
        </w:rPr>
      </w:pPr>
    </w:p>
    <w:p>
      <w:pPr>
        <w:spacing w:line="440" w:lineRule="exact"/>
        <w:rPr>
          <w:rFonts w:ascii="宋体" w:cs="Times New Roman"/>
          <w:b/>
          <w:bCs/>
          <w:color w:val="auto"/>
          <w:highlight w:val="none"/>
        </w:rPr>
      </w:pPr>
    </w:p>
    <w:p>
      <w:pPr>
        <w:spacing w:line="440" w:lineRule="exact"/>
        <w:rPr>
          <w:rFonts w:ascii="宋体" w:cs="Times New Roman"/>
          <w:b/>
          <w:bCs/>
          <w:color w:val="auto"/>
          <w:highlight w:val="none"/>
        </w:rPr>
      </w:pPr>
    </w:p>
    <w:p>
      <w:pPr>
        <w:spacing w:line="440" w:lineRule="exact"/>
        <w:rPr>
          <w:rFonts w:ascii="宋体" w:cs="Times New Roman"/>
          <w:b/>
          <w:bCs/>
          <w:color w:val="auto"/>
          <w:highlight w:val="none"/>
        </w:rPr>
      </w:pPr>
    </w:p>
    <w:p>
      <w:pPr>
        <w:pStyle w:val="45"/>
        <w:widowControl w:val="0"/>
        <w:adjustRightInd w:val="0"/>
        <w:snapToGrid w:val="0"/>
        <w:spacing w:line="580" w:lineRule="exact"/>
        <w:ind w:left="1417" w:leftChars="675" w:firstLine="640" w:firstLineChars="200"/>
        <w:jc w:val="both"/>
        <w:rPr>
          <w:rFonts w:hAnsi="宋体" w:cs="Times New Roman"/>
          <w:color w:val="auto"/>
          <w:sz w:val="32"/>
          <w:szCs w:val="32"/>
          <w:highlight w:val="none"/>
        </w:rPr>
      </w:pPr>
      <w:r>
        <w:rPr>
          <w:rFonts w:hint="eastAsia" w:hAnsi="宋体"/>
          <w:color w:val="auto"/>
          <w:sz w:val="32"/>
          <w:szCs w:val="32"/>
          <w:highlight w:val="none"/>
        </w:rPr>
        <w:t>采购人：温县妇幼保健院</w:t>
      </w:r>
    </w:p>
    <w:p>
      <w:pPr>
        <w:pStyle w:val="45"/>
        <w:widowControl w:val="0"/>
        <w:adjustRightInd w:val="0"/>
        <w:snapToGrid w:val="0"/>
        <w:spacing w:line="580" w:lineRule="exact"/>
        <w:ind w:left="1417" w:leftChars="675" w:firstLine="640" w:firstLineChars="200"/>
        <w:jc w:val="left"/>
        <w:rPr>
          <w:rFonts w:hAnsi="宋体" w:cs="Times New Roman"/>
          <w:color w:val="auto"/>
          <w:spacing w:val="30"/>
          <w:sz w:val="32"/>
          <w:szCs w:val="32"/>
          <w:highlight w:val="none"/>
        </w:rPr>
      </w:pPr>
      <w:r>
        <w:rPr>
          <w:rFonts w:hint="eastAsia" w:hAnsi="宋体"/>
          <w:color w:val="auto"/>
          <w:sz w:val="32"/>
          <w:szCs w:val="32"/>
          <w:highlight w:val="none"/>
        </w:rPr>
        <w:t>代理机构：河南宏业建设管理股份有限公司</w:t>
      </w:r>
    </w:p>
    <w:p>
      <w:pPr>
        <w:spacing w:line="580" w:lineRule="exact"/>
        <w:ind w:left="1417" w:leftChars="675" w:firstLine="728" w:firstLineChars="200"/>
        <w:rPr>
          <w:rFonts w:ascii="宋体" w:cs="Times New Roman"/>
          <w:b/>
          <w:bCs/>
          <w:color w:val="auto"/>
          <w:sz w:val="32"/>
          <w:szCs w:val="32"/>
          <w:highlight w:val="none"/>
        </w:rPr>
      </w:pPr>
      <w:r>
        <w:rPr>
          <w:rFonts w:hint="eastAsia" w:ascii="宋体" w:hAnsi="宋体" w:cs="宋体"/>
          <w:b/>
          <w:bCs/>
          <w:color w:val="auto"/>
          <w:spacing w:val="22"/>
          <w:sz w:val="32"/>
          <w:szCs w:val="32"/>
          <w:highlight w:val="none"/>
        </w:rPr>
        <w:t>日期：二零一九</w:t>
      </w:r>
      <w:r>
        <w:rPr>
          <w:rFonts w:hint="eastAsia" w:ascii="宋体" w:hAnsi="宋体" w:cs="宋体"/>
          <w:b/>
          <w:bCs/>
          <w:color w:val="auto"/>
          <w:sz w:val="32"/>
          <w:szCs w:val="32"/>
          <w:highlight w:val="none"/>
        </w:rPr>
        <w:t>年十一月</w:t>
      </w:r>
    </w:p>
    <w:p>
      <w:pPr>
        <w:spacing w:line="440" w:lineRule="exact"/>
        <w:ind w:left="1417" w:leftChars="675"/>
        <w:rPr>
          <w:rFonts w:ascii="宋体" w:cs="Times New Roman"/>
          <w:b/>
          <w:bCs/>
          <w:color w:val="auto"/>
          <w:sz w:val="32"/>
          <w:szCs w:val="32"/>
          <w:highlight w:val="none"/>
        </w:rPr>
      </w:pPr>
    </w:p>
    <w:p>
      <w:pPr>
        <w:spacing w:line="440" w:lineRule="exact"/>
        <w:rPr>
          <w:rFonts w:ascii="宋体" w:cs="Times New Roman"/>
          <w:color w:val="auto"/>
          <w:highlight w:val="none"/>
        </w:rPr>
      </w:pPr>
    </w:p>
    <w:p>
      <w:pPr>
        <w:spacing w:line="440" w:lineRule="exact"/>
        <w:rPr>
          <w:rFonts w:ascii="宋体" w:cs="Times New Roman"/>
          <w:b/>
          <w:bCs/>
          <w:color w:val="auto"/>
          <w:sz w:val="36"/>
          <w:szCs w:val="36"/>
          <w:highlight w:val="none"/>
        </w:rPr>
      </w:pPr>
    </w:p>
    <w:p>
      <w:pPr>
        <w:spacing w:line="440" w:lineRule="exact"/>
        <w:jc w:val="center"/>
        <w:rPr>
          <w:rFonts w:ascii="宋体" w:cs="Times New Roman"/>
          <w:b/>
          <w:bCs/>
          <w:color w:val="auto"/>
          <w:sz w:val="36"/>
          <w:szCs w:val="36"/>
          <w:highlight w:val="none"/>
        </w:rPr>
        <w:sectPr>
          <w:headerReference r:id="rId4" w:type="first"/>
          <w:footerReference r:id="rId6" w:type="first"/>
          <w:headerReference r:id="rId3" w:type="default"/>
          <w:footerReference r:id="rId5" w:type="default"/>
          <w:pgSz w:w="11907" w:h="16840"/>
          <w:pgMar w:top="1134" w:right="1134" w:bottom="1134" w:left="1134" w:header="851" w:footer="992" w:gutter="0"/>
          <w:pgNumType w:start="0"/>
          <w:cols w:space="720" w:num="1"/>
          <w:titlePg/>
          <w:docGrid w:type="linesAndChars" w:linePitch="312" w:charSpace="0"/>
        </w:sectPr>
      </w:pPr>
    </w:p>
    <w:p>
      <w:pPr>
        <w:spacing w:line="440" w:lineRule="exact"/>
        <w:jc w:val="center"/>
        <w:rPr>
          <w:rFonts w:ascii="宋体" w:cs="Times New Roman"/>
          <w:b/>
          <w:bCs/>
          <w:color w:val="auto"/>
          <w:sz w:val="36"/>
          <w:szCs w:val="36"/>
          <w:highlight w:val="none"/>
        </w:rPr>
      </w:pPr>
    </w:p>
    <w:p>
      <w:pPr>
        <w:spacing w:line="440" w:lineRule="exact"/>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目录</w:t>
      </w:r>
    </w:p>
    <w:p>
      <w:pPr>
        <w:spacing w:line="440" w:lineRule="exact"/>
        <w:ind w:firstLine="720" w:firstLineChars="200"/>
        <w:jc w:val="center"/>
        <w:rPr>
          <w:rFonts w:ascii="宋体" w:cs="Times New Roman"/>
          <w:color w:val="auto"/>
          <w:sz w:val="36"/>
          <w:szCs w:val="36"/>
          <w:highlight w:val="none"/>
        </w:rPr>
      </w:pPr>
    </w:p>
    <w:p>
      <w:pPr>
        <w:pStyle w:val="16"/>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TOC \o "1-2" \h \z \u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HYPERLINK \l _Toc12857 </w:instrText>
      </w:r>
      <w:r>
        <w:rPr>
          <w:rFonts w:ascii="宋体" w:hAnsi="宋体" w:cs="宋体"/>
          <w:color w:val="auto"/>
          <w:highlight w:val="none"/>
        </w:rPr>
        <w:fldChar w:fldCharType="separate"/>
      </w:r>
      <w:r>
        <w:rPr>
          <w:rFonts w:hint="eastAsia" w:ascii="宋体" w:hAnsi="宋体"/>
          <w:color w:val="auto"/>
          <w:szCs w:val="36"/>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_Toc12857 </w:instrText>
      </w:r>
      <w:r>
        <w:rPr>
          <w:color w:val="auto"/>
          <w:highlight w:val="none"/>
        </w:rPr>
        <w:fldChar w:fldCharType="separate"/>
      </w:r>
      <w:r>
        <w:rPr>
          <w:color w:val="auto"/>
          <w:highlight w:val="none"/>
        </w:rPr>
        <w:t>2</w:t>
      </w:r>
      <w:r>
        <w:rPr>
          <w:color w:val="auto"/>
          <w:highlight w:val="none"/>
        </w:rPr>
        <w:fldChar w:fldCharType="end"/>
      </w:r>
      <w:r>
        <w:rPr>
          <w:rFonts w:ascii="宋体" w:hAnsi="宋体" w:cs="宋体"/>
          <w:color w:val="auto"/>
          <w:highlight w:val="none"/>
        </w:rPr>
        <w:fldChar w:fldCharType="end"/>
      </w:r>
    </w:p>
    <w:p>
      <w:pPr>
        <w:pStyle w:val="16"/>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_Toc29461 </w:instrText>
      </w:r>
      <w:r>
        <w:rPr>
          <w:rFonts w:ascii="宋体" w:hAnsi="宋体" w:cs="宋体"/>
          <w:color w:val="auto"/>
          <w:highlight w:val="none"/>
        </w:rPr>
        <w:fldChar w:fldCharType="separate"/>
      </w:r>
      <w:r>
        <w:rPr>
          <w:rFonts w:hint="eastAsia" w:ascii="宋体" w:hAnsi="宋体"/>
          <w:color w:val="auto"/>
          <w:szCs w:val="36"/>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_Toc29461 </w:instrText>
      </w:r>
      <w:r>
        <w:rPr>
          <w:color w:val="auto"/>
          <w:highlight w:val="none"/>
        </w:rPr>
        <w:fldChar w:fldCharType="separate"/>
      </w:r>
      <w:r>
        <w:rPr>
          <w:color w:val="auto"/>
          <w:highlight w:val="none"/>
        </w:rPr>
        <w:t>5</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_Toc23641 </w:instrText>
      </w:r>
      <w:r>
        <w:rPr>
          <w:rFonts w:ascii="宋体" w:hAnsi="宋体" w:cs="宋体"/>
          <w:color w:val="auto"/>
          <w:highlight w:val="none"/>
        </w:rPr>
        <w:fldChar w:fldCharType="separate"/>
      </w:r>
      <w:r>
        <w:rPr>
          <w:rFonts w:hint="eastAsia" w:ascii="宋体" w:hAnsi="宋体" w:cs="宋体"/>
          <w:bCs/>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_Toc23641 </w:instrText>
      </w:r>
      <w:r>
        <w:rPr>
          <w:color w:val="auto"/>
          <w:highlight w:val="none"/>
        </w:rPr>
        <w:fldChar w:fldCharType="separate"/>
      </w:r>
      <w:r>
        <w:rPr>
          <w:color w:val="auto"/>
          <w:highlight w:val="none"/>
        </w:rPr>
        <w:t>5</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_Toc30705 </w:instrText>
      </w:r>
      <w:r>
        <w:rPr>
          <w:rFonts w:ascii="宋体" w:hAnsi="宋体" w:cs="宋体"/>
          <w:color w:val="auto"/>
          <w:highlight w:val="none"/>
        </w:rPr>
        <w:fldChar w:fldCharType="separate"/>
      </w:r>
      <w:r>
        <w:rPr>
          <w:rFonts w:ascii="宋体" w:hAnsi="宋体" w:cs="宋体"/>
          <w:bCs/>
          <w:color w:val="auto"/>
          <w:kern w:val="0"/>
          <w:highlight w:val="none"/>
        </w:rPr>
        <w:t>1</w:t>
      </w:r>
      <w:r>
        <w:rPr>
          <w:rFonts w:hint="eastAsia" w:ascii="宋体" w:hAnsi="宋体" w:cs="宋体"/>
          <w:bCs/>
          <w:color w:val="auto"/>
          <w:kern w:val="0"/>
          <w:highlight w:val="none"/>
        </w:rPr>
        <w:t>总则</w:t>
      </w:r>
      <w:r>
        <w:rPr>
          <w:color w:val="auto"/>
          <w:highlight w:val="none"/>
        </w:rPr>
        <w:tab/>
      </w:r>
      <w:r>
        <w:rPr>
          <w:color w:val="auto"/>
          <w:highlight w:val="none"/>
        </w:rPr>
        <w:fldChar w:fldCharType="begin"/>
      </w:r>
      <w:r>
        <w:rPr>
          <w:color w:val="auto"/>
          <w:highlight w:val="none"/>
        </w:rPr>
        <w:instrText xml:space="preserve"> PAGEREF _Toc30705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_Toc20020 </w:instrText>
      </w:r>
      <w:r>
        <w:rPr>
          <w:rFonts w:ascii="宋体" w:hAnsi="宋体" w:cs="宋体"/>
          <w:color w:val="auto"/>
          <w:highlight w:val="none"/>
        </w:rPr>
        <w:fldChar w:fldCharType="separate"/>
      </w:r>
      <w:r>
        <w:rPr>
          <w:rFonts w:ascii="宋体" w:cs="Times New Roman"/>
          <w:bCs/>
          <w:color w:val="auto"/>
          <w:kern w:val="0"/>
          <w:highlight w:val="none"/>
        </w:rPr>
        <w:t xml:space="preserve">2. </w:t>
      </w:r>
      <w:r>
        <w:rPr>
          <w:rFonts w:hint="eastAsia" w:ascii="宋体" w:hAnsi="宋体" w:cs="宋体"/>
          <w:bCs/>
          <w:color w:val="auto"/>
          <w:kern w:val="0"/>
          <w:highlight w:val="none"/>
        </w:rPr>
        <w:t>招标文件</w:t>
      </w:r>
      <w:r>
        <w:rPr>
          <w:color w:val="auto"/>
          <w:highlight w:val="none"/>
        </w:rPr>
        <w:tab/>
      </w:r>
      <w:r>
        <w:rPr>
          <w:color w:val="auto"/>
          <w:highlight w:val="none"/>
        </w:rPr>
        <w:fldChar w:fldCharType="begin"/>
      </w:r>
      <w:r>
        <w:rPr>
          <w:color w:val="auto"/>
          <w:highlight w:val="none"/>
        </w:rPr>
        <w:instrText xml:space="preserve"> PAGEREF _Toc20020 </w:instrText>
      </w:r>
      <w:r>
        <w:rPr>
          <w:color w:val="auto"/>
          <w:highlight w:val="none"/>
        </w:rPr>
        <w:fldChar w:fldCharType="separate"/>
      </w:r>
      <w:r>
        <w:rPr>
          <w:color w:val="auto"/>
          <w:highlight w:val="none"/>
        </w:rPr>
        <w:t>9</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_Toc701 </w:instrText>
      </w:r>
      <w:r>
        <w:rPr>
          <w:rFonts w:ascii="宋体" w:hAnsi="宋体" w:cs="宋体"/>
          <w:color w:val="auto"/>
          <w:highlight w:val="none"/>
        </w:rPr>
        <w:fldChar w:fldCharType="separate"/>
      </w:r>
      <w:r>
        <w:rPr>
          <w:rFonts w:ascii="宋体" w:cs="Times New Roman"/>
          <w:bCs/>
          <w:color w:val="auto"/>
          <w:kern w:val="0"/>
          <w:highlight w:val="none"/>
        </w:rPr>
        <w:t xml:space="preserve">3. </w:t>
      </w:r>
      <w:r>
        <w:rPr>
          <w:rFonts w:hint="eastAsia" w:ascii="宋体" w:hAnsi="宋体" w:cs="宋体"/>
          <w:bCs/>
          <w:color w:val="auto"/>
          <w:kern w:val="0"/>
          <w:highlight w:val="none"/>
        </w:rPr>
        <w:t>投标文件</w:t>
      </w:r>
      <w:r>
        <w:rPr>
          <w:color w:val="auto"/>
          <w:highlight w:val="none"/>
        </w:rPr>
        <w:tab/>
      </w:r>
      <w:r>
        <w:rPr>
          <w:color w:val="auto"/>
          <w:highlight w:val="none"/>
        </w:rPr>
        <w:fldChar w:fldCharType="begin"/>
      </w:r>
      <w:r>
        <w:rPr>
          <w:color w:val="auto"/>
          <w:highlight w:val="none"/>
        </w:rPr>
        <w:instrText xml:space="preserve"> PAGEREF _Toc701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_Toc30282 </w:instrText>
      </w:r>
      <w:r>
        <w:rPr>
          <w:rFonts w:ascii="宋体" w:hAnsi="宋体" w:cs="宋体"/>
          <w:color w:val="auto"/>
          <w:highlight w:val="none"/>
        </w:rPr>
        <w:fldChar w:fldCharType="separate"/>
      </w:r>
      <w:r>
        <w:rPr>
          <w:rFonts w:ascii="宋体" w:hAnsi="宋体" w:cs="宋体"/>
          <w:bCs/>
          <w:color w:val="auto"/>
          <w:kern w:val="0"/>
          <w:highlight w:val="none"/>
        </w:rPr>
        <w:t>4.</w:t>
      </w:r>
      <w:r>
        <w:rPr>
          <w:rFonts w:hint="eastAsia" w:ascii="宋体" w:hAnsi="宋体" w:cs="宋体"/>
          <w:bCs/>
          <w:color w:val="auto"/>
          <w:kern w:val="0"/>
          <w:highlight w:val="none"/>
        </w:rPr>
        <w:t>投标</w:t>
      </w:r>
      <w:r>
        <w:rPr>
          <w:color w:val="auto"/>
          <w:highlight w:val="none"/>
        </w:rPr>
        <w:tab/>
      </w:r>
      <w:r>
        <w:rPr>
          <w:color w:val="auto"/>
          <w:highlight w:val="none"/>
        </w:rPr>
        <w:fldChar w:fldCharType="begin"/>
      </w:r>
      <w:r>
        <w:rPr>
          <w:color w:val="auto"/>
          <w:highlight w:val="none"/>
        </w:rPr>
        <w:instrText xml:space="preserve"> PAGEREF _Toc30282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_Toc32726 </w:instrText>
      </w:r>
      <w:r>
        <w:rPr>
          <w:rFonts w:ascii="宋体" w:hAnsi="宋体" w:cs="宋体"/>
          <w:color w:val="auto"/>
          <w:highlight w:val="none"/>
        </w:rPr>
        <w:fldChar w:fldCharType="separate"/>
      </w:r>
      <w:r>
        <w:rPr>
          <w:rFonts w:ascii="宋体" w:hAnsi="宋体" w:cs="宋体"/>
          <w:color w:val="auto"/>
          <w:szCs w:val="24"/>
          <w:highlight w:val="none"/>
        </w:rPr>
        <w:t xml:space="preserve">4.1 </w:t>
      </w:r>
      <w:r>
        <w:rPr>
          <w:rFonts w:hint="eastAsia" w:ascii="宋体" w:hAnsi="宋体" w:cs="宋体"/>
          <w:color w:val="auto"/>
          <w:szCs w:val="24"/>
          <w:highlight w:val="none"/>
        </w:rPr>
        <w:t>投标文件的密封和标记</w:t>
      </w:r>
      <w:r>
        <w:rPr>
          <w:color w:val="auto"/>
          <w:highlight w:val="none"/>
        </w:rPr>
        <w:tab/>
      </w:r>
      <w:r>
        <w:rPr>
          <w:color w:val="auto"/>
          <w:highlight w:val="none"/>
        </w:rPr>
        <w:fldChar w:fldCharType="begin"/>
      </w:r>
      <w:r>
        <w:rPr>
          <w:color w:val="auto"/>
          <w:highlight w:val="none"/>
        </w:rPr>
        <w:instrText xml:space="preserve"> PAGEREF _Toc32726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_Toc14856 </w:instrText>
      </w:r>
      <w:r>
        <w:rPr>
          <w:rFonts w:ascii="宋体" w:hAnsi="宋体" w:cs="宋体"/>
          <w:color w:val="auto"/>
          <w:highlight w:val="none"/>
        </w:rPr>
        <w:fldChar w:fldCharType="separate"/>
      </w:r>
      <w:r>
        <w:rPr>
          <w:rFonts w:ascii="宋体" w:hAnsi="宋体" w:cs="宋体"/>
          <w:bCs/>
          <w:color w:val="auto"/>
          <w:kern w:val="0"/>
          <w:highlight w:val="none"/>
        </w:rPr>
        <w:t>5.</w:t>
      </w:r>
      <w:r>
        <w:rPr>
          <w:rFonts w:hint="eastAsia" w:ascii="宋体" w:hAnsi="宋体" w:cs="宋体"/>
          <w:bCs/>
          <w:color w:val="auto"/>
          <w:kern w:val="0"/>
          <w:highlight w:val="none"/>
        </w:rPr>
        <w:t>开标</w:t>
      </w:r>
      <w:r>
        <w:rPr>
          <w:color w:val="auto"/>
          <w:highlight w:val="none"/>
        </w:rPr>
        <w:tab/>
      </w:r>
      <w:r>
        <w:rPr>
          <w:color w:val="auto"/>
          <w:highlight w:val="none"/>
        </w:rPr>
        <w:fldChar w:fldCharType="begin"/>
      </w:r>
      <w:r>
        <w:rPr>
          <w:color w:val="auto"/>
          <w:highlight w:val="none"/>
        </w:rPr>
        <w:instrText xml:space="preserve"> PAGEREF _Toc14856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_Toc26278 </w:instrText>
      </w:r>
      <w:r>
        <w:rPr>
          <w:rFonts w:ascii="宋体" w:hAnsi="宋体" w:cs="宋体"/>
          <w:color w:val="auto"/>
          <w:highlight w:val="none"/>
        </w:rPr>
        <w:fldChar w:fldCharType="separate"/>
      </w:r>
      <w:r>
        <w:rPr>
          <w:rFonts w:ascii="宋体" w:hAnsi="宋体" w:cs="宋体"/>
          <w:bCs/>
          <w:color w:val="auto"/>
          <w:kern w:val="0"/>
          <w:highlight w:val="none"/>
        </w:rPr>
        <w:t>6</w:t>
      </w:r>
      <w:r>
        <w:rPr>
          <w:rFonts w:ascii="宋体" w:cs="宋体"/>
          <w:bCs/>
          <w:color w:val="auto"/>
          <w:kern w:val="0"/>
          <w:highlight w:val="none"/>
        </w:rPr>
        <w:t>.</w:t>
      </w:r>
      <w:r>
        <w:rPr>
          <w:rFonts w:hint="eastAsia" w:ascii="宋体" w:hAnsi="宋体" w:cs="宋体"/>
          <w:bCs/>
          <w:color w:val="auto"/>
          <w:kern w:val="0"/>
          <w:highlight w:val="none"/>
        </w:rPr>
        <w:t>评标</w:t>
      </w:r>
      <w:r>
        <w:rPr>
          <w:color w:val="auto"/>
          <w:highlight w:val="none"/>
        </w:rPr>
        <w:tab/>
      </w:r>
      <w:r>
        <w:rPr>
          <w:color w:val="auto"/>
          <w:highlight w:val="none"/>
        </w:rPr>
        <w:fldChar w:fldCharType="begin"/>
      </w:r>
      <w:r>
        <w:rPr>
          <w:color w:val="auto"/>
          <w:highlight w:val="none"/>
        </w:rPr>
        <w:instrText xml:space="preserve"> PAGEREF _Toc26278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_Toc28705 </w:instrText>
      </w:r>
      <w:r>
        <w:rPr>
          <w:rFonts w:ascii="宋体" w:hAnsi="宋体" w:cs="宋体"/>
          <w:color w:val="auto"/>
          <w:highlight w:val="none"/>
        </w:rPr>
        <w:fldChar w:fldCharType="separate"/>
      </w:r>
      <w:r>
        <w:rPr>
          <w:rFonts w:ascii="宋体" w:hAnsi="宋体" w:cs="宋体"/>
          <w:bCs/>
          <w:color w:val="auto"/>
          <w:kern w:val="0"/>
          <w:highlight w:val="none"/>
        </w:rPr>
        <w:t>7</w:t>
      </w:r>
      <w:r>
        <w:rPr>
          <w:rFonts w:ascii="宋体" w:cs="宋体"/>
          <w:bCs/>
          <w:color w:val="auto"/>
          <w:kern w:val="0"/>
          <w:highlight w:val="none"/>
        </w:rPr>
        <w:t>.</w:t>
      </w:r>
      <w:r>
        <w:rPr>
          <w:rFonts w:hint="eastAsia" w:ascii="宋体" w:hAnsi="宋体" w:cs="宋体"/>
          <w:bCs/>
          <w:color w:val="auto"/>
          <w:kern w:val="0"/>
          <w:highlight w:val="none"/>
        </w:rPr>
        <w:t>合同授予</w:t>
      </w:r>
      <w:r>
        <w:rPr>
          <w:color w:val="auto"/>
          <w:highlight w:val="none"/>
        </w:rPr>
        <w:tab/>
      </w:r>
      <w:r>
        <w:rPr>
          <w:color w:val="auto"/>
          <w:highlight w:val="none"/>
        </w:rPr>
        <w:fldChar w:fldCharType="begin"/>
      </w:r>
      <w:r>
        <w:rPr>
          <w:color w:val="auto"/>
          <w:highlight w:val="none"/>
        </w:rPr>
        <w:instrText xml:space="preserve"> PAGEREF _Toc28705 </w:instrText>
      </w:r>
      <w:r>
        <w:rPr>
          <w:color w:val="auto"/>
          <w:highlight w:val="none"/>
        </w:rPr>
        <w:fldChar w:fldCharType="separate"/>
      </w:r>
      <w:r>
        <w:rPr>
          <w:color w:val="auto"/>
          <w:highlight w:val="none"/>
        </w:rPr>
        <w:t>14</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_Toc733 </w:instrText>
      </w:r>
      <w:r>
        <w:rPr>
          <w:rFonts w:ascii="宋体" w:hAnsi="宋体" w:cs="宋体"/>
          <w:color w:val="auto"/>
          <w:highlight w:val="none"/>
        </w:rPr>
        <w:fldChar w:fldCharType="separate"/>
      </w:r>
      <w:r>
        <w:rPr>
          <w:rFonts w:ascii="宋体" w:cs="Times New Roman"/>
          <w:bCs/>
          <w:color w:val="auto"/>
          <w:kern w:val="0"/>
          <w:highlight w:val="none"/>
        </w:rPr>
        <w:t xml:space="preserve">9. </w:t>
      </w:r>
      <w:r>
        <w:rPr>
          <w:rFonts w:hint="eastAsia" w:ascii="宋体" w:hAnsi="宋体" w:cs="宋体"/>
          <w:bCs/>
          <w:color w:val="auto"/>
          <w:kern w:val="0"/>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_Toc733 </w:instrText>
      </w:r>
      <w:r>
        <w:rPr>
          <w:color w:val="auto"/>
          <w:highlight w:val="none"/>
        </w:rPr>
        <w:fldChar w:fldCharType="separate"/>
      </w:r>
      <w:r>
        <w:rPr>
          <w:color w:val="auto"/>
          <w:highlight w:val="none"/>
        </w:rPr>
        <w:t>15</w:t>
      </w:r>
      <w:r>
        <w:rPr>
          <w:color w:val="auto"/>
          <w:highlight w:val="none"/>
        </w:rPr>
        <w:fldChar w:fldCharType="end"/>
      </w:r>
      <w:r>
        <w:rPr>
          <w:rFonts w:ascii="宋体" w:hAnsi="宋体" w:cs="宋体"/>
          <w:color w:val="auto"/>
          <w:highlight w:val="none"/>
        </w:rPr>
        <w:fldChar w:fldCharType="end"/>
      </w:r>
    </w:p>
    <w:p>
      <w:pPr>
        <w:pStyle w:val="16"/>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_Toc25996 </w:instrText>
      </w:r>
      <w:r>
        <w:rPr>
          <w:rFonts w:ascii="宋体" w:hAnsi="宋体" w:cs="宋体"/>
          <w:color w:val="auto"/>
          <w:highlight w:val="none"/>
        </w:rPr>
        <w:fldChar w:fldCharType="separate"/>
      </w:r>
      <w:r>
        <w:rPr>
          <w:rFonts w:hint="eastAsia" w:ascii="宋体" w:hAnsi="宋体"/>
          <w:color w:val="auto"/>
          <w:szCs w:val="32"/>
          <w:highlight w:val="none"/>
        </w:rPr>
        <w:t>第三章评标方法</w:t>
      </w:r>
      <w:r>
        <w:rPr>
          <w:color w:val="auto"/>
          <w:highlight w:val="none"/>
        </w:rPr>
        <w:tab/>
      </w:r>
      <w:r>
        <w:rPr>
          <w:color w:val="auto"/>
          <w:highlight w:val="none"/>
        </w:rPr>
        <w:fldChar w:fldCharType="begin"/>
      </w:r>
      <w:r>
        <w:rPr>
          <w:color w:val="auto"/>
          <w:highlight w:val="none"/>
        </w:rPr>
        <w:instrText xml:space="preserve"> PAGEREF _Toc25996 </w:instrText>
      </w:r>
      <w:r>
        <w:rPr>
          <w:color w:val="auto"/>
          <w:highlight w:val="none"/>
        </w:rPr>
        <w:fldChar w:fldCharType="separate"/>
      </w:r>
      <w:r>
        <w:rPr>
          <w:color w:val="auto"/>
          <w:highlight w:val="none"/>
        </w:rPr>
        <w:t>16</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_Toc13193 </w:instrText>
      </w:r>
      <w:r>
        <w:rPr>
          <w:rFonts w:ascii="宋体" w:hAnsi="宋体" w:cs="宋体"/>
          <w:color w:val="auto"/>
          <w:highlight w:val="none"/>
        </w:rPr>
        <w:fldChar w:fldCharType="separate"/>
      </w:r>
      <w:r>
        <w:rPr>
          <w:rFonts w:ascii="宋体" w:cs="宋体"/>
          <w:color w:val="auto"/>
          <w:szCs w:val="28"/>
          <w:highlight w:val="none"/>
        </w:rPr>
        <w:t>1.</w:t>
      </w:r>
      <w:r>
        <w:rPr>
          <w:rFonts w:hint="eastAsia" w:ascii="宋体" w:cs="宋体"/>
          <w:color w:val="auto"/>
          <w:szCs w:val="28"/>
          <w:highlight w:val="none"/>
        </w:rPr>
        <w:t>评标准则和评标方法</w:t>
      </w:r>
      <w:r>
        <w:rPr>
          <w:color w:val="auto"/>
          <w:highlight w:val="none"/>
        </w:rPr>
        <w:tab/>
      </w:r>
      <w:r>
        <w:rPr>
          <w:color w:val="auto"/>
          <w:highlight w:val="none"/>
        </w:rPr>
        <w:fldChar w:fldCharType="begin"/>
      </w:r>
      <w:r>
        <w:rPr>
          <w:color w:val="auto"/>
          <w:highlight w:val="none"/>
        </w:rPr>
        <w:instrText xml:space="preserve"> PAGEREF _Toc13193 </w:instrText>
      </w:r>
      <w:r>
        <w:rPr>
          <w:color w:val="auto"/>
          <w:highlight w:val="none"/>
        </w:rPr>
        <w:fldChar w:fldCharType="separate"/>
      </w:r>
      <w:r>
        <w:rPr>
          <w:color w:val="auto"/>
          <w:highlight w:val="none"/>
        </w:rPr>
        <w:t>16</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_Toc21348 </w:instrText>
      </w:r>
      <w:r>
        <w:rPr>
          <w:rFonts w:ascii="宋体" w:hAnsi="宋体" w:cs="宋体"/>
          <w:color w:val="auto"/>
          <w:highlight w:val="none"/>
        </w:rPr>
        <w:fldChar w:fldCharType="separate"/>
      </w:r>
      <w:r>
        <w:rPr>
          <w:rFonts w:ascii="宋体" w:cs="宋体"/>
          <w:color w:val="auto"/>
          <w:szCs w:val="28"/>
          <w:highlight w:val="none"/>
        </w:rPr>
        <w:t>2.</w:t>
      </w:r>
      <w:r>
        <w:rPr>
          <w:rFonts w:hint="eastAsia" w:ascii="宋体" w:cs="宋体"/>
          <w:color w:val="auto"/>
          <w:szCs w:val="28"/>
          <w:highlight w:val="none"/>
        </w:rPr>
        <w:t>评审标准</w:t>
      </w:r>
      <w:r>
        <w:rPr>
          <w:color w:val="auto"/>
          <w:highlight w:val="none"/>
        </w:rPr>
        <w:tab/>
      </w:r>
      <w:r>
        <w:rPr>
          <w:color w:val="auto"/>
          <w:highlight w:val="none"/>
        </w:rPr>
        <w:fldChar w:fldCharType="begin"/>
      </w:r>
      <w:r>
        <w:rPr>
          <w:color w:val="auto"/>
          <w:highlight w:val="none"/>
        </w:rPr>
        <w:instrText xml:space="preserve"> PAGEREF _Toc21348 </w:instrText>
      </w:r>
      <w:r>
        <w:rPr>
          <w:color w:val="auto"/>
          <w:highlight w:val="none"/>
        </w:rPr>
        <w:fldChar w:fldCharType="separate"/>
      </w:r>
      <w:r>
        <w:rPr>
          <w:color w:val="auto"/>
          <w:highlight w:val="none"/>
        </w:rPr>
        <w:t>16</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_Toc21135 </w:instrText>
      </w:r>
      <w:r>
        <w:rPr>
          <w:rFonts w:ascii="宋体" w:hAnsi="宋体" w:cs="宋体"/>
          <w:color w:val="auto"/>
          <w:highlight w:val="none"/>
        </w:rPr>
        <w:fldChar w:fldCharType="separate"/>
      </w:r>
      <w:r>
        <w:rPr>
          <w:rFonts w:ascii="宋体" w:cs="宋体"/>
          <w:color w:val="auto"/>
          <w:szCs w:val="28"/>
          <w:highlight w:val="none"/>
        </w:rPr>
        <w:t xml:space="preserve">3. </w:t>
      </w:r>
      <w:r>
        <w:rPr>
          <w:rFonts w:hint="eastAsia" w:ascii="宋体" w:cs="宋体"/>
          <w:color w:val="auto"/>
          <w:szCs w:val="28"/>
          <w:highlight w:val="none"/>
        </w:rPr>
        <w:t>评标方法</w:t>
      </w:r>
      <w:r>
        <w:rPr>
          <w:color w:val="auto"/>
          <w:highlight w:val="none"/>
        </w:rPr>
        <w:tab/>
      </w:r>
      <w:r>
        <w:rPr>
          <w:color w:val="auto"/>
          <w:highlight w:val="none"/>
        </w:rPr>
        <w:fldChar w:fldCharType="begin"/>
      </w:r>
      <w:r>
        <w:rPr>
          <w:color w:val="auto"/>
          <w:highlight w:val="none"/>
        </w:rPr>
        <w:instrText xml:space="preserve"> PAGEREF _Toc21135 </w:instrText>
      </w:r>
      <w:r>
        <w:rPr>
          <w:color w:val="auto"/>
          <w:highlight w:val="none"/>
        </w:rPr>
        <w:fldChar w:fldCharType="separate"/>
      </w:r>
      <w:r>
        <w:rPr>
          <w:color w:val="auto"/>
          <w:highlight w:val="none"/>
        </w:rPr>
        <w:t>18</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_Toc1097 </w:instrText>
      </w:r>
      <w:r>
        <w:rPr>
          <w:rFonts w:ascii="宋体" w:hAnsi="宋体" w:cs="宋体"/>
          <w:color w:val="auto"/>
          <w:highlight w:val="none"/>
        </w:rPr>
        <w:fldChar w:fldCharType="separate"/>
      </w:r>
      <w:r>
        <w:rPr>
          <w:rFonts w:ascii="宋体" w:cs="宋体"/>
          <w:color w:val="auto"/>
          <w:szCs w:val="28"/>
          <w:highlight w:val="none"/>
        </w:rPr>
        <w:t>4.</w:t>
      </w:r>
      <w:r>
        <w:rPr>
          <w:rFonts w:hint="eastAsia" w:ascii="宋体" w:cs="宋体"/>
          <w:color w:val="auto"/>
          <w:szCs w:val="28"/>
          <w:highlight w:val="none"/>
        </w:rPr>
        <w:t>评标程序</w:t>
      </w:r>
      <w:r>
        <w:rPr>
          <w:color w:val="auto"/>
          <w:highlight w:val="none"/>
        </w:rPr>
        <w:tab/>
      </w:r>
      <w:r>
        <w:rPr>
          <w:color w:val="auto"/>
          <w:highlight w:val="none"/>
        </w:rPr>
        <w:fldChar w:fldCharType="begin"/>
      </w:r>
      <w:r>
        <w:rPr>
          <w:color w:val="auto"/>
          <w:highlight w:val="none"/>
        </w:rPr>
        <w:instrText xml:space="preserve"> PAGEREF _Toc1097 </w:instrText>
      </w:r>
      <w:r>
        <w:rPr>
          <w:color w:val="auto"/>
          <w:highlight w:val="none"/>
        </w:rPr>
        <w:fldChar w:fldCharType="separate"/>
      </w:r>
      <w:r>
        <w:rPr>
          <w:color w:val="auto"/>
          <w:highlight w:val="none"/>
        </w:rPr>
        <w:t>18</w:t>
      </w:r>
      <w:r>
        <w:rPr>
          <w:color w:val="auto"/>
          <w:highlight w:val="none"/>
        </w:rPr>
        <w:fldChar w:fldCharType="end"/>
      </w:r>
      <w:r>
        <w:rPr>
          <w:rFonts w:ascii="宋体" w:hAnsi="宋体" w:cs="宋体"/>
          <w:color w:val="auto"/>
          <w:highlight w:val="none"/>
        </w:rPr>
        <w:fldChar w:fldCharType="end"/>
      </w:r>
    </w:p>
    <w:p>
      <w:pPr>
        <w:pStyle w:val="16"/>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_Toc16153 </w:instrText>
      </w:r>
      <w:r>
        <w:rPr>
          <w:rFonts w:ascii="宋体" w:hAnsi="宋体" w:cs="宋体"/>
          <w:color w:val="auto"/>
          <w:highlight w:val="none"/>
        </w:rPr>
        <w:fldChar w:fldCharType="separate"/>
      </w:r>
      <w:r>
        <w:rPr>
          <w:rFonts w:hint="eastAsia" w:ascii="宋体" w:hAnsi="宋体" w:eastAsia="宋体" w:cs="Times New Roman"/>
          <w:color w:val="auto"/>
          <w:kern w:val="2"/>
          <w:szCs w:val="44"/>
          <w:highlight w:val="none"/>
        </w:rPr>
        <w:t xml:space="preserve">第四章 </w:t>
      </w:r>
      <w:r>
        <w:rPr>
          <w:rFonts w:hint="eastAsia" w:ascii="宋体" w:hAnsi="宋体" w:eastAsia="宋体" w:cs="宋体"/>
          <w:color w:val="auto"/>
          <w:kern w:val="2"/>
          <w:szCs w:val="44"/>
          <w:highlight w:val="none"/>
        </w:rPr>
        <w:t>招标项目概况及服务要求</w:t>
      </w:r>
      <w:r>
        <w:rPr>
          <w:color w:val="auto"/>
          <w:highlight w:val="none"/>
        </w:rPr>
        <w:tab/>
      </w:r>
      <w:r>
        <w:rPr>
          <w:color w:val="auto"/>
          <w:highlight w:val="none"/>
        </w:rPr>
        <w:fldChar w:fldCharType="begin"/>
      </w:r>
      <w:r>
        <w:rPr>
          <w:color w:val="auto"/>
          <w:highlight w:val="none"/>
        </w:rPr>
        <w:instrText xml:space="preserve"> PAGEREF _Toc16153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color w:val="auto"/>
          <w:highlight w:val="none"/>
        </w:rPr>
        <w:fldChar w:fldCharType="end"/>
      </w:r>
    </w:p>
    <w:p>
      <w:pPr>
        <w:pStyle w:val="16"/>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_Toc17825 </w:instrText>
      </w:r>
      <w:r>
        <w:rPr>
          <w:rFonts w:ascii="宋体" w:hAnsi="宋体" w:cs="宋体"/>
          <w:color w:val="auto"/>
          <w:highlight w:val="none"/>
        </w:rPr>
        <w:fldChar w:fldCharType="separate"/>
      </w:r>
      <w:r>
        <w:rPr>
          <w:rFonts w:hint="eastAsia" w:ascii="宋体" w:hAnsi="宋体" w:cs="宋体"/>
          <w:color w:val="auto"/>
          <w:szCs w:val="44"/>
          <w:highlight w:val="none"/>
        </w:rPr>
        <w:t>第五章合同签订及条款</w:t>
      </w:r>
      <w:r>
        <w:rPr>
          <w:color w:val="auto"/>
          <w:highlight w:val="none"/>
        </w:rPr>
        <w:tab/>
      </w:r>
      <w:r>
        <w:rPr>
          <w:color w:val="auto"/>
          <w:highlight w:val="none"/>
        </w:rPr>
        <w:fldChar w:fldCharType="begin"/>
      </w:r>
      <w:r>
        <w:rPr>
          <w:color w:val="auto"/>
          <w:highlight w:val="none"/>
        </w:rPr>
        <w:instrText xml:space="preserve"> PAGEREF _Toc17825 </w:instrText>
      </w:r>
      <w:r>
        <w:rPr>
          <w:color w:val="auto"/>
          <w:highlight w:val="none"/>
        </w:rPr>
        <w:fldChar w:fldCharType="separate"/>
      </w:r>
      <w:r>
        <w:rPr>
          <w:color w:val="auto"/>
          <w:highlight w:val="none"/>
        </w:rPr>
        <w:t>36</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_Toc22607 </w:instrText>
      </w:r>
      <w:r>
        <w:rPr>
          <w:rFonts w:ascii="宋体" w:hAnsi="宋体" w:cs="宋体"/>
          <w:color w:val="auto"/>
          <w:highlight w:val="none"/>
        </w:rPr>
        <w:fldChar w:fldCharType="separate"/>
      </w:r>
      <w:r>
        <w:rPr>
          <w:rFonts w:ascii="宋体" w:hAnsi="宋体" w:cs="宋体"/>
          <w:color w:val="auto"/>
          <w:szCs w:val="28"/>
          <w:highlight w:val="none"/>
        </w:rPr>
        <w:t>1.</w:t>
      </w:r>
      <w:r>
        <w:rPr>
          <w:rFonts w:hint="eastAsia" w:ascii="宋体" w:hAnsi="宋体" w:cs="宋体"/>
          <w:color w:val="auto"/>
          <w:szCs w:val="28"/>
          <w:highlight w:val="none"/>
        </w:rPr>
        <w:t>合同签订</w:t>
      </w:r>
      <w:r>
        <w:rPr>
          <w:color w:val="auto"/>
          <w:highlight w:val="none"/>
        </w:rPr>
        <w:tab/>
      </w:r>
      <w:r>
        <w:rPr>
          <w:color w:val="auto"/>
          <w:highlight w:val="none"/>
        </w:rPr>
        <w:fldChar w:fldCharType="begin"/>
      </w:r>
      <w:r>
        <w:rPr>
          <w:color w:val="auto"/>
          <w:highlight w:val="none"/>
        </w:rPr>
        <w:instrText xml:space="preserve"> PAGEREF _Toc22607 </w:instrText>
      </w:r>
      <w:r>
        <w:rPr>
          <w:color w:val="auto"/>
          <w:highlight w:val="none"/>
        </w:rPr>
        <w:fldChar w:fldCharType="separate"/>
      </w:r>
      <w:r>
        <w:rPr>
          <w:color w:val="auto"/>
          <w:highlight w:val="none"/>
        </w:rPr>
        <w:t>36</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_Toc3047 </w:instrText>
      </w:r>
      <w:r>
        <w:rPr>
          <w:rFonts w:ascii="宋体" w:hAnsi="宋体" w:cs="宋体"/>
          <w:color w:val="auto"/>
          <w:highlight w:val="none"/>
        </w:rPr>
        <w:fldChar w:fldCharType="separate"/>
      </w:r>
      <w:r>
        <w:rPr>
          <w:rFonts w:ascii="宋体" w:hAnsi="宋体" w:cs="宋体"/>
          <w:color w:val="auto"/>
          <w:szCs w:val="28"/>
          <w:highlight w:val="none"/>
        </w:rPr>
        <w:t>2.</w:t>
      </w:r>
      <w:r>
        <w:rPr>
          <w:rFonts w:hint="eastAsia" w:ascii="宋体" w:hAnsi="宋体" w:cs="宋体"/>
          <w:color w:val="auto"/>
          <w:szCs w:val="28"/>
          <w:highlight w:val="none"/>
        </w:rPr>
        <w:t>合同一般条款</w:t>
      </w:r>
      <w:r>
        <w:rPr>
          <w:color w:val="auto"/>
          <w:highlight w:val="none"/>
        </w:rPr>
        <w:tab/>
      </w:r>
      <w:r>
        <w:rPr>
          <w:color w:val="auto"/>
          <w:highlight w:val="none"/>
        </w:rPr>
        <w:fldChar w:fldCharType="begin"/>
      </w:r>
      <w:r>
        <w:rPr>
          <w:color w:val="auto"/>
          <w:highlight w:val="none"/>
        </w:rPr>
        <w:instrText xml:space="preserve"> PAGEREF _Toc3047 </w:instrText>
      </w:r>
      <w:r>
        <w:rPr>
          <w:color w:val="auto"/>
          <w:highlight w:val="none"/>
        </w:rPr>
        <w:fldChar w:fldCharType="separate"/>
      </w:r>
      <w:r>
        <w:rPr>
          <w:color w:val="auto"/>
          <w:highlight w:val="none"/>
        </w:rPr>
        <w:t>36</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_Toc21226 </w:instrText>
      </w:r>
      <w:r>
        <w:rPr>
          <w:rFonts w:ascii="宋体" w:hAnsi="宋体" w:cs="宋体"/>
          <w:color w:val="auto"/>
          <w:highlight w:val="none"/>
        </w:rPr>
        <w:fldChar w:fldCharType="separate"/>
      </w:r>
      <w:r>
        <w:rPr>
          <w:rFonts w:ascii="宋体" w:hAnsi="宋体" w:cs="宋体"/>
          <w:color w:val="auto"/>
          <w:szCs w:val="28"/>
          <w:highlight w:val="none"/>
        </w:rPr>
        <w:t>3</w:t>
      </w:r>
      <w:r>
        <w:rPr>
          <w:rFonts w:hint="eastAsia" w:ascii="宋体" w:hAnsi="宋体" w:cs="宋体"/>
          <w:color w:val="auto"/>
          <w:szCs w:val="28"/>
          <w:highlight w:val="none"/>
        </w:rPr>
        <w:t>．合同专用条款（特别约定条款）</w:t>
      </w:r>
      <w:r>
        <w:rPr>
          <w:color w:val="auto"/>
          <w:highlight w:val="none"/>
        </w:rPr>
        <w:tab/>
      </w:r>
      <w:r>
        <w:rPr>
          <w:color w:val="auto"/>
          <w:highlight w:val="none"/>
        </w:rPr>
        <w:fldChar w:fldCharType="begin"/>
      </w:r>
      <w:r>
        <w:rPr>
          <w:color w:val="auto"/>
          <w:highlight w:val="none"/>
        </w:rPr>
        <w:instrText xml:space="preserve"> PAGEREF _Toc21226 </w:instrText>
      </w:r>
      <w:r>
        <w:rPr>
          <w:color w:val="auto"/>
          <w:highlight w:val="none"/>
        </w:rPr>
        <w:fldChar w:fldCharType="separate"/>
      </w:r>
      <w:r>
        <w:rPr>
          <w:color w:val="auto"/>
          <w:highlight w:val="none"/>
        </w:rPr>
        <w:t>38</w:t>
      </w:r>
      <w:r>
        <w:rPr>
          <w:color w:val="auto"/>
          <w:highlight w:val="none"/>
        </w:rPr>
        <w:fldChar w:fldCharType="end"/>
      </w:r>
      <w:r>
        <w:rPr>
          <w:rFonts w:ascii="宋体" w:hAnsi="宋体" w:cs="宋体"/>
          <w:color w:val="auto"/>
          <w:highlight w:val="none"/>
        </w:rPr>
        <w:fldChar w:fldCharType="end"/>
      </w:r>
    </w:p>
    <w:p>
      <w:pPr>
        <w:pStyle w:val="16"/>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_Toc10861 </w:instrText>
      </w:r>
      <w:r>
        <w:rPr>
          <w:rFonts w:ascii="宋体" w:hAnsi="宋体" w:cs="宋体"/>
          <w:color w:val="auto"/>
          <w:highlight w:val="none"/>
        </w:rPr>
        <w:fldChar w:fldCharType="separate"/>
      </w:r>
      <w:r>
        <w:rPr>
          <w:rFonts w:hint="eastAsia" w:ascii="宋体" w:hAnsi="宋体"/>
          <w:bCs w:val="0"/>
          <w:color w:val="auto"/>
          <w:szCs w:val="52"/>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_Toc10861 </w:instrText>
      </w:r>
      <w:r>
        <w:rPr>
          <w:color w:val="auto"/>
          <w:highlight w:val="none"/>
        </w:rPr>
        <w:fldChar w:fldCharType="separate"/>
      </w:r>
      <w:r>
        <w:rPr>
          <w:color w:val="auto"/>
          <w:highlight w:val="none"/>
        </w:rPr>
        <w:t>41</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_Toc26734 </w:instrText>
      </w:r>
      <w:r>
        <w:rPr>
          <w:rFonts w:ascii="宋体" w:hAnsi="宋体" w:cs="宋体"/>
          <w:color w:val="auto"/>
          <w:highlight w:val="none"/>
        </w:rPr>
        <w:fldChar w:fldCharType="separate"/>
      </w:r>
      <w:r>
        <w:rPr>
          <w:rFonts w:hint="eastAsia" w:ascii="宋体" w:hAnsi="宋体" w:cs="宋体"/>
          <w:color w:val="auto"/>
          <w:szCs w:val="28"/>
          <w:highlight w:val="none"/>
        </w:rPr>
        <w:t>二、投标（报价）一览表</w:t>
      </w:r>
      <w:r>
        <w:rPr>
          <w:color w:val="auto"/>
          <w:highlight w:val="none"/>
        </w:rPr>
        <w:tab/>
      </w:r>
      <w:r>
        <w:rPr>
          <w:color w:val="auto"/>
          <w:highlight w:val="none"/>
        </w:rPr>
        <w:fldChar w:fldCharType="begin"/>
      </w:r>
      <w:r>
        <w:rPr>
          <w:color w:val="auto"/>
          <w:highlight w:val="none"/>
        </w:rPr>
        <w:instrText xml:space="preserve"> PAGEREF _Toc26734 </w:instrText>
      </w:r>
      <w:r>
        <w:rPr>
          <w:color w:val="auto"/>
          <w:highlight w:val="none"/>
        </w:rPr>
        <w:fldChar w:fldCharType="separate"/>
      </w:r>
      <w:r>
        <w:rPr>
          <w:color w:val="auto"/>
          <w:highlight w:val="none"/>
        </w:rPr>
        <w:t>44</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_Toc16959 </w:instrText>
      </w:r>
      <w:r>
        <w:rPr>
          <w:rFonts w:ascii="宋体" w:hAnsi="宋体" w:cs="宋体"/>
          <w:color w:val="auto"/>
          <w:highlight w:val="none"/>
        </w:rPr>
        <w:fldChar w:fldCharType="separate"/>
      </w:r>
      <w:r>
        <w:rPr>
          <w:rFonts w:hint="eastAsia" w:ascii="宋体" w:hAnsi="宋体" w:cs="宋体"/>
          <w:color w:val="auto"/>
          <w:szCs w:val="28"/>
          <w:highlight w:val="none"/>
        </w:rPr>
        <w:t>三、</w:t>
      </w:r>
      <w:r>
        <w:rPr>
          <w:rFonts w:hint="eastAsia" w:ascii="宋体" w:hAnsi="宋体" w:cs="宋体"/>
          <w:color w:val="auto"/>
          <w:highlight w:val="none"/>
        </w:rPr>
        <w:t>货物清单及报价明细表</w:t>
      </w:r>
      <w:r>
        <w:rPr>
          <w:color w:val="auto"/>
          <w:highlight w:val="none"/>
        </w:rPr>
        <w:tab/>
      </w:r>
      <w:r>
        <w:rPr>
          <w:color w:val="auto"/>
          <w:highlight w:val="none"/>
        </w:rPr>
        <w:fldChar w:fldCharType="begin"/>
      </w:r>
      <w:r>
        <w:rPr>
          <w:color w:val="auto"/>
          <w:highlight w:val="none"/>
        </w:rPr>
        <w:instrText xml:space="preserve"> PAGEREF _Toc16959 </w:instrText>
      </w:r>
      <w:r>
        <w:rPr>
          <w:color w:val="auto"/>
          <w:highlight w:val="none"/>
        </w:rPr>
        <w:fldChar w:fldCharType="separate"/>
      </w:r>
      <w:r>
        <w:rPr>
          <w:color w:val="auto"/>
          <w:highlight w:val="none"/>
        </w:rPr>
        <w:t>45</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_Toc5378 </w:instrText>
      </w:r>
      <w:r>
        <w:rPr>
          <w:rFonts w:ascii="宋体" w:hAnsi="宋体" w:cs="宋体"/>
          <w:color w:val="auto"/>
          <w:highlight w:val="none"/>
        </w:rPr>
        <w:fldChar w:fldCharType="separate"/>
      </w:r>
      <w:r>
        <w:rPr>
          <w:rFonts w:hint="eastAsia" w:ascii="宋体" w:hAnsi="宋体" w:cs="宋体"/>
          <w:color w:val="auto"/>
          <w:szCs w:val="28"/>
          <w:highlight w:val="none"/>
        </w:rPr>
        <w:t>技术规格偏差表</w:t>
      </w:r>
      <w:r>
        <w:rPr>
          <w:color w:val="auto"/>
          <w:highlight w:val="none"/>
        </w:rPr>
        <w:tab/>
      </w:r>
      <w:r>
        <w:rPr>
          <w:color w:val="auto"/>
          <w:highlight w:val="none"/>
        </w:rPr>
        <w:fldChar w:fldCharType="begin"/>
      </w:r>
      <w:r>
        <w:rPr>
          <w:color w:val="auto"/>
          <w:highlight w:val="none"/>
        </w:rPr>
        <w:instrText xml:space="preserve"> PAGEREF _Toc5378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_Toc26886 </w:instrText>
      </w:r>
      <w:r>
        <w:rPr>
          <w:rFonts w:ascii="宋体" w:hAnsi="宋体" w:cs="宋体"/>
          <w:color w:val="auto"/>
          <w:highlight w:val="none"/>
        </w:rPr>
        <w:fldChar w:fldCharType="separate"/>
      </w:r>
      <w:r>
        <w:rPr>
          <w:rFonts w:hint="eastAsia" w:ascii="宋体" w:hAnsi="宋体" w:cs="宋体"/>
          <w:color w:val="auto"/>
          <w:szCs w:val="28"/>
          <w:highlight w:val="none"/>
        </w:rPr>
        <w:t>四、</w:t>
      </w:r>
      <w:r>
        <w:rPr>
          <w:rFonts w:hint="eastAsia" w:ascii="宋体" w:hAnsi="宋体" w:cs="宋体"/>
          <w:color w:val="auto"/>
          <w:highlight w:val="none"/>
        </w:rPr>
        <w:t>法定代表人（负责人）身份证明</w:t>
      </w:r>
      <w:r>
        <w:rPr>
          <w:color w:val="auto"/>
          <w:highlight w:val="none"/>
        </w:rPr>
        <w:tab/>
      </w:r>
      <w:r>
        <w:rPr>
          <w:color w:val="auto"/>
          <w:highlight w:val="none"/>
        </w:rPr>
        <w:fldChar w:fldCharType="begin"/>
      </w:r>
      <w:r>
        <w:rPr>
          <w:color w:val="auto"/>
          <w:highlight w:val="none"/>
        </w:rPr>
        <w:instrText xml:space="preserve"> PAGEREF _Toc26886 </w:instrText>
      </w:r>
      <w:r>
        <w:rPr>
          <w:color w:val="auto"/>
          <w:highlight w:val="none"/>
        </w:rPr>
        <w:fldChar w:fldCharType="separate"/>
      </w:r>
      <w:r>
        <w:rPr>
          <w:color w:val="auto"/>
          <w:highlight w:val="none"/>
        </w:rPr>
        <w:t>47</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_Toc323 </w:instrText>
      </w:r>
      <w:r>
        <w:rPr>
          <w:rFonts w:ascii="宋体" w:hAnsi="宋体" w:cs="宋体"/>
          <w:color w:val="auto"/>
          <w:highlight w:val="none"/>
        </w:rPr>
        <w:fldChar w:fldCharType="separate"/>
      </w:r>
      <w:r>
        <w:rPr>
          <w:rFonts w:hint="eastAsia" w:ascii="宋体" w:hAnsi="宋体" w:cs="宋体"/>
          <w:color w:val="auto"/>
          <w:szCs w:val="28"/>
          <w:highlight w:val="none"/>
        </w:rPr>
        <w:t>五、</w:t>
      </w:r>
      <w:r>
        <w:rPr>
          <w:rFonts w:hint="eastAsia" w:ascii="宋体" w:hAnsi="宋体" w:cs="宋体"/>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_Toc323 </w:instrText>
      </w:r>
      <w:r>
        <w:rPr>
          <w:color w:val="auto"/>
          <w:highlight w:val="none"/>
        </w:rPr>
        <w:fldChar w:fldCharType="separate"/>
      </w:r>
      <w:r>
        <w:rPr>
          <w:color w:val="auto"/>
          <w:highlight w:val="none"/>
        </w:rPr>
        <w:t>48</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_Toc20509 </w:instrText>
      </w:r>
      <w:r>
        <w:rPr>
          <w:rFonts w:ascii="宋体" w:hAnsi="宋体" w:cs="宋体"/>
          <w:color w:val="auto"/>
          <w:highlight w:val="none"/>
        </w:rPr>
        <w:fldChar w:fldCharType="separate"/>
      </w:r>
      <w:r>
        <w:rPr>
          <w:rFonts w:hint="eastAsia" w:ascii="宋体" w:cs="宋体"/>
          <w:color w:val="auto"/>
          <w:highlight w:val="none"/>
        </w:rPr>
        <w:t>九、反商业贿赂承诺书</w:t>
      </w:r>
      <w:r>
        <w:rPr>
          <w:color w:val="auto"/>
          <w:highlight w:val="none"/>
        </w:rPr>
        <w:tab/>
      </w:r>
      <w:r>
        <w:rPr>
          <w:color w:val="auto"/>
          <w:highlight w:val="none"/>
        </w:rPr>
        <w:fldChar w:fldCharType="begin"/>
      </w:r>
      <w:r>
        <w:rPr>
          <w:color w:val="auto"/>
          <w:highlight w:val="none"/>
        </w:rPr>
        <w:instrText xml:space="preserve"> PAGEREF _Toc20509 </w:instrText>
      </w:r>
      <w:r>
        <w:rPr>
          <w:color w:val="auto"/>
          <w:highlight w:val="none"/>
        </w:rPr>
        <w:fldChar w:fldCharType="separate"/>
      </w:r>
      <w:r>
        <w:rPr>
          <w:color w:val="auto"/>
          <w:highlight w:val="none"/>
        </w:rPr>
        <w:t>52</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_Toc24460 </w:instrText>
      </w:r>
      <w:r>
        <w:rPr>
          <w:rFonts w:ascii="宋体" w:hAnsi="宋体" w:cs="宋体"/>
          <w:color w:val="auto"/>
          <w:highlight w:val="none"/>
        </w:rPr>
        <w:fldChar w:fldCharType="separate"/>
      </w:r>
      <w:r>
        <w:rPr>
          <w:rFonts w:hint="eastAsia" w:ascii="宋体" w:hAnsi="宋体" w:cs="宋体"/>
          <w:color w:val="auto"/>
          <w:highlight w:val="none"/>
          <w:lang w:val="en-GB"/>
        </w:rPr>
        <w:t>十、投标人资格声明函</w:t>
      </w:r>
      <w:r>
        <w:rPr>
          <w:color w:val="auto"/>
          <w:highlight w:val="none"/>
        </w:rPr>
        <w:tab/>
      </w:r>
      <w:r>
        <w:rPr>
          <w:color w:val="auto"/>
          <w:highlight w:val="none"/>
        </w:rPr>
        <w:fldChar w:fldCharType="begin"/>
      </w:r>
      <w:r>
        <w:rPr>
          <w:color w:val="auto"/>
          <w:highlight w:val="none"/>
        </w:rPr>
        <w:instrText xml:space="preserve"> PAGEREF _Toc24460 </w:instrText>
      </w:r>
      <w:r>
        <w:rPr>
          <w:color w:val="auto"/>
          <w:highlight w:val="none"/>
        </w:rPr>
        <w:fldChar w:fldCharType="separate"/>
      </w:r>
      <w:r>
        <w:rPr>
          <w:color w:val="auto"/>
          <w:highlight w:val="none"/>
        </w:rPr>
        <w:t>53</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_Toc13623 </w:instrText>
      </w:r>
      <w:r>
        <w:rPr>
          <w:rFonts w:ascii="宋体" w:hAnsi="宋体" w:cs="宋体"/>
          <w:color w:val="auto"/>
          <w:highlight w:val="none"/>
        </w:rPr>
        <w:fldChar w:fldCharType="separate"/>
      </w:r>
      <w:r>
        <w:rPr>
          <w:rFonts w:hint="eastAsia" w:ascii="宋体" w:hAnsi="宋体" w:cs="宋体"/>
          <w:color w:val="auto"/>
          <w:highlight w:val="none"/>
          <w:lang w:val="en-GB"/>
        </w:rPr>
        <w:t>十一、投标人资格证明文件</w:t>
      </w:r>
      <w:r>
        <w:rPr>
          <w:color w:val="auto"/>
          <w:highlight w:val="none"/>
        </w:rPr>
        <w:tab/>
      </w:r>
      <w:r>
        <w:rPr>
          <w:color w:val="auto"/>
          <w:highlight w:val="none"/>
        </w:rPr>
        <w:fldChar w:fldCharType="begin"/>
      </w:r>
      <w:r>
        <w:rPr>
          <w:color w:val="auto"/>
          <w:highlight w:val="none"/>
        </w:rPr>
        <w:instrText xml:space="preserve"> PAGEREF _Toc13623 </w:instrText>
      </w:r>
      <w:r>
        <w:rPr>
          <w:color w:val="auto"/>
          <w:highlight w:val="none"/>
        </w:rPr>
        <w:fldChar w:fldCharType="separate"/>
      </w:r>
      <w:r>
        <w:rPr>
          <w:color w:val="auto"/>
          <w:highlight w:val="none"/>
        </w:rPr>
        <w:t>55</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_Toc126 </w:instrText>
      </w:r>
      <w:r>
        <w:rPr>
          <w:rFonts w:ascii="宋体" w:hAnsi="宋体" w:cs="宋体"/>
          <w:color w:val="auto"/>
          <w:highlight w:val="none"/>
        </w:rPr>
        <w:fldChar w:fldCharType="separate"/>
      </w:r>
      <w:r>
        <w:rPr>
          <w:rFonts w:hint="eastAsia" w:ascii="宋体" w:hAnsi="宋体" w:cs="宋体"/>
          <w:color w:val="auto"/>
          <w:szCs w:val="28"/>
          <w:highlight w:val="none"/>
        </w:rPr>
        <w:t>十二、招标文件要求或投标人认为需要提供的其他资料</w:t>
      </w:r>
      <w:r>
        <w:rPr>
          <w:color w:val="auto"/>
          <w:highlight w:val="none"/>
        </w:rPr>
        <w:tab/>
      </w:r>
      <w:r>
        <w:rPr>
          <w:color w:val="auto"/>
          <w:highlight w:val="none"/>
        </w:rPr>
        <w:fldChar w:fldCharType="begin"/>
      </w:r>
      <w:r>
        <w:rPr>
          <w:color w:val="auto"/>
          <w:highlight w:val="none"/>
        </w:rPr>
        <w:instrText xml:space="preserve"> PAGEREF _Toc126 </w:instrText>
      </w:r>
      <w:r>
        <w:rPr>
          <w:color w:val="auto"/>
          <w:highlight w:val="none"/>
        </w:rPr>
        <w:fldChar w:fldCharType="separate"/>
      </w:r>
      <w:r>
        <w:rPr>
          <w:color w:val="auto"/>
          <w:highlight w:val="none"/>
        </w:rPr>
        <w:t>57</w:t>
      </w:r>
      <w:r>
        <w:rPr>
          <w:color w:val="auto"/>
          <w:highlight w:val="none"/>
        </w:rPr>
        <w:fldChar w:fldCharType="end"/>
      </w:r>
      <w:r>
        <w:rPr>
          <w:rFonts w:ascii="宋体" w:hAnsi="宋体" w:cs="宋体"/>
          <w:color w:val="auto"/>
          <w:highlight w:val="none"/>
        </w:rPr>
        <w:fldChar w:fldCharType="end"/>
      </w:r>
    </w:p>
    <w:p>
      <w:pPr>
        <w:pStyle w:val="18"/>
        <w:tabs>
          <w:tab w:val="right" w:leader="dot" w:pos="9639"/>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_Toc28996 </w:instrText>
      </w:r>
      <w:r>
        <w:rPr>
          <w:rFonts w:ascii="宋体" w:hAnsi="宋体" w:cs="宋体"/>
          <w:color w:val="auto"/>
          <w:highlight w:val="none"/>
        </w:rPr>
        <w:fldChar w:fldCharType="separate"/>
      </w:r>
      <w:r>
        <w:rPr>
          <w:rFonts w:hint="eastAsia" w:ascii="宋体" w:hAnsi="宋体" w:cs="宋体"/>
          <w:color w:val="auto"/>
          <w:szCs w:val="28"/>
          <w:highlight w:val="none"/>
        </w:rPr>
        <w:t>十三、中小企业声明函</w:t>
      </w:r>
      <w:r>
        <w:rPr>
          <w:color w:val="auto"/>
          <w:highlight w:val="none"/>
        </w:rPr>
        <w:tab/>
      </w:r>
      <w:r>
        <w:rPr>
          <w:color w:val="auto"/>
          <w:highlight w:val="none"/>
        </w:rPr>
        <w:fldChar w:fldCharType="begin"/>
      </w:r>
      <w:r>
        <w:rPr>
          <w:color w:val="auto"/>
          <w:highlight w:val="none"/>
        </w:rPr>
        <w:instrText xml:space="preserve"> PAGEREF _Toc28996 </w:instrText>
      </w:r>
      <w:r>
        <w:rPr>
          <w:color w:val="auto"/>
          <w:highlight w:val="none"/>
        </w:rPr>
        <w:fldChar w:fldCharType="separate"/>
      </w:r>
      <w:r>
        <w:rPr>
          <w:color w:val="auto"/>
          <w:highlight w:val="none"/>
        </w:rPr>
        <w:t>58</w:t>
      </w:r>
      <w:r>
        <w:rPr>
          <w:color w:val="auto"/>
          <w:highlight w:val="none"/>
        </w:rPr>
        <w:fldChar w:fldCharType="end"/>
      </w:r>
      <w:r>
        <w:rPr>
          <w:rFonts w:ascii="宋体" w:hAnsi="宋体" w:cs="宋体"/>
          <w:color w:val="auto"/>
          <w:highlight w:val="none"/>
        </w:rPr>
        <w:fldChar w:fldCharType="end"/>
      </w:r>
    </w:p>
    <w:p>
      <w:pPr>
        <w:spacing w:line="440" w:lineRule="exact"/>
        <w:jc w:val="left"/>
        <w:rPr>
          <w:rFonts w:ascii="宋体" w:cs="Times New Roman"/>
          <w:color w:val="auto"/>
          <w:highlight w:val="none"/>
        </w:rPr>
      </w:pPr>
      <w:r>
        <w:rPr>
          <w:rFonts w:ascii="宋体" w:hAnsi="宋体" w:cs="宋体"/>
          <w:color w:val="auto"/>
          <w:highlight w:val="none"/>
        </w:rPr>
        <w:fldChar w:fldCharType="end"/>
      </w:r>
    </w:p>
    <w:p>
      <w:pPr>
        <w:spacing w:line="440" w:lineRule="exact"/>
        <w:jc w:val="center"/>
        <w:rPr>
          <w:rFonts w:ascii="宋体" w:cs="Times New Roman"/>
          <w:b/>
          <w:bCs/>
          <w:color w:val="auto"/>
          <w:highlight w:val="none"/>
        </w:rPr>
      </w:pPr>
    </w:p>
    <w:p>
      <w:pPr>
        <w:spacing w:line="440" w:lineRule="exact"/>
        <w:rPr>
          <w:rFonts w:ascii="宋体" w:cs="Times New Roman"/>
          <w:b/>
          <w:bCs/>
          <w:color w:val="auto"/>
          <w:highlight w:val="none"/>
        </w:rPr>
      </w:pPr>
    </w:p>
    <w:p>
      <w:pPr>
        <w:pStyle w:val="2"/>
        <w:rPr>
          <w:color w:val="auto"/>
          <w:highlight w:val="none"/>
        </w:rPr>
      </w:pPr>
    </w:p>
    <w:p>
      <w:pPr>
        <w:pStyle w:val="3"/>
        <w:spacing w:line="440" w:lineRule="exact"/>
        <w:rPr>
          <w:rFonts w:ascii="宋体" w:eastAsia="宋体" w:cs="Times New Roman"/>
          <w:color w:val="auto"/>
          <w:sz w:val="36"/>
          <w:szCs w:val="36"/>
          <w:highlight w:val="none"/>
        </w:rPr>
      </w:pPr>
      <w:bookmarkStart w:id="0" w:name="_Toc12857"/>
      <w:bookmarkStart w:id="1" w:name="_Toc437723980"/>
      <w:r>
        <w:rPr>
          <w:rFonts w:hint="eastAsia" w:ascii="宋体" w:hAnsi="宋体"/>
          <w:color w:val="auto"/>
          <w:sz w:val="36"/>
          <w:szCs w:val="36"/>
          <w:highlight w:val="none"/>
        </w:rPr>
        <w:t>第一章招标公告</w:t>
      </w:r>
      <w:bookmarkEnd w:id="0"/>
      <w:bookmarkEnd w:id="1"/>
    </w:p>
    <w:p>
      <w:pPr>
        <w:rPr>
          <w:rFonts w:cs="Times New Roman"/>
          <w:color w:val="auto"/>
          <w:highlight w:val="none"/>
        </w:rPr>
      </w:pPr>
    </w:p>
    <w:p>
      <w:pPr>
        <w:spacing w:line="540" w:lineRule="exact"/>
        <w:jc w:val="center"/>
        <w:rPr>
          <w:rFonts w:ascii="宋体" w:cs="Times New Roman"/>
          <w:b/>
          <w:bCs/>
          <w:color w:val="auto"/>
          <w:kern w:val="0"/>
          <w:sz w:val="32"/>
          <w:szCs w:val="32"/>
          <w:highlight w:val="none"/>
        </w:rPr>
      </w:pPr>
      <w:bookmarkStart w:id="2" w:name="OLE_LINK7"/>
      <w:bookmarkStart w:id="3" w:name="OLE_LINK12"/>
      <w:r>
        <w:rPr>
          <w:rFonts w:hint="eastAsia" w:ascii="宋体" w:hAnsi="宋体" w:cs="宋体"/>
          <w:b/>
          <w:bCs/>
          <w:color w:val="auto"/>
          <w:kern w:val="0"/>
          <w:sz w:val="32"/>
          <w:szCs w:val="32"/>
          <w:highlight w:val="none"/>
        </w:rPr>
        <w:t>温县妇幼保健院（迁建项目）机房建设项目</w:t>
      </w:r>
    </w:p>
    <w:p>
      <w:pPr>
        <w:spacing w:line="540" w:lineRule="exact"/>
        <w:jc w:val="center"/>
        <w:rPr>
          <w:rStyle w:val="26"/>
          <w:rFonts w:ascii="宋体" w:cs="Times New Roman"/>
          <w:color w:val="auto"/>
          <w:highlight w:val="none"/>
          <w:shd w:val="clear" w:color="auto" w:fill="FFFFFF"/>
        </w:rPr>
      </w:pPr>
      <w:r>
        <w:rPr>
          <w:rFonts w:hint="eastAsia" w:ascii="宋体" w:hAnsi="宋体" w:cs="宋体"/>
          <w:b/>
          <w:bCs/>
          <w:color w:val="auto"/>
          <w:kern w:val="0"/>
          <w:sz w:val="32"/>
          <w:szCs w:val="32"/>
          <w:highlight w:val="none"/>
        </w:rPr>
        <w:t>招标公告</w:t>
      </w:r>
      <w:bookmarkEnd w:id="2"/>
      <w:bookmarkEnd w:id="3"/>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一、采购项目名称：</w:t>
      </w:r>
      <w:r>
        <w:rPr>
          <w:rFonts w:hint="eastAsia"/>
          <w:color w:val="auto"/>
          <w:kern w:val="2"/>
          <w:sz w:val="21"/>
          <w:szCs w:val="21"/>
          <w:highlight w:val="none"/>
        </w:rPr>
        <w:t>温县妇幼保健院（迁建项目）机房建设项目</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二、项目编号：</w:t>
      </w:r>
      <w:r>
        <w:rPr>
          <w:rFonts w:hint="eastAsia"/>
          <w:color w:val="auto"/>
          <w:kern w:val="2"/>
          <w:sz w:val="21"/>
          <w:szCs w:val="21"/>
          <w:highlight w:val="none"/>
        </w:rPr>
        <w:t>温交易［</w:t>
      </w:r>
      <w:r>
        <w:rPr>
          <w:color w:val="auto"/>
          <w:kern w:val="2"/>
          <w:sz w:val="21"/>
          <w:szCs w:val="21"/>
          <w:highlight w:val="none"/>
        </w:rPr>
        <w:t>2019</w:t>
      </w:r>
      <w:r>
        <w:rPr>
          <w:rFonts w:hint="eastAsia"/>
          <w:color w:val="auto"/>
          <w:kern w:val="2"/>
          <w:sz w:val="21"/>
          <w:szCs w:val="21"/>
          <w:highlight w:val="none"/>
        </w:rPr>
        <w:t>］</w:t>
      </w:r>
      <w:r>
        <w:rPr>
          <w:color w:val="auto"/>
          <w:kern w:val="2"/>
          <w:sz w:val="21"/>
          <w:szCs w:val="21"/>
          <w:highlight w:val="none"/>
        </w:rPr>
        <w:t>286</w:t>
      </w:r>
      <w:r>
        <w:rPr>
          <w:rFonts w:hint="eastAsia"/>
          <w:color w:val="auto"/>
          <w:kern w:val="2"/>
          <w:sz w:val="21"/>
          <w:szCs w:val="21"/>
          <w:highlight w:val="none"/>
        </w:rPr>
        <w:t>号</w:t>
      </w:r>
      <w:r>
        <w:rPr>
          <w:color w:val="auto"/>
          <w:kern w:val="2"/>
          <w:sz w:val="21"/>
          <w:szCs w:val="21"/>
          <w:highlight w:val="none"/>
        </w:rPr>
        <w:t xml:space="preserve"> </w:t>
      </w:r>
      <w:r>
        <w:rPr>
          <w:rStyle w:val="26"/>
          <w:rFonts w:hint="eastAsia"/>
          <w:color w:val="auto"/>
          <w:sz w:val="21"/>
          <w:szCs w:val="21"/>
          <w:highlight w:val="none"/>
          <w:shd w:val="clear" w:color="auto" w:fill="FFFFFF"/>
        </w:rPr>
        <w:t>采购编号：</w:t>
      </w:r>
      <w:r>
        <w:rPr>
          <w:rFonts w:hint="eastAsia"/>
          <w:color w:val="auto"/>
          <w:sz w:val="21"/>
          <w:szCs w:val="21"/>
          <w:highlight w:val="none"/>
          <w:shd w:val="clear" w:color="auto" w:fill="FFFFFF"/>
        </w:rPr>
        <w:t>温政采［</w:t>
      </w:r>
      <w:r>
        <w:rPr>
          <w:color w:val="auto"/>
          <w:sz w:val="21"/>
          <w:szCs w:val="21"/>
          <w:highlight w:val="none"/>
          <w:shd w:val="clear" w:color="auto" w:fill="FFFFFF"/>
        </w:rPr>
        <w:t>2019</w:t>
      </w:r>
      <w:r>
        <w:rPr>
          <w:rFonts w:hint="eastAsia"/>
          <w:color w:val="auto"/>
          <w:sz w:val="21"/>
          <w:szCs w:val="21"/>
          <w:highlight w:val="none"/>
          <w:shd w:val="clear" w:color="auto" w:fill="FFFFFF"/>
        </w:rPr>
        <w:t>］</w:t>
      </w:r>
      <w:r>
        <w:rPr>
          <w:color w:val="auto"/>
          <w:sz w:val="21"/>
          <w:szCs w:val="21"/>
          <w:highlight w:val="none"/>
          <w:shd w:val="clear" w:color="auto" w:fill="FFFFFF"/>
        </w:rPr>
        <w:t>277</w:t>
      </w:r>
      <w:r>
        <w:rPr>
          <w:rFonts w:hint="eastAsia"/>
          <w:color w:val="auto"/>
          <w:sz w:val="21"/>
          <w:szCs w:val="21"/>
          <w:highlight w:val="none"/>
          <w:shd w:val="clear" w:color="auto" w:fill="FFFFFF"/>
        </w:rPr>
        <w:t>号</w:t>
      </w:r>
      <w:r>
        <w:rPr>
          <w:color w:val="auto"/>
          <w:sz w:val="21"/>
          <w:szCs w:val="21"/>
          <w:highlight w:val="none"/>
          <w:shd w:val="clear" w:color="auto" w:fill="FFFFFF"/>
        </w:rPr>
        <w:t xml:space="preserve"> </w:t>
      </w:r>
      <w:r>
        <w:rPr>
          <w:rFonts w:hint="eastAsia"/>
          <w:color w:val="auto"/>
          <w:sz w:val="21"/>
          <w:szCs w:val="21"/>
          <w:highlight w:val="none"/>
          <w:shd w:val="clear" w:color="auto" w:fill="FFFFFF"/>
        </w:rPr>
        <w:t>温政采［</w:t>
      </w:r>
      <w:r>
        <w:rPr>
          <w:color w:val="auto"/>
          <w:sz w:val="21"/>
          <w:szCs w:val="21"/>
          <w:highlight w:val="none"/>
          <w:shd w:val="clear" w:color="auto" w:fill="FFFFFF"/>
        </w:rPr>
        <w:t>2019</w:t>
      </w:r>
      <w:r>
        <w:rPr>
          <w:rFonts w:hint="eastAsia"/>
          <w:color w:val="auto"/>
          <w:sz w:val="21"/>
          <w:szCs w:val="21"/>
          <w:highlight w:val="none"/>
          <w:shd w:val="clear" w:color="auto" w:fill="FFFFFF"/>
        </w:rPr>
        <w:t>］</w:t>
      </w:r>
      <w:r>
        <w:rPr>
          <w:color w:val="auto"/>
          <w:sz w:val="21"/>
          <w:szCs w:val="21"/>
          <w:highlight w:val="none"/>
          <w:shd w:val="clear" w:color="auto" w:fill="FFFFFF"/>
        </w:rPr>
        <w:t>11-11</w:t>
      </w:r>
      <w:r>
        <w:rPr>
          <w:rFonts w:hint="eastAsia"/>
          <w:color w:val="auto"/>
          <w:sz w:val="21"/>
          <w:szCs w:val="21"/>
          <w:highlight w:val="none"/>
          <w:shd w:val="clear" w:color="auto" w:fill="FFFFFF"/>
        </w:rPr>
        <w:t>号</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三、项目预算金额：</w:t>
      </w:r>
      <w:r>
        <w:rPr>
          <w:color w:val="auto"/>
          <w:sz w:val="21"/>
          <w:szCs w:val="21"/>
          <w:highlight w:val="none"/>
          <w:shd w:val="clear" w:color="auto" w:fill="FFFFFF"/>
        </w:rPr>
        <w:t>145</w:t>
      </w:r>
      <w:r>
        <w:rPr>
          <w:rFonts w:hint="eastAsia"/>
          <w:color w:val="auto"/>
          <w:sz w:val="21"/>
          <w:szCs w:val="21"/>
          <w:highlight w:val="none"/>
          <w:shd w:val="clear" w:color="auto" w:fill="FFFFFF"/>
        </w:rPr>
        <w:t>万元</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四、采购需求：</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1.</w:t>
      </w:r>
      <w:r>
        <w:rPr>
          <w:rFonts w:hint="eastAsia"/>
          <w:color w:val="auto"/>
          <w:sz w:val="21"/>
          <w:szCs w:val="21"/>
          <w:highlight w:val="none"/>
          <w:shd w:val="clear" w:color="auto" w:fill="FFFFFF"/>
        </w:rPr>
        <w:t>采购内容：包括机房供配电系统、防雷接地系统、</w:t>
      </w:r>
      <w:r>
        <w:rPr>
          <w:color w:val="auto"/>
          <w:sz w:val="21"/>
          <w:szCs w:val="21"/>
          <w:highlight w:val="none"/>
          <w:shd w:val="clear" w:color="auto" w:fill="FFFFFF"/>
        </w:rPr>
        <w:t>UPS</w:t>
      </w:r>
      <w:r>
        <w:rPr>
          <w:rFonts w:hint="eastAsia"/>
          <w:color w:val="auto"/>
          <w:sz w:val="21"/>
          <w:szCs w:val="21"/>
          <w:highlight w:val="none"/>
          <w:shd w:val="clear" w:color="auto" w:fill="FFFFFF"/>
        </w:rPr>
        <w:t>电源系统、空调系统、新风系统、综合布线系统、气体消防系统、环境及动力设备监控系统、防水隔层、安全设备及项目清单内容等。</w:t>
      </w:r>
      <w:r>
        <w:rPr>
          <w:color w:val="auto"/>
          <w:sz w:val="21"/>
          <w:szCs w:val="21"/>
          <w:highlight w:val="none"/>
          <w:shd w:val="clear" w:color="auto" w:fill="FFFFFF"/>
        </w:rPr>
        <w:t>(</w:t>
      </w:r>
      <w:r>
        <w:rPr>
          <w:rFonts w:hint="eastAsia"/>
          <w:color w:val="auto"/>
          <w:sz w:val="21"/>
          <w:szCs w:val="21"/>
          <w:highlight w:val="none"/>
          <w:shd w:val="clear" w:color="auto" w:fill="FFFFFF"/>
        </w:rPr>
        <w:t>具体内容详见招标文件</w:t>
      </w:r>
      <w:r>
        <w:rPr>
          <w:color w:val="auto"/>
          <w:sz w:val="21"/>
          <w:szCs w:val="21"/>
          <w:highlight w:val="none"/>
          <w:shd w:val="clear" w:color="auto" w:fill="FFFFFF"/>
        </w:rPr>
        <w:t>)</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2.</w:t>
      </w:r>
      <w:r>
        <w:rPr>
          <w:rFonts w:hint="eastAsia"/>
          <w:color w:val="auto"/>
          <w:sz w:val="21"/>
          <w:szCs w:val="21"/>
          <w:highlight w:val="none"/>
          <w:shd w:val="clear" w:color="auto" w:fill="FFFFFF"/>
        </w:rPr>
        <w:t>期限：</w:t>
      </w:r>
      <w:r>
        <w:rPr>
          <w:color w:val="auto"/>
          <w:sz w:val="21"/>
          <w:szCs w:val="21"/>
          <w:highlight w:val="none"/>
          <w:shd w:val="clear" w:color="auto" w:fill="FFFFFF"/>
        </w:rPr>
        <w:t>15</w:t>
      </w:r>
      <w:r>
        <w:rPr>
          <w:rFonts w:hint="eastAsia"/>
          <w:color w:val="auto"/>
          <w:sz w:val="21"/>
          <w:szCs w:val="21"/>
          <w:highlight w:val="none"/>
          <w:shd w:val="clear" w:color="auto" w:fill="FFFFFF"/>
        </w:rPr>
        <w:t>日历天</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3.</w:t>
      </w:r>
      <w:r>
        <w:rPr>
          <w:rFonts w:hint="eastAsia"/>
          <w:color w:val="auto"/>
          <w:sz w:val="21"/>
          <w:szCs w:val="21"/>
          <w:highlight w:val="none"/>
          <w:shd w:val="clear" w:color="auto" w:fill="FFFFFF"/>
        </w:rPr>
        <w:t>资金来源：自筹资金</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color w:val="auto"/>
          <w:sz w:val="21"/>
          <w:szCs w:val="21"/>
          <w:highlight w:val="none"/>
          <w:shd w:val="clear" w:color="auto" w:fill="FFFFFF"/>
        </w:rPr>
        <w:t>4.</w:t>
      </w:r>
      <w:r>
        <w:rPr>
          <w:rFonts w:hint="eastAsia"/>
          <w:color w:val="auto"/>
          <w:sz w:val="21"/>
          <w:szCs w:val="21"/>
          <w:highlight w:val="none"/>
          <w:shd w:val="clear" w:color="auto" w:fill="FFFFFF"/>
        </w:rPr>
        <w:t>质量要求：合格</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color w:val="auto"/>
          <w:sz w:val="21"/>
          <w:szCs w:val="21"/>
          <w:highlight w:val="none"/>
          <w:shd w:val="clear" w:color="auto" w:fill="FFFFFF"/>
        </w:rPr>
        <w:t>5.</w:t>
      </w:r>
      <w:r>
        <w:rPr>
          <w:rFonts w:hint="eastAsia"/>
          <w:color w:val="auto"/>
          <w:sz w:val="21"/>
          <w:szCs w:val="21"/>
          <w:highlight w:val="none"/>
          <w:shd w:val="clear" w:color="auto" w:fill="FFFFFF"/>
        </w:rPr>
        <w:t>质保期：大于等于三年</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五、项目需要落实的政府采购政策：</w:t>
      </w:r>
      <w:r>
        <w:rPr>
          <w:rFonts w:hint="eastAsia"/>
          <w:color w:val="auto"/>
          <w:sz w:val="21"/>
          <w:szCs w:val="21"/>
          <w:highlight w:val="none"/>
          <w:shd w:val="clear" w:color="auto" w:fill="FFFFFF"/>
        </w:rPr>
        <w:t>本项目执行促进中小型企业发展政策（监狱企业、残疾人福利性企业视同小微企业）等政府采购政策</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六、供应商资质要求</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color w:val="auto"/>
          <w:sz w:val="21"/>
          <w:szCs w:val="21"/>
          <w:highlight w:val="none"/>
          <w:shd w:val="clear" w:color="auto" w:fill="FFFFFF"/>
        </w:rPr>
        <w:t>1.</w:t>
      </w:r>
      <w:r>
        <w:rPr>
          <w:rFonts w:hint="eastAsia"/>
          <w:color w:val="auto"/>
          <w:sz w:val="21"/>
          <w:szCs w:val="21"/>
          <w:highlight w:val="none"/>
          <w:shd w:val="clear" w:color="auto" w:fill="FFFFFF"/>
        </w:rPr>
        <w:t>符合《中华人民共和国政府采购法》第二十二条规定的条件：</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（一）具有独立承担民事责任的能力；</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（二）具有良好的商业信誉和健全的财务会计制度；</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（三）具有履行合同所必需的设备和专业技术能力；</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（四）有依法缴纳税收和社会保障资金的良好记录；</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（五）参加政府采购活动前三年内，在经营活动中没有重大违法记录；</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（六）法律、行政法规规定的其他条件。</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color w:val="auto"/>
          <w:sz w:val="21"/>
          <w:szCs w:val="21"/>
          <w:highlight w:val="none"/>
          <w:shd w:val="clear" w:color="auto" w:fill="FFFFFF"/>
        </w:rPr>
        <w:t>2.</w:t>
      </w:r>
      <w:r>
        <w:rPr>
          <w:rFonts w:hint="eastAsia"/>
          <w:color w:val="auto"/>
          <w:sz w:val="21"/>
          <w:szCs w:val="21"/>
          <w:highlight w:val="none"/>
          <w:shd w:val="clear" w:color="auto" w:fill="FFFFFF"/>
        </w:rPr>
        <w:t>投标单位具有独立法人资格，营业执照经营范围符合本项目招标要求。</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color w:val="auto"/>
          <w:sz w:val="21"/>
          <w:szCs w:val="21"/>
          <w:highlight w:val="none"/>
          <w:shd w:val="clear" w:color="auto" w:fill="FFFFFF"/>
        </w:rPr>
        <w:t>3.</w:t>
      </w:r>
      <w:r>
        <w:rPr>
          <w:rFonts w:hint="eastAsia"/>
          <w:color w:val="auto"/>
          <w:sz w:val="21"/>
          <w:szCs w:val="21"/>
          <w:highlight w:val="none"/>
          <w:shd w:val="clear" w:color="auto" w:fill="FFFFFF"/>
        </w:rPr>
        <w:t>投标单位必须提供投标承诺函；</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color w:val="auto"/>
          <w:sz w:val="21"/>
          <w:szCs w:val="21"/>
          <w:highlight w:val="none"/>
          <w:shd w:val="clear" w:color="auto" w:fill="FFFFFF"/>
        </w:rPr>
        <w:t>4.</w:t>
      </w:r>
      <w:r>
        <w:rPr>
          <w:rFonts w:hint="eastAsia"/>
          <w:color w:val="auto"/>
          <w:sz w:val="21"/>
          <w:szCs w:val="21"/>
          <w:highlight w:val="none"/>
          <w:shd w:val="clear" w:color="auto" w:fill="FFFFFF"/>
        </w:rPr>
        <w:t>投标单位必须提供无行贿犯罪记录承诺书。（投标人出具“中国裁判文书网”网站查询近三年来法人、法定代表人、法定代表人委托人无行贿犯罪记录网页截图加盖企业公章证明）若有行贿犯罪记录则取消其投标资格；</w:t>
      </w:r>
    </w:p>
    <w:p>
      <w:pPr>
        <w:pStyle w:val="19"/>
        <w:shd w:val="clear" w:color="auto" w:fill="FFFFFF"/>
        <w:spacing w:beforeAutospacing="0" w:afterAutospacing="0" w:line="495" w:lineRule="atLeast"/>
        <w:ind w:firstLine="840" w:firstLineChars="400"/>
        <w:rPr>
          <w:rFonts w:cs="Times New Roman"/>
          <w:color w:val="auto"/>
          <w:sz w:val="21"/>
          <w:szCs w:val="21"/>
          <w:highlight w:val="none"/>
          <w:shd w:val="clear" w:color="auto" w:fill="FFFFFF"/>
        </w:rPr>
      </w:pPr>
      <w:r>
        <w:rPr>
          <w:color w:val="auto"/>
          <w:sz w:val="21"/>
          <w:szCs w:val="21"/>
          <w:highlight w:val="none"/>
          <w:shd w:val="clear" w:color="auto" w:fill="FFFFFF"/>
        </w:rPr>
        <w:t>5.</w:t>
      </w:r>
      <w:r>
        <w:rPr>
          <w:rFonts w:hint="eastAsia"/>
          <w:color w:val="auto"/>
          <w:sz w:val="21"/>
          <w:szCs w:val="21"/>
          <w:highlight w:val="none"/>
          <w:shd w:val="clear" w:color="auto" w:fill="FFFFFF"/>
        </w:rPr>
        <w:t>按照《财政部关于在政府采购活动中查询及使用信用记录有关问题的通知》（财库〔</w:t>
      </w:r>
      <w:r>
        <w:rPr>
          <w:color w:val="auto"/>
          <w:sz w:val="21"/>
          <w:szCs w:val="21"/>
          <w:highlight w:val="none"/>
          <w:shd w:val="clear" w:color="auto" w:fill="FFFFFF"/>
        </w:rPr>
        <w:t>2016</w:t>
      </w:r>
      <w:r>
        <w:rPr>
          <w:rFonts w:hint="eastAsia"/>
          <w:color w:val="auto"/>
          <w:sz w:val="21"/>
          <w:szCs w:val="21"/>
          <w:highlight w:val="none"/>
          <w:shd w:val="clear" w:color="auto" w:fill="FFFFFF"/>
        </w:rPr>
        <w:t>〕</w:t>
      </w:r>
      <w:r>
        <w:rPr>
          <w:color w:val="auto"/>
          <w:sz w:val="21"/>
          <w:szCs w:val="21"/>
          <w:highlight w:val="none"/>
          <w:shd w:val="clear" w:color="auto" w:fill="FFFFFF"/>
        </w:rPr>
        <w:t>125</w:t>
      </w:r>
      <w:r>
        <w:rPr>
          <w:rFonts w:hint="eastAsia"/>
          <w:color w:val="auto"/>
          <w:sz w:val="21"/>
          <w:szCs w:val="21"/>
          <w:highlight w:val="none"/>
          <w:shd w:val="clear" w:color="auto" w:fill="FFFFFF"/>
        </w:rPr>
        <w:t>号）的要求，根据“信用中国”网站（</w:t>
      </w:r>
      <w:r>
        <w:rPr>
          <w:color w:val="auto"/>
          <w:sz w:val="21"/>
          <w:szCs w:val="21"/>
          <w:highlight w:val="none"/>
          <w:shd w:val="clear" w:color="auto" w:fill="FFFFFF"/>
        </w:rPr>
        <w:t>www.creditchina.gov.cn</w:t>
      </w:r>
      <w:r>
        <w:rPr>
          <w:rFonts w:hint="eastAsia"/>
          <w:color w:val="auto"/>
          <w:sz w:val="21"/>
          <w:szCs w:val="21"/>
          <w:highlight w:val="none"/>
          <w:shd w:val="clear" w:color="auto" w:fill="FFFFFF"/>
        </w:rPr>
        <w:t>）、中国政府采购网（</w:t>
      </w:r>
      <w:r>
        <w:rPr>
          <w:color w:val="auto"/>
          <w:sz w:val="21"/>
          <w:szCs w:val="21"/>
          <w:highlight w:val="none"/>
          <w:shd w:val="clear" w:color="auto" w:fill="FFFFFF"/>
        </w:rPr>
        <w:t>www.ccgp.gov.cn</w:t>
      </w:r>
      <w:r>
        <w:rPr>
          <w:rFonts w:hint="eastAsia"/>
          <w:color w:val="auto"/>
          <w:sz w:val="21"/>
          <w:szCs w:val="21"/>
          <w:highlight w:val="none"/>
          <w:shd w:val="clear" w:color="auto" w:fill="FFFFFF"/>
        </w:rPr>
        <w:t>）的信息，对列入失信被执行人、重大税收违法案件当事人名单、政府采购严重违法失信行为记录名单的企业，拒绝参与本项目投标。（投标单位需提供网站查询截图，加盖企业公章，查询日期为招标公告发布之日起至投标文件递交的截止时间止</w:t>
      </w:r>
      <w:r>
        <w:rPr>
          <w:color w:val="auto"/>
          <w:sz w:val="21"/>
          <w:szCs w:val="21"/>
          <w:highlight w:val="none"/>
          <w:shd w:val="clear" w:color="auto" w:fill="FFFFFF"/>
        </w:rPr>
        <w:t>)</w:t>
      </w:r>
      <w:r>
        <w:rPr>
          <w:rFonts w:hint="eastAsia"/>
          <w:color w:val="auto"/>
          <w:sz w:val="21"/>
          <w:szCs w:val="21"/>
          <w:highlight w:val="none"/>
          <w:shd w:val="clear" w:color="auto" w:fill="FFFFFF"/>
        </w:rPr>
        <w:t>；</w:t>
      </w:r>
    </w:p>
    <w:p>
      <w:pPr>
        <w:pStyle w:val="19"/>
        <w:shd w:val="clear" w:color="auto" w:fill="FFFFFF"/>
        <w:spacing w:beforeAutospacing="0" w:afterAutospacing="0" w:line="495" w:lineRule="atLeast"/>
        <w:ind w:firstLine="840" w:firstLineChars="400"/>
        <w:rPr>
          <w:rStyle w:val="26"/>
          <w:rFonts w:cs="Times New Roman"/>
          <w:color w:val="auto"/>
          <w:sz w:val="21"/>
          <w:szCs w:val="21"/>
          <w:highlight w:val="none"/>
          <w:shd w:val="clear" w:color="auto" w:fill="FFFFFF"/>
        </w:rPr>
      </w:pPr>
      <w:r>
        <w:rPr>
          <w:color w:val="auto"/>
          <w:sz w:val="21"/>
          <w:szCs w:val="21"/>
          <w:highlight w:val="none"/>
          <w:shd w:val="clear" w:color="auto" w:fill="FFFFFF"/>
        </w:rPr>
        <w:t>6.</w:t>
      </w:r>
      <w:r>
        <w:rPr>
          <w:rFonts w:hint="eastAsia"/>
          <w:color w:val="auto"/>
          <w:sz w:val="21"/>
          <w:szCs w:val="21"/>
          <w:highlight w:val="none"/>
          <w:shd w:val="clear" w:color="auto" w:fill="FFFFFF"/>
        </w:rPr>
        <w:t>本次招标不接受联合体投标</w:t>
      </w:r>
      <w:r>
        <w:rPr>
          <w:rStyle w:val="26"/>
          <w:rFonts w:cs="Times New Roman"/>
          <w:color w:val="auto"/>
          <w:sz w:val="21"/>
          <w:szCs w:val="21"/>
          <w:highlight w:val="none"/>
          <w:shd w:val="clear" w:color="auto" w:fill="FFFFFF"/>
        </w:rPr>
        <w:t> </w:t>
      </w:r>
    </w:p>
    <w:p>
      <w:pPr>
        <w:pStyle w:val="19"/>
        <w:shd w:val="clear" w:color="auto" w:fill="FFFFFF"/>
        <w:spacing w:beforeAutospacing="0" w:afterAutospacing="0" w:line="495" w:lineRule="atLeast"/>
        <w:ind w:firstLine="630" w:firstLineChars="3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七、获取招标文件</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1.</w:t>
      </w:r>
      <w:r>
        <w:rPr>
          <w:rFonts w:hint="eastAsia"/>
          <w:color w:val="auto"/>
          <w:sz w:val="21"/>
          <w:szCs w:val="21"/>
          <w:highlight w:val="none"/>
          <w:shd w:val="clear" w:color="auto" w:fill="FFFFFF"/>
        </w:rPr>
        <w:t>时间：2019年12月2 日8时00分至2019年12月6日17时30分（北京时间，法定节假日除外）。</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2.</w:t>
      </w:r>
      <w:r>
        <w:rPr>
          <w:rFonts w:hint="eastAsia"/>
          <w:color w:val="auto"/>
          <w:sz w:val="21"/>
          <w:szCs w:val="21"/>
          <w:highlight w:val="none"/>
          <w:shd w:val="clear" w:color="auto" w:fill="FFFFFF"/>
        </w:rPr>
        <w:t>地点</w:t>
      </w:r>
      <w:r>
        <w:rPr>
          <w:color w:val="auto"/>
          <w:sz w:val="21"/>
          <w:szCs w:val="21"/>
          <w:highlight w:val="none"/>
          <w:shd w:val="clear" w:color="auto" w:fill="FFFFFF"/>
        </w:rPr>
        <w:t>:</w:t>
      </w:r>
      <w:r>
        <w:rPr>
          <w:rFonts w:hint="eastAsia"/>
          <w:color w:val="auto"/>
          <w:sz w:val="21"/>
          <w:szCs w:val="21"/>
          <w:highlight w:val="none"/>
          <w:shd w:val="clear" w:color="auto" w:fill="FFFFFF"/>
        </w:rPr>
        <w:t>2019年12月2 日8时00分至2019年12月6日17时30分，通过温县公共资源交易中心网站招标投标交易管理系统在报名后自行下载。</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3.</w:t>
      </w:r>
      <w:r>
        <w:rPr>
          <w:rFonts w:hint="eastAsia"/>
          <w:color w:val="auto"/>
          <w:sz w:val="21"/>
          <w:szCs w:val="21"/>
          <w:highlight w:val="none"/>
          <w:shd w:val="clear" w:color="auto" w:fill="FFFFFF"/>
        </w:rPr>
        <w:t>方式：本项目采用网上报名，已入库且资质符合的企业可以直接网上报名，未入库企业进入温县公共资源交易中心网</w:t>
      </w:r>
      <w:r>
        <w:rPr>
          <w:color w:val="auto"/>
          <w:sz w:val="21"/>
          <w:szCs w:val="21"/>
          <w:highlight w:val="none"/>
          <w:shd w:val="clear" w:color="auto" w:fill="FFFFFF"/>
        </w:rPr>
        <w:t>(http://www.wxggzy.com/)</w:t>
      </w:r>
      <w:r>
        <w:rPr>
          <w:rFonts w:hint="eastAsia"/>
          <w:color w:val="auto"/>
          <w:sz w:val="21"/>
          <w:szCs w:val="21"/>
          <w:highlight w:val="none"/>
          <w:shd w:val="clear" w:color="auto" w:fill="FFFFFF"/>
        </w:rPr>
        <w:t>按照《温县公共资源交易中心关于面向全国征集电子招投标会员的公告》要求先网上提交信息经工作人员通过审核后，方可带原件来现场备案入库并办理</w:t>
      </w:r>
      <w:r>
        <w:rPr>
          <w:color w:val="auto"/>
          <w:sz w:val="21"/>
          <w:szCs w:val="21"/>
          <w:highlight w:val="none"/>
          <w:shd w:val="clear" w:color="auto" w:fill="FFFFFF"/>
        </w:rPr>
        <w:t>CA</w:t>
      </w:r>
      <w:r>
        <w:rPr>
          <w:rFonts w:hint="eastAsia"/>
          <w:color w:val="auto"/>
          <w:sz w:val="21"/>
          <w:szCs w:val="21"/>
          <w:highlight w:val="none"/>
          <w:shd w:val="clear" w:color="auto" w:fill="FFFFFF"/>
        </w:rPr>
        <w:t>数字证书后报名。</w:t>
      </w:r>
    </w:p>
    <w:p>
      <w:pPr>
        <w:pStyle w:val="19"/>
        <w:shd w:val="clear" w:color="auto" w:fill="FFFFFF"/>
        <w:spacing w:beforeAutospacing="0" w:afterAutospacing="0" w:line="495" w:lineRule="atLeast"/>
        <w:ind w:firstLine="840" w:firstLineChars="400"/>
        <w:rPr>
          <w:rFonts w:hint="eastAsia"/>
          <w:color w:val="auto"/>
          <w:sz w:val="21"/>
          <w:szCs w:val="21"/>
          <w:highlight w:val="none"/>
          <w:shd w:val="clear" w:color="auto" w:fill="FFFFFF"/>
        </w:rPr>
      </w:pPr>
      <w:r>
        <w:rPr>
          <w:rFonts w:hint="eastAsia"/>
          <w:color w:val="auto"/>
          <w:sz w:val="21"/>
          <w:szCs w:val="21"/>
          <w:highlight w:val="none"/>
          <w:shd w:val="clear" w:color="auto" w:fill="FFFFFF"/>
        </w:rPr>
        <w:t>通过网银购买招标文件，招标文件300元/包。具体详见温县公共资源交易中心网站文件《温县公共资源交易中心电子招投标操作手册》。技术咨询电话：品茗信息技术有限公司：徐先生  电话：18003713782</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八、投标截止时间（投标文件递交截止时间）及地点</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1.</w:t>
      </w:r>
      <w:r>
        <w:rPr>
          <w:rFonts w:hint="eastAsia"/>
          <w:color w:val="auto"/>
          <w:sz w:val="21"/>
          <w:szCs w:val="21"/>
          <w:highlight w:val="none"/>
          <w:shd w:val="clear" w:color="auto" w:fill="FFFFFF"/>
        </w:rPr>
        <w:t>时间：2019年12月25日9时00分（北京时间）</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color w:val="auto"/>
          <w:sz w:val="21"/>
          <w:szCs w:val="21"/>
          <w:highlight w:val="none"/>
          <w:shd w:val="clear" w:color="auto" w:fill="FFFFFF"/>
        </w:rPr>
        <w:t>2.</w:t>
      </w:r>
      <w:r>
        <w:rPr>
          <w:rFonts w:hint="eastAsia"/>
          <w:color w:val="auto"/>
          <w:sz w:val="21"/>
          <w:szCs w:val="21"/>
          <w:highlight w:val="none"/>
          <w:shd w:val="clear" w:color="auto" w:fill="FFFFFF"/>
        </w:rPr>
        <w:t>地点：温县公共资源交易中心开标厅（具体详见开标当日公示牌）。</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ascii="微软雅黑" w:hAnsi="微软雅黑" w:eastAsia="微软雅黑" w:cs="微软雅黑"/>
          <w:color w:val="auto"/>
          <w:sz w:val="21"/>
          <w:szCs w:val="21"/>
          <w:highlight w:val="none"/>
          <w:shd w:val="clear" w:color="auto" w:fill="FFFFFF"/>
        </w:rPr>
        <w:t>九、开标时间及地点</w:t>
      </w:r>
      <w:r>
        <w:rPr>
          <w:rFonts w:ascii="微软雅黑" w:hAnsi="微软雅黑" w:eastAsia="微软雅黑" w:cs="Times New Roman"/>
          <w:color w:val="auto"/>
          <w:sz w:val="21"/>
          <w:szCs w:val="21"/>
          <w:highlight w:val="none"/>
          <w:shd w:val="clear" w:color="auto" w:fill="FFFFFF"/>
        </w:rPr>
        <w:t>   </w:t>
      </w:r>
      <w:bookmarkStart w:id="147" w:name="_GoBack"/>
      <w:bookmarkEnd w:id="147"/>
    </w:p>
    <w:p>
      <w:pPr>
        <w:pStyle w:val="19"/>
        <w:shd w:val="clear" w:color="auto" w:fill="FFFFFF"/>
        <w:spacing w:beforeAutospacing="0" w:afterAutospacing="0" w:line="495" w:lineRule="atLeast"/>
        <w:ind w:firstLine="840" w:firstLineChars="400"/>
        <w:rPr>
          <w:rFonts w:hint="eastAsia"/>
          <w:color w:val="auto"/>
          <w:sz w:val="21"/>
          <w:szCs w:val="21"/>
          <w:highlight w:val="none"/>
          <w:shd w:val="clear" w:color="auto" w:fill="FFFFFF"/>
        </w:rPr>
      </w:pPr>
      <w:r>
        <w:rPr>
          <w:rFonts w:hint="eastAsia"/>
          <w:color w:val="auto"/>
          <w:sz w:val="21"/>
          <w:szCs w:val="21"/>
          <w:highlight w:val="none"/>
          <w:shd w:val="clear" w:color="auto" w:fill="FFFFFF"/>
        </w:rPr>
        <w:t>1.时间：2019年12月25日9时00分（北京时间）</w:t>
      </w:r>
    </w:p>
    <w:p>
      <w:pPr>
        <w:pStyle w:val="19"/>
        <w:shd w:val="clear" w:color="auto" w:fill="FFFFFF"/>
        <w:spacing w:beforeAutospacing="0" w:afterAutospacing="0" w:line="495" w:lineRule="atLeast"/>
        <w:ind w:firstLine="840" w:firstLineChars="400"/>
        <w:rPr>
          <w:rFonts w:hint="eastAsia"/>
          <w:color w:val="auto"/>
          <w:sz w:val="21"/>
          <w:szCs w:val="21"/>
          <w:highlight w:val="none"/>
          <w:shd w:val="clear" w:color="auto" w:fill="FFFFFF"/>
        </w:rPr>
      </w:pPr>
      <w:r>
        <w:rPr>
          <w:rFonts w:hint="eastAsia"/>
          <w:color w:val="auto"/>
          <w:sz w:val="21"/>
          <w:szCs w:val="21"/>
          <w:highlight w:val="none"/>
          <w:shd w:val="clear" w:color="auto" w:fill="FFFFFF"/>
        </w:rPr>
        <w:t>2.地点：温县公共资源交易中心开标厅（具体详见开标当日公示牌）。</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十、发布公告的媒介</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rFonts w:hint="eastAsia"/>
          <w:color w:val="auto"/>
          <w:sz w:val="21"/>
          <w:szCs w:val="21"/>
          <w:highlight w:val="none"/>
          <w:shd w:val="clear" w:color="auto" w:fill="FFFFFF"/>
        </w:rPr>
        <w:t>本次招标公告同时在《河南省政府采购网》、《焦作市公共资源交易中心网》《温县公共资源交易中心网》上发布。</w:t>
      </w:r>
    </w:p>
    <w:p>
      <w:pPr>
        <w:pStyle w:val="19"/>
        <w:shd w:val="clear" w:color="auto" w:fill="FFFFFF"/>
        <w:spacing w:beforeAutospacing="0" w:afterAutospacing="0" w:line="495" w:lineRule="atLeast"/>
        <w:ind w:firstLine="840" w:firstLineChars="400"/>
        <w:rPr>
          <w:rFonts w:ascii="微软雅黑" w:hAnsi="微软雅黑" w:eastAsia="微软雅黑" w:cs="Times New Roman"/>
          <w:color w:val="auto"/>
          <w:sz w:val="21"/>
          <w:szCs w:val="21"/>
          <w:highlight w:val="none"/>
        </w:rPr>
      </w:pPr>
      <w:r>
        <w:rPr>
          <w:rFonts w:hint="eastAsia"/>
          <w:color w:val="auto"/>
          <w:sz w:val="21"/>
          <w:szCs w:val="21"/>
          <w:highlight w:val="none"/>
          <w:shd w:val="clear" w:color="auto" w:fill="FFFFFF"/>
        </w:rPr>
        <w:t>招标公告期限为五个工作日</w:t>
      </w:r>
    </w:p>
    <w:p>
      <w:pPr>
        <w:pStyle w:val="19"/>
        <w:shd w:val="clear" w:color="auto" w:fill="FFFFFF"/>
        <w:spacing w:beforeAutospacing="0" w:afterAutospacing="0" w:line="495" w:lineRule="atLeast"/>
        <w:ind w:firstLine="420" w:firstLineChars="200"/>
        <w:rPr>
          <w:rFonts w:ascii="微软雅黑" w:hAnsi="微软雅黑" w:eastAsia="微软雅黑" w:cs="Times New Roman"/>
          <w:color w:val="auto"/>
          <w:sz w:val="21"/>
          <w:szCs w:val="21"/>
          <w:highlight w:val="none"/>
        </w:rPr>
      </w:pPr>
      <w:r>
        <w:rPr>
          <w:rStyle w:val="26"/>
          <w:rFonts w:hint="eastAsia"/>
          <w:color w:val="auto"/>
          <w:sz w:val="21"/>
          <w:szCs w:val="21"/>
          <w:highlight w:val="none"/>
          <w:shd w:val="clear" w:color="auto" w:fill="FFFFFF"/>
        </w:rPr>
        <w:t>十一、本次采购项目联系事项</w:t>
      </w:r>
    </w:p>
    <w:p>
      <w:pPr>
        <w:pStyle w:val="19"/>
        <w:shd w:val="clear" w:color="auto" w:fill="FFFFFF"/>
        <w:spacing w:beforeAutospacing="0" w:afterAutospacing="0" w:line="495" w:lineRule="atLeast"/>
        <w:ind w:right="420"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采购人：温县妇幼保健院</w:t>
      </w:r>
    </w:p>
    <w:p>
      <w:pPr>
        <w:pStyle w:val="19"/>
        <w:shd w:val="clear" w:color="auto" w:fill="FFFFFF"/>
        <w:spacing w:beforeAutospacing="0" w:afterAutospacing="0" w:line="495" w:lineRule="atLeast"/>
        <w:ind w:right="420"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联系人：周女士</w:t>
      </w:r>
    </w:p>
    <w:p>
      <w:pPr>
        <w:pStyle w:val="19"/>
        <w:shd w:val="clear" w:color="auto" w:fill="FFFFFF"/>
        <w:spacing w:beforeAutospacing="0" w:afterAutospacing="0" w:line="495" w:lineRule="atLeast"/>
        <w:ind w:right="420" w:firstLine="840" w:firstLineChars="400"/>
        <w:rPr>
          <w:rFonts w:hint="default" w:eastAsia="宋体" w:cs="Times New Roman"/>
          <w:color w:val="auto"/>
          <w:sz w:val="21"/>
          <w:szCs w:val="21"/>
          <w:highlight w:val="none"/>
          <w:shd w:val="clear" w:color="auto" w:fill="FFFFFF"/>
          <w:lang w:val="en-US" w:eastAsia="zh-CN"/>
        </w:rPr>
      </w:pPr>
      <w:r>
        <w:rPr>
          <w:rFonts w:hint="eastAsia"/>
          <w:color w:val="auto"/>
          <w:sz w:val="21"/>
          <w:szCs w:val="21"/>
          <w:highlight w:val="none"/>
          <w:shd w:val="clear" w:color="auto" w:fill="FFFFFF"/>
        </w:rPr>
        <w:t>联系电话：</w:t>
      </w:r>
      <w:r>
        <w:rPr>
          <w:rFonts w:hint="eastAsia"/>
          <w:color w:val="auto"/>
          <w:sz w:val="21"/>
          <w:szCs w:val="21"/>
          <w:highlight w:val="none"/>
          <w:shd w:val="clear" w:color="auto" w:fill="FFFFFF"/>
          <w:lang w:val="en-US" w:eastAsia="zh-CN"/>
        </w:rPr>
        <w:t>6192452</w:t>
      </w:r>
    </w:p>
    <w:p>
      <w:pPr>
        <w:pStyle w:val="19"/>
        <w:shd w:val="clear" w:color="auto" w:fill="FFFFFF"/>
        <w:spacing w:beforeAutospacing="0" w:afterAutospacing="0" w:line="495" w:lineRule="atLeast"/>
        <w:ind w:right="420"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地址：温县温泉路</w:t>
      </w:r>
    </w:p>
    <w:p>
      <w:pPr>
        <w:pStyle w:val="19"/>
        <w:shd w:val="clear" w:color="auto" w:fill="FFFFFF"/>
        <w:spacing w:beforeAutospacing="0" w:afterAutospacing="0" w:line="495" w:lineRule="atLeast"/>
        <w:ind w:right="420"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代理机构：河南宏业建设管理股份有限公司</w:t>
      </w:r>
    </w:p>
    <w:p>
      <w:pPr>
        <w:pStyle w:val="19"/>
        <w:shd w:val="clear" w:color="auto" w:fill="FFFFFF"/>
        <w:spacing w:beforeAutospacing="0" w:afterAutospacing="0" w:line="495" w:lineRule="atLeast"/>
        <w:ind w:right="420"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联系人：孙女士</w:t>
      </w:r>
    </w:p>
    <w:p>
      <w:pPr>
        <w:pStyle w:val="19"/>
        <w:shd w:val="clear" w:color="auto" w:fill="FFFFFF"/>
        <w:spacing w:beforeAutospacing="0" w:afterAutospacing="0" w:line="495" w:lineRule="atLeast"/>
        <w:ind w:right="420" w:firstLine="840" w:firstLineChars="400"/>
        <w:rPr>
          <w:color w:val="auto"/>
          <w:sz w:val="21"/>
          <w:szCs w:val="21"/>
          <w:highlight w:val="none"/>
          <w:shd w:val="clear" w:color="auto" w:fill="FFFFFF"/>
        </w:rPr>
      </w:pPr>
      <w:r>
        <w:rPr>
          <w:rFonts w:hint="eastAsia"/>
          <w:color w:val="auto"/>
          <w:sz w:val="21"/>
          <w:szCs w:val="21"/>
          <w:highlight w:val="none"/>
          <w:shd w:val="clear" w:color="auto" w:fill="FFFFFF"/>
        </w:rPr>
        <w:t>联系电话：</w:t>
      </w:r>
      <w:r>
        <w:rPr>
          <w:color w:val="auto"/>
          <w:sz w:val="21"/>
          <w:szCs w:val="21"/>
          <w:highlight w:val="none"/>
          <w:shd w:val="clear" w:color="auto" w:fill="FFFFFF"/>
        </w:rPr>
        <w:t>15639114996</w:t>
      </w:r>
    </w:p>
    <w:p>
      <w:pPr>
        <w:pStyle w:val="19"/>
        <w:shd w:val="clear" w:color="auto" w:fill="FFFFFF"/>
        <w:spacing w:beforeAutospacing="0" w:afterAutospacing="0" w:line="495" w:lineRule="atLeast"/>
        <w:ind w:right="420" w:firstLine="840" w:firstLineChars="400"/>
        <w:rPr>
          <w:rFonts w:cs="Times New Roman"/>
          <w:color w:val="auto"/>
          <w:sz w:val="21"/>
          <w:szCs w:val="21"/>
          <w:highlight w:val="none"/>
          <w:shd w:val="clear" w:color="auto" w:fill="FFFFFF"/>
        </w:rPr>
      </w:pPr>
      <w:r>
        <w:rPr>
          <w:rFonts w:hint="eastAsia"/>
          <w:color w:val="auto"/>
          <w:sz w:val="21"/>
          <w:szCs w:val="21"/>
          <w:highlight w:val="none"/>
          <w:shd w:val="clear" w:color="auto" w:fill="FFFFFF"/>
        </w:rPr>
        <w:t>地址：郑州市郑东新区商都路与中兴南路交叉口凯利国际中心</w:t>
      </w:r>
      <w:r>
        <w:rPr>
          <w:color w:val="auto"/>
          <w:sz w:val="21"/>
          <w:szCs w:val="21"/>
          <w:highlight w:val="none"/>
          <w:shd w:val="clear" w:color="auto" w:fill="FFFFFF"/>
        </w:rPr>
        <w:t>A</w:t>
      </w:r>
      <w:r>
        <w:rPr>
          <w:rFonts w:hint="eastAsia"/>
          <w:color w:val="auto"/>
          <w:sz w:val="21"/>
          <w:szCs w:val="21"/>
          <w:highlight w:val="none"/>
          <w:shd w:val="clear" w:color="auto" w:fill="FFFFFF"/>
        </w:rPr>
        <w:t>座</w:t>
      </w:r>
      <w:r>
        <w:rPr>
          <w:color w:val="auto"/>
          <w:sz w:val="21"/>
          <w:szCs w:val="21"/>
          <w:highlight w:val="none"/>
          <w:shd w:val="clear" w:color="auto" w:fill="FFFFFF"/>
        </w:rPr>
        <w:t>28</w:t>
      </w:r>
      <w:r>
        <w:rPr>
          <w:rFonts w:hint="eastAsia"/>
          <w:color w:val="auto"/>
          <w:sz w:val="21"/>
          <w:szCs w:val="21"/>
          <w:highlight w:val="none"/>
          <w:shd w:val="clear" w:color="auto" w:fill="FFFFFF"/>
        </w:rPr>
        <w:t>楼</w:t>
      </w:r>
    </w:p>
    <w:p>
      <w:pPr>
        <w:pStyle w:val="19"/>
        <w:shd w:val="clear" w:color="auto" w:fill="FFFFFF"/>
        <w:spacing w:beforeAutospacing="0" w:afterAutospacing="0" w:line="495" w:lineRule="atLeast"/>
        <w:ind w:right="420" w:firstLine="840" w:firstLineChars="400"/>
        <w:rPr>
          <w:rFonts w:ascii="微软雅黑" w:hAnsi="微软雅黑" w:eastAsia="微软雅黑" w:cs="Times New Roman"/>
          <w:color w:val="auto"/>
          <w:sz w:val="21"/>
          <w:szCs w:val="21"/>
          <w:highlight w:val="none"/>
        </w:rPr>
      </w:pPr>
      <w:r>
        <w:rPr>
          <w:rFonts w:hint="eastAsia"/>
          <w:color w:val="auto"/>
          <w:sz w:val="21"/>
          <w:szCs w:val="21"/>
          <w:highlight w:val="none"/>
          <w:shd w:val="clear" w:color="auto" w:fill="FFFFFF"/>
        </w:rPr>
        <w:t>监督单位：温县财政局</w:t>
      </w:r>
      <w:r>
        <w:rPr>
          <w:rFonts w:cs="Times New Roman"/>
          <w:color w:val="auto"/>
          <w:sz w:val="21"/>
          <w:szCs w:val="21"/>
          <w:highlight w:val="none"/>
          <w:shd w:val="clear" w:color="auto" w:fill="FFFFFF"/>
        </w:rPr>
        <w:t>      </w:t>
      </w:r>
      <w:r>
        <w:rPr>
          <w:rFonts w:hint="eastAsia"/>
          <w:color w:val="auto"/>
          <w:sz w:val="21"/>
          <w:szCs w:val="21"/>
          <w:highlight w:val="none"/>
          <w:shd w:val="clear" w:color="auto" w:fill="FFFFFF"/>
        </w:rPr>
        <w:t>联系电话：</w:t>
      </w:r>
      <w:r>
        <w:rPr>
          <w:color w:val="auto"/>
          <w:sz w:val="21"/>
          <w:szCs w:val="21"/>
          <w:highlight w:val="none"/>
          <w:shd w:val="clear" w:color="auto" w:fill="FFFFFF"/>
        </w:rPr>
        <w:t>0391-6197778 </w:t>
      </w:r>
    </w:p>
    <w:p>
      <w:pPr>
        <w:pStyle w:val="19"/>
        <w:shd w:val="clear" w:color="auto" w:fill="FFFFFF"/>
        <w:spacing w:beforeAutospacing="0" w:afterAutospacing="0" w:line="495" w:lineRule="atLeast"/>
        <w:jc w:val="right"/>
        <w:rPr>
          <w:rFonts w:ascii="微软雅黑" w:hAnsi="微软雅黑" w:eastAsia="微软雅黑" w:cs="Times New Roman"/>
          <w:color w:val="auto"/>
          <w:sz w:val="21"/>
          <w:szCs w:val="21"/>
          <w:highlight w:val="none"/>
        </w:rPr>
      </w:pPr>
      <w:r>
        <w:rPr>
          <w:rFonts w:cs="Times New Roman"/>
          <w:color w:val="auto"/>
          <w:sz w:val="21"/>
          <w:szCs w:val="21"/>
          <w:highlight w:val="none"/>
          <w:shd w:val="clear" w:color="auto" w:fill="FFFFFF"/>
        </w:rPr>
        <w:t> </w:t>
      </w:r>
    </w:p>
    <w:p>
      <w:pPr>
        <w:pStyle w:val="19"/>
        <w:shd w:val="clear" w:color="auto" w:fill="FFFFFF"/>
        <w:spacing w:beforeAutospacing="0" w:afterAutospacing="0" w:line="495" w:lineRule="atLeast"/>
        <w:jc w:val="right"/>
        <w:rPr>
          <w:rFonts w:ascii="微软雅黑" w:hAnsi="微软雅黑" w:eastAsia="微软雅黑" w:cs="Times New Roman"/>
          <w:color w:val="auto"/>
          <w:sz w:val="21"/>
          <w:szCs w:val="21"/>
          <w:highlight w:val="none"/>
        </w:rPr>
      </w:pPr>
      <w:r>
        <w:rPr>
          <w:rFonts w:cs="Times New Roman"/>
          <w:color w:val="auto"/>
          <w:sz w:val="21"/>
          <w:szCs w:val="21"/>
          <w:highlight w:val="none"/>
          <w:shd w:val="clear" w:color="auto" w:fill="FFFFFF"/>
        </w:rPr>
        <w:t> </w:t>
      </w:r>
    </w:p>
    <w:p>
      <w:pPr>
        <w:pStyle w:val="19"/>
        <w:shd w:val="clear" w:color="auto" w:fill="FFFFFF"/>
        <w:spacing w:beforeAutospacing="0" w:afterAutospacing="0" w:line="495" w:lineRule="atLeast"/>
        <w:jc w:val="right"/>
        <w:rPr>
          <w:rFonts w:ascii="微软雅黑" w:hAnsi="微软雅黑" w:eastAsia="微软雅黑" w:cs="Times New Roman"/>
          <w:color w:val="auto"/>
          <w:sz w:val="21"/>
          <w:szCs w:val="21"/>
          <w:highlight w:val="none"/>
        </w:rPr>
      </w:pPr>
      <w:r>
        <w:rPr>
          <w:rFonts w:hint="eastAsia"/>
          <w:color w:val="auto"/>
          <w:sz w:val="21"/>
          <w:szCs w:val="21"/>
          <w:highlight w:val="none"/>
          <w:shd w:val="clear" w:color="auto" w:fill="FFFFFF"/>
        </w:rPr>
        <w:t>发布人：河南宏业建设管理股份有限公司</w:t>
      </w:r>
    </w:p>
    <w:p>
      <w:pPr>
        <w:pStyle w:val="19"/>
        <w:shd w:val="clear" w:color="auto" w:fill="FFFFFF"/>
        <w:spacing w:beforeAutospacing="0" w:afterAutospacing="0" w:line="495" w:lineRule="atLeast"/>
        <w:jc w:val="right"/>
        <w:rPr>
          <w:rFonts w:ascii="微软雅黑" w:hAnsi="微软雅黑" w:eastAsia="微软雅黑" w:cs="Times New Roman"/>
          <w:color w:val="auto"/>
          <w:sz w:val="21"/>
          <w:szCs w:val="21"/>
          <w:highlight w:val="none"/>
        </w:rPr>
      </w:pPr>
      <w:r>
        <w:rPr>
          <w:rFonts w:hint="eastAsia"/>
          <w:color w:val="auto"/>
          <w:sz w:val="21"/>
          <w:szCs w:val="21"/>
          <w:highlight w:val="none"/>
          <w:shd w:val="clear" w:color="auto" w:fill="FFFFFF"/>
        </w:rPr>
        <w:t>发布时间：</w:t>
      </w:r>
      <w:r>
        <w:rPr>
          <w:color w:val="auto"/>
          <w:sz w:val="21"/>
          <w:szCs w:val="21"/>
          <w:highlight w:val="none"/>
          <w:u w:val="single"/>
          <w:shd w:val="clear" w:color="auto" w:fill="FFFFFF"/>
        </w:rPr>
        <w:t>2019</w:t>
      </w:r>
      <w:r>
        <w:rPr>
          <w:rFonts w:hint="eastAsia"/>
          <w:color w:val="auto"/>
          <w:sz w:val="21"/>
          <w:szCs w:val="21"/>
          <w:highlight w:val="none"/>
          <w:shd w:val="clear" w:color="auto" w:fill="FFFFFF"/>
        </w:rPr>
        <w:t>年</w:t>
      </w:r>
      <w:r>
        <w:rPr>
          <w:rFonts w:hint="eastAsia"/>
          <w:color w:val="auto"/>
          <w:sz w:val="21"/>
          <w:szCs w:val="21"/>
          <w:highlight w:val="none"/>
          <w:u w:val="single"/>
          <w:shd w:val="clear" w:color="auto" w:fill="FFFFFF"/>
          <w:lang w:val="en-US" w:eastAsia="zh-CN"/>
        </w:rPr>
        <w:t>11</w:t>
      </w:r>
      <w:r>
        <w:rPr>
          <w:rFonts w:hint="eastAsia"/>
          <w:color w:val="auto"/>
          <w:sz w:val="21"/>
          <w:szCs w:val="21"/>
          <w:highlight w:val="none"/>
          <w:shd w:val="clear" w:color="auto" w:fill="FFFFFF"/>
        </w:rPr>
        <w:t>月</w:t>
      </w:r>
      <w:r>
        <w:rPr>
          <w:rFonts w:hint="eastAsia"/>
          <w:color w:val="auto"/>
          <w:sz w:val="21"/>
          <w:szCs w:val="21"/>
          <w:highlight w:val="none"/>
          <w:u w:val="single"/>
          <w:shd w:val="clear" w:color="auto" w:fill="FFFFFF"/>
          <w:lang w:val="en-US" w:eastAsia="zh-CN"/>
        </w:rPr>
        <w:t>29</w:t>
      </w:r>
      <w:r>
        <w:rPr>
          <w:rFonts w:hint="eastAsia"/>
          <w:color w:val="auto"/>
          <w:sz w:val="21"/>
          <w:szCs w:val="21"/>
          <w:highlight w:val="none"/>
          <w:shd w:val="clear" w:color="auto" w:fill="FFFFFF"/>
        </w:rPr>
        <w:t>日</w:t>
      </w:r>
    </w:p>
    <w:p>
      <w:pPr>
        <w:spacing w:line="540" w:lineRule="exact"/>
        <w:ind w:firstLine="480" w:firstLineChars="200"/>
        <w:jc w:val="right"/>
        <w:rPr>
          <w:rFonts w:cs="Times New Roman"/>
          <w:color w:val="auto"/>
          <w:sz w:val="24"/>
          <w:szCs w:val="24"/>
          <w:highlight w:val="none"/>
        </w:rPr>
      </w:pPr>
    </w:p>
    <w:p>
      <w:pPr>
        <w:spacing w:line="540" w:lineRule="exact"/>
        <w:ind w:firstLine="480" w:firstLineChars="200"/>
        <w:jc w:val="right"/>
        <w:rPr>
          <w:rFonts w:cs="Times New Roman"/>
          <w:color w:val="auto"/>
          <w:sz w:val="24"/>
          <w:szCs w:val="24"/>
          <w:highlight w:val="none"/>
        </w:rPr>
      </w:pPr>
    </w:p>
    <w:p>
      <w:pPr>
        <w:spacing w:line="540" w:lineRule="exact"/>
        <w:ind w:firstLine="480" w:firstLineChars="200"/>
        <w:jc w:val="right"/>
        <w:rPr>
          <w:rFonts w:cs="Times New Roman"/>
          <w:color w:val="auto"/>
          <w:sz w:val="24"/>
          <w:szCs w:val="24"/>
          <w:highlight w:val="none"/>
        </w:rPr>
      </w:pPr>
    </w:p>
    <w:p>
      <w:pPr>
        <w:spacing w:line="540" w:lineRule="exact"/>
        <w:ind w:firstLine="480" w:firstLineChars="200"/>
        <w:jc w:val="right"/>
        <w:rPr>
          <w:rFonts w:cs="Times New Roman"/>
          <w:color w:val="auto"/>
          <w:sz w:val="24"/>
          <w:szCs w:val="24"/>
          <w:highlight w:val="none"/>
        </w:rPr>
      </w:pPr>
    </w:p>
    <w:p>
      <w:pPr>
        <w:pStyle w:val="2"/>
        <w:rPr>
          <w:rFonts w:cs="Times New Roman"/>
          <w:color w:val="auto"/>
          <w:highlight w:val="none"/>
        </w:rPr>
      </w:pPr>
    </w:p>
    <w:p>
      <w:pPr>
        <w:pStyle w:val="2"/>
        <w:rPr>
          <w:rFonts w:cs="Times New Roman"/>
          <w:color w:val="auto"/>
          <w:highlight w:val="none"/>
        </w:rPr>
      </w:pPr>
    </w:p>
    <w:p>
      <w:pPr>
        <w:pStyle w:val="2"/>
        <w:rPr>
          <w:rFonts w:cs="Times New Roman"/>
          <w:color w:val="auto"/>
          <w:highlight w:val="none"/>
        </w:rPr>
      </w:pPr>
    </w:p>
    <w:p>
      <w:pPr>
        <w:spacing w:line="540" w:lineRule="exact"/>
        <w:ind w:firstLine="480" w:firstLineChars="200"/>
        <w:jc w:val="right"/>
        <w:rPr>
          <w:rFonts w:cs="Times New Roman"/>
          <w:color w:val="auto"/>
          <w:sz w:val="24"/>
          <w:szCs w:val="24"/>
          <w:highlight w:val="none"/>
        </w:rPr>
      </w:pPr>
    </w:p>
    <w:p>
      <w:pPr>
        <w:pStyle w:val="3"/>
        <w:spacing w:line="440" w:lineRule="exact"/>
        <w:rPr>
          <w:rFonts w:ascii="宋体" w:cs="Times New Roman"/>
          <w:b w:val="0"/>
          <w:bCs w:val="0"/>
          <w:color w:val="auto"/>
          <w:sz w:val="36"/>
          <w:szCs w:val="36"/>
          <w:highlight w:val="none"/>
        </w:rPr>
      </w:pPr>
      <w:bookmarkStart w:id="4" w:name="_Toc29461"/>
      <w:r>
        <w:rPr>
          <w:rFonts w:hint="eastAsia" w:ascii="宋体" w:hAnsi="宋体"/>
          <w:color w:val="auto"/>
          <w:sz w:val="36"/>
          <w:szCs w:val="36"/>
          <w:highlight w:val="none"/>
        </w:rPr>
        <w:t>第二章投标人须知</w:t>
      </w:r>
      <w:bookmarkEnd w:id="4"/>
    </w:p>
    <w:p>
      <w:pPr>
        <w:spacing w:line="440" w:lineRule="exact"/>
        <w:jc w:val="center"/>
        <w:outlineLvl w:val="1"/>
        <w:rPr>
          <w:rFonts w:ascii="宋体" w:cs="Times New Roman"/>
          <w:color w:val="auto"/>
          <w:sz w:val="28"/>
          <w:szCs w:val="28"/>
          <w:highlight w:val="none"/>
        </w:rPr>
      </w:pPr>
      <w:bookmarkStart w:id="5" w:name="_Toc23641"/>
      <w:r>
        <w:rPr>
          <w:rFonts w:hint="eastAsia" w:ascii="宋体" w:hAnsi="宋体" w:cs="宋体"/>
          <w:b/>
          <w:bCs/>
          <w:color w:val="auto"/>
          <w:sz w:val="28"/>
          <w:szCs w:val="28"/>
          <w:highlight w:val="none"/>
        </w:rPr>
        <w:t>投标人须知前附表</w:t>
      </w:r>
      <w:bookmarkEnd w:id="5"/>
    </w:p>
    <w:tbl>
      <w:tblPr>
        <w:tblStyle w:val="23"/>
        <w:tblW w:w="9502" w:type="dxa"/>
        <w:jc w:val="center"/>
        <w:tblLayout w:type="fixed"/>
        <w:tblCellMar>
          <w:top w:w="0" w:type="dxa"/>
          <w:left w:w="108" w:type="dxa"/>
          <w:bottom w:w="0" w:type="dxa"/>
          <w:right w:w="108" w:type="dxa"/>
        </w:tblCellMar>
      </w:tblPr>
      <w:tblGrid>
        <w:gridCol w:w="1009"/>
        <w:gridCol w:w="2883"/>
        <w:gridCol w:w="5610"/>
      </w:tblGrid>
      <w:tr>
        <w:tblPrEx>
          <w:tblCellMar>
            <w:top w:w="0" w:type="dxa"/>
            <w:left w:w="108" w:type="dxa"/>
            <w:bottom w:w="0" w:type="dxa"/>
            <w:right w:w="108" w:type="dxa"/>
          </w:tblCellMar>
        </w:tblPrEx>
        <w:trPr>
          <w:trHeight w:val="382"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color w:val="auto"/>
                <w:highlight w:val="none"/>
              </w:rPr>
            </w:pPr>
            <w:r>
              <w:rPr>
                <w:rFonts w:hint="eastAsia" w:ascii="宋体" w:hAnsi="宋体" w:cs="宋体"/>
                <w:b/>
                <w:bCs/>
                <w:color w:val="auto"/>
                <w:highlight w:val="none"/>
              </w:rPr>
              <w:t>条款号</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color w:val="auto"/>
                <w:highlight w:val="none"/>
              </w:rPr>
            </w:pPr>
            <w:r>
              <w:rPr>
                <w:rFonts w:hint="eastAsia" w:ascii="宋体" w:hAnsi="宋体" w:cs="宋体"/>
                <w:b/>
                <w:bCs/>
                <w:color w:val="auto"/>
                <w:highlight w:val="none"/>
              </w:rPr>
              <w:t>条款名称</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color w:val="auto"/>
                <w:highlight w:val="none"/>
              </w:rPr>
            </w:pPr>
            <w:r>
              <w:rPr>
                <w:rFonts w:hint="eastAsia" w:ascii="宋体" w:hAnsi="宋体" w:cs="宋体"/>
                <w:b/>
                <w:bCs/>
                <w:color w:val="auto"/>
                <w:highlight w:val="none"/>
              </w:rPr>
              <w:t>编列内容</w:t>
            </w:r>
          </w:p>
        </w:tc>
      </w:tr>
      <w:tr>
        <w:tblPrEx>
          <w:tblCellMar>
            <w:top w:w="0" w:type="dxa"/>
            <w:left w:w="108" w:type="dxa"/>
            <w:bottom w:w="0" w:type="dxa"/>
            <w:right w:w="108" w:type="dxa"/>
          </w:tblCellMar>
        </w:tblPrEx>
        <w:trPr>
          <w:trHeight w:val="1210"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1.1.2</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采购人</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采购人：温县妇幼保健院</w:t>
            </w:r>
          </w:p>
          <w:p>
            <w:pPr>
              <w:spacing w:line="440" w:lineRule="exact"/>
              <w:rPr>
                <w:rFonts w:ascii="宋体" w:cs="Times New Roman"/>
                <w:color w:val="auto"/>
                <w:highlight w:val="none"/>
              </w:rPr>
            </w:pPr>
            <w:r>
              <w:rPr>
                <w:rFonts w:hint="eastAsia" w:ascii="宋体" w:hAnsi="宋体" w:cs="宋体"/>
                <w:color w:val="auto"/>
                <w:highlight w:val="none"/>
              </w:rPr>
              <w:t>联系人：周女士</w:t>
            </w:r>
          </w:p>
          <w:p>
            <w:pPr>
              <w:spacing w:line="440" w:lineRule="exact"/>
              <w:rPr>
                <w:rFonts w:hint="default" w:ascii="宋体" w:eastAsia="宋体" w:cs="Times New Roman"/>
                <w:color w:val="auto"/>
                <w:highlight w:val="none"/>
                <w:lang w:val="en-US" w:eastAsia="zh-CN"/>
              </w:rPr>
            </w:pPr>
            <w:r>
              <w:rPr>
                <w:rFonts w:hint="eastAsia" w:ascii="宋体" w:hAnsi="宋体" w:cs="宋体"/>
                <w:color w:val="auto"/>
                <w:highlight w:val="none"/>
              </w:rPr>
              <w:t>联系电话：</w:t>
            </w:r>
            <w:r>
              <w:rPr>
                <w:rFonts w:hint="eastAsia" w:ascii="宋体" w:hAnsi="宋体" w:cs="宋体"/>
                <w:color w:val="auto"/>
                <w:highlight w:val="none"/>
                <w:lang w:val="en-US" w:eastAsia="zh-CN"/>
              </w:rPr>
              <w:t>6192452</w:t>
            </w:r>
          </w:p>
          <w:p>
            <w:pPr>
              <w:spacing w:line="440" w:lineRule="exact"/>
              <w:rPr>
                <w:rFonts w:ascii="宋体" w:cs="Times New Roman"/>
                <w:color w:val="auto"/>
                <w:highlight w:val="none"/>
              </w:rPr>
            </w:pPr>
            <w:r>
              <w:rPr>
                <w:rFonts w:hint="eastAsia" w:ascii="宋体" w:hAnsi="宋体" w:cs="宋体"/>
                <w:color w:val="auto"/>
                <w:highlight w:val="none"/>
              </w:rPr>
              <w:t>地址：温县温泉路</w:t>
            </w:r>
          </w:p>
        </w:tc>
      </w:tr>
      <w:tr>
        <w:tblPrEx>
          <w:tblCellMar>
            <w:top w:w="0" w:type="dxa"/>
            <w:left w:w="108" w:type="dxa"/>
            <w:bottom w:w="0" w:type="dxa"/>
            <w:right w:w="108" w:type="dxa"/>
          </w:tblCellMar>
        </w:tblPrEx>
        <w:trPr>
          <w:trHeight w:val="1375"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1.1.3</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招标代理机构</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代理机构：河南宏业建设管理股份有限公司</w:t>
            </w:r>
          </w:p>
          <w:p>
            <w:pPr>
              <w:spacing w:line="440" w:lineRule="exact"/>
              <w:rPr>
                <w:rFonts w:ascii="宋体" w:cs="Times New Roman"/>
                <w:color w:val="auto"/>
                <w:highlight w:val="none"/>
              </w:rPr>
            </w:pPr>
            <w:r>
              <w:rPr>
                <w:rFonts w:hint="eastAsia" w:ascii="宋体" w:hAnsi="宋体" w:cs="宋体"/>
                <w:color w:val="auto"/>
                <w:highlight w:val="none"/>
              </w:rPr>
              <w:t>联系人：孙女士</w:t>
            </w:r>
          </w:p>
          <w:p>
            <w:pPr>
              <w:spacing w:line="420" w:lineRule="exact"/>
              <w:rPr>
                <w:rFonts w:ascii="宋体" w:cs="Times New Roman"/>
                <w:color w:val="auto"/>
                <w:highlight w:val="none"/>
              </w:rPr>
            </w:pPr>
            <w:r>
              <w:rPr>
                <w:rFonts w:hint="eastAsia" w:ascii="宋体" w:hAnsi="宋体" w:cs="宋体"/>
                <w:color w:val="auto"/>
                <w:highlight w:val="none"/>
              </w:rPr>
              <w:t>联系电话：</w:t>
            </w:r>
            <w:r>
              <w:rPr>
                <w:rFonts w:ascii="宋体" w:hAnsi="宋体" w:cs="宋体"/>
                <w:color w:val="auto"/>
                <w:highlight w:val="none"/>
              </w:rPr>
              <w:t>15639114996</w:t>
            </w:r>
          </w:p>
          <w:p>
            <w:pPr>
              <w:spacing w:line="420" w:lineRule="exact"/>
              <w:rPr>
                <w:rFonts w:ascii="宋体" w:cs="Times New Roman"/>
                <w:color w:val="auto"/>
                <w:highlight w:val="none"/>
              </w:rPr>
            </w:pPr>
            <w:r>
              <w:rPr>
                <w:rFonts w:hint="eastAsia" w:ascii="宋体" w:hAnsi="宋体" w:cs="宋体"/>
                <w:color w:val="auto"/>
                <w:highlight w:val="none"/>
              </w:rPr>
              <w:t>地址：郑州市郑东新区商都路与中兴南路交叉口凯利国际中心</w:t>
            </w:r>
            <w:r>
              <w:rPr>
                <w:rFonts w:ascii="宋体" w:hAnsi="宋体" w:cs="宋体"/>
                <w:color w:val="auto"/>
                <w:highlight w:val="none"/>
              </w:rPr>
              <w:t>A</w:t>
            </w:r>
            <w:r>
              <w:rPr>
                <w:rFonts w:hint="eastAsia" w:ascii="宋体" w:hAnsi="宋体" w:cs="宋体"/>
                <w:color w:val="auto"/>
                <w:highlight w:val="none"/>
              </w:rPr>
              <w:t>座</w:t>
            </w:r>
            <w:r>
              <w:rPr>
                <w:rFonts w:ascii="宋体" w:hAnsi="宋体" w:cs="宋体"/>
                <w:color w:val="auto"/>
                <w:highlight w:val="none"/>
              </w:rPr>
              <w:t>28</w:t>
            </w:r>
            <w:r>
              <w:rPr>
                <w:rFonts w:hint="eastAsia" w:ascii="宋体" w:hAnsi="宋体" w:cs="宋体"/>
                <w:color w:val="auto"/>
                <w:highlight w:val="none"/>
              </w:rPr>
              <w:t>楼</w:t>
            </w:r>
          </w:p>
        </w:tc>
      </w:tr>
      <w:tr>
        <w:tblPrEx>
          <w:tblCellMar>
            <w:top w:w="0" w:type="dxa"/>
            <w:left w:w="108" w:type="dxa"/>
            <w:bottom w:w="0" w:type="dxa"/>
            <w:right w:w="108" w:type="dxa"/>
          </w:tblCellMar>
        </w:tblPrEx>
        <w:trPr>
          <w:trHeight w:val="1177"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1.1.4</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项目名称及项目编号</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项目名称：温县妇幼保健院（迁建项目）机房建设项目</w:t>
            </w:r>
          </w:p>
          <w:p>
            <w:pPr>
              <w:spacing w:line="440" w:lineRule="exact"/>
              <w:rPr>
                <w:rFonts w:ascii="宋体" w:cs="Times New Roman"/>
                <w:color w:val="auto"/>
                <w:highlight w:val="none"/>
              </w:rPr>
            </w:pPr>
            <w:r>
              <w:rPr>
                <w:rFonts w:hint="eastAsia" w:ascii="宋体" w:cs="宋体"/>
                <w:color w:val="auto"/>
                <w:highlight w:val="none"/>
              </w:rPr>
              <w:t>项目编号：温交易［2019］286号</w:t>
            </w:r>
          </w:p>
          <w:p>
            <w:pPr>
              <w:spacing w:line="440" w:lineRule="exact"/>
              <w:rPr>
                <w:rFonts w:ascii="宋体" w:cs="Times New Roman"/>
                <w:color w:val="auto"/>
                <w:highlight w:val="none"/>
              </w:rPr>
            </w:pPr>
            <w:r>
              <w:rPr>
                <w:rFonts w:hint="eastAsia" w:ascii="宋体" w:cs="Times New Roman"/>
                <w:color w:val="auto"/>
                <w:highlight w:val="none"/>
              </w:rPr>
              <w:t>采购编号：温政采［2019］277号 温政采［2019］11-11号</w:t>
            </w:r>
          </w:p>
        </w:tc>
      </w:tr>
      <w:tr>
        <w:tblPrEx>
          <w:tblCellMar>
            <w:top w:w="0" w:type="dxa"/>
            <w:left w:w="108" w:type="dxa"/>
            <w:bottom w:w="0" w:type="dxa"/>
            <w:right w:w="108" w:type="dxa"/>
          </w:tblCellMar>
        </w:tblPrEx>
        <w:trPr>
          <w:trHeight w:val="439"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1.2.1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招标控制价</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cs="Times New Roman"/>
                <w:color w:val="auto"/>
                <w:highlight w:val="none"/>
              </w:rPr>
            </w:pPr>
            <w:r>
              <w:rPr>
                <w:rFonts w:hint="eastAsia" w:ascii="宋体" w:hAnsi="宋体" w:cs="宋体"/>
                <w:color w:val="auto"/>
                <w:highlight w:val="none"/>
              </w:rPr>
              <w:t>人民币</w:t>
            </w:r>
            <w:r>
              <w:rPr>
                <w:rFonts w:ascii="宋体" w:hAnsi="宋体" w:cs="宋体"/>
                <w:color w:val="auto"/>
                <w:highlight w:val="none"/>
              </w:rPr>
              <w:t>145</w:t>
            </w:r>
            <w:r>
              <w:rPr>
                <w:rFonts w:hint="eastAsia" w:ascii="宋体" w:hAnsi="宋体" w:cs="宋体"/>
                <w:color w:val="auto"/>
                <w:highlight w:val="none"/>
              </w:rPr>
              <w:t>万元（大写：壹佰肆拾伍万元整）</w:t>
            </w:r>
          </w:p>
        </w:tc>
      </w:tr>
      <w:tr>
        <w:tblPrEx>
          <w:tblCellMar>
            <w:top w:w="0" w:type="dxa"/>
            <w:left w:w="108" w:type="dxa"/>
            <w:bottom w:w="0" w:type="dxa"/>
            <w:right w:w="108" w:type="dxa"/>
          </w:tblCellMar>
        </w:tblPrEx>
        <w:trPr>
          <w:trHeight w:val="445"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1.2.2</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资金来源</w:t>
            </w:r>
          </w:p>
        </w:tc>
        <w:tc>
          <w:tcPr>
            <w:tcW w:w="5610" w:type="dxa"/>
            <w:tcBorders>
              <w:top w:val="single" w:color="auto" w:sz="4" w:space="0"/>
              <w:left w:val="single" w:color="auto" w:sz="4" w:space="0"/>
              <w:bottom w:val="single" w:color="auto" w:sz="4" w:space="0"/>
              <w:right w:val="single" w:color="auto" w:sz="4" w:space="0"/>
            </w:tcBorders>
            <w:vAlign w:val="center"/>
          </w:tcPr>
          <w:p>
            <w:pPr>
              <w:widowControl/>
              <w:autoSpaceDN w:val="0"/>
              <w:spacing w:line="440" w:lineRule="exact"/>
              <w:jc w:val="left"/>
              <w:rPr>
                <w:rFonts w:ascii="宋体" w:cs="Times New Roman"/>
                <w:color w:val="auto"/>
                <w:highlight w:val="none"/>
              </w:rPr>
            </w:pPr>
            <w:r>
              <w:rPr>
                <w:rFonts w:hint="eastAsia" w:ascii="宋体" w:hAnsi="宋体" w:cs="宋体"/>
                <w:color w:val="auto"/>
                <w:highlight w:val="none"/>
              </w:rPr>
              <w:t>自筹资金</w:t>
            </w:r>
          </w:p>
        </w:tc>
      </w:tr>
      <w:tr>
        <w:tblPrEx>
          <w:tblCellMar>
            <w:top w:w="0" w:type="dxa"/>
            <w:left w:w="108" w:type="dxa"/>
            <w:bottom w:w="0" w:type="dxa"/>
            <w:right w:w="108" w:type="dxa"/>
          </w:tblCellMar>
        </w:tblPrEx>
        <w:trPr>
          <w:trHeight w:val="483"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1.3.1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采购内容</w:t>
            </w:r>
          </w:p>
        </w:tc>
        <w:tc>
          <w:tcPr>
            <w:tcW w:w="5610" w:type="dxa"/>
            <w:tcBorders>
              <w:top w:val="single" w:color="auto" w:sz="4" w:space="0"/>
              <w:left w:val="single" w:color="auto" w:sz="4" w:space="0"/>
              <w:bottom w:val="single" w:color="auto" w:sz="4" w:space="0"/>
              <w:right w:val="single" w:color="auto" w:sz="4" w:space="0"/>
            </w:tcBorders>
            <w:vAlign w:val="center"/>
          </w:tcPr>
          <w:p>
            <w:pPr>
              <w:widowControl/>
              <w:autoSpaceDN w:val="0"/>
              <w:spacing w:line="440" w:lineRule="exact"/>
              <w:jc w:val="left"/>
              <w:rPr>
                <w:rFonts w:ascii="宋体" w:cs="Times New Roman"/>
                <w:color w:val="auto"/>
                <w:highlight w:val="none"/>
              </w:rPr>
            </w:pPr>
            <w:r>
              <w:rPr>
                <w:rFonts w:hint="eastAsia" w:ascii="宋体" w:cs="宋体"/>
                <w:color w:val="auto"/>
                <w:highlight w:val="none"/>
              </w:rPr>
              <w:t>包括机房供配电系统、防雷接地系统、</w:t>
            </w:r>
            <w:r>
              <w:rPr>
                <w:rFonts w:ascii="宋体" w:cs="宋体"/>
                <w:color w:val="auto"/>
                <w:highlight w:val="none"/>
              </w:rPr>
              <w:t>UPS</w:t>
            </w:r>
            <w:r>
              <w:rPr>
                <w:rFonts w:hint="eastAsia" w:ascii="宋体" w:cs="宋体"/>
                <w:color w:val="auto"/>
                <w:highlight w:val="none"/>
              </w:rPr>
              <w:t>电源系统、空调系统、新风系统、综合布线系统、气体消防系统、环境及动力设备监控系统、防水隔层、安全设备及项目清单内容等（具体详见第四章第四章招标项目概况及服务要求）。</w:t>
            </w:r>
          </w:p>
        </w:tc>
      </w:tr>
      <w:tr>
        <w:tblPrEx>
          <w:tblCellMar>
            <w:top w:w="0" w:type="dxa"/>
            <w:left w:w="108" w:type="dxa"/>
            <w:bottom w:w="0" w:type="dxa"/>
            <w:right w:w="108" w:type="dxa"/>
          </w:tblCellMar>
        </w:tblPrEx>
        <w:trPr>
          <w:trHeight w:val="446"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1.3.2</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供货期</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cs="Times New Roman"/>
                <w:color w:val="auto"/>
                <w:highlight w:val="none"/>
              </w:rPr>
            </w:pPr>
            <w:r>
              <w:rPr>
                <w:rFonts w:ascii="宋体" w:hAnsi="宋体" w:cs="宋体"/>
                <w:color w:val="auto"/>
                <w:highlight w:val="none"/>
              </w:rPr>
              <w:t>15</w:t>
            </w:r>
            <w:r>
              <w:rPr>
                <w:rFonts w:hint="eastAsia" w:ascii="宋体" w:hAnsi="宋体" w:cs="宋体"/>
                <w:color w:val="auto"/>
                <w:highlight w:val="none"/>
              </w:rPr>
              <w:t>日历天</w:t>
            </w:r>
          </w:p>
        </w:tc>
      </w:tr>
      <w:tr>
        <w:tblPrEx>
          <w:tblCellMar>
            <w:top w:w="0" w:type="dxa"/>
            <w:left w:w="108" w:type="dxa"/>
            <w:bottom w:w="0" w:type="dxa"/>
            <w:right w:w="108" w:type="dxa"/>
          </w:tblCellMar>
        </w:tblPrEx>
        <w:trPr>
          <w:trHeight w:val="446"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1.3.3</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质量要求</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cs="Times New Roman"/>
                <w:color w:val="auto"/>
                <w:highlight w:val="none"/>
              </w:rPr>
            </w:pPr>
            <w:r>
              <w:rPr>
                <w:rFonts w:hint="eastAsia" w:ascii="宋体" w:hAnsi="宋体" w:cs="宋体"/>
                <w:color w:val="auto"/>
                <w:highlight w:val="none"/>
              </w:rPr>
              <w:t>合格</w:t>
            </w:r>
          </w:p>
        </w:tc>
      </w:tr>
      <w:tr>
        <w:tblPrEx>
          <w:tblCellMar>
            <w:top w:w="0" w:type="dxa"/>
            <w:left w:w="108" w:type="dxa"/>
            <w:bottom w:w="0" w:type="dxa"/>
            <w:right w:w="108" w:type="dxa"/>
          </w:tblCellMar>
        </w:tblPrEx>
        <w:trPr>
          <w:trHeight w:val="446"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1.3.4</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cs="宋体"/>
                <w:color w:val="auto"/>
                <w:highlight w:val="none"/>
              </w:rPr>
              <w:t>质保期</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cs="Times New Roman"/>
                <w:color w:val="auto"/>
                <w:highlight w:val="none"/>
              </w:rPr>
            </w:pPr>
            <w:r>
              <w:rPr>
                <w:rFonts w:hint="eastAsia" w:ascii="宋体" w:cs="宋体"/>
                <w:color w:val="auto"/>
                <w:highlight w:val="none"/>
              </w:rPr>
              <w:t>大于等于三年</w:t>
            </w:r>
          </w:p>
        </w:tc>
      </w:tr>
      <w:tr>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1.4.1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合格的投标人</w:t>
            </w:r>
          </w:p>
        </w:tc>
        <w:tc>
          <w:tcPr>
            <w:tcW w:w="56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符合《政府采购法》第二十二条规定的条件；</w:t>
            </w:r>
          </w:p>
          <w:p>
            <w:pPr>
              <w:spacing w:line="360" w:lineRule="exact"/>
              <w:rPr>
                <w:rFonts w:ascii="宋体" w:cs="Times New Roman"/>
                <w:color w:val="auto"/>
                <w:highlight w:val="none"/>
              </w:rPr>
            </w:pPr>
            <w:r>
              <w:rPr>
                <w:rFonts w:hint="eastAsia" w:ascii="宋体" w:hAnsi="宋体" w:cs="宋体"/>
                <w:color w:val="auto"/>
                <w:highlight w:val="none"/>
              </w:rPr>
              <w:t>（一）具有独立承担民事责任的能力；</w:t>
            </w:r>
          </w:p>
          <w:p>
            <w:pPr>
              <w:spacing w:line="360" w:lineRule="exact"/>
              <w:rPr>
                <w:rFonts w:ascii="宋体" w:cs="Times New Roman"/>
                <w:color w:val="auto"/>
                <w:highlight w:val="none"/>
              </w:rPr>
            </w:pPr>
            <w:r>
              <w:rPr>
                <w:rFonts w:hint="eastAsia" w:ascii="宋体" w:hAnsi="宋体" w:cs="宋体"/>
                <w:color w:val="auto"/>
                <w:highlight w:val="none"/>
              </w:rPr>
              <w:t>（二）具有良好的商业信誉和健全的财务会计制度；</w:t>
            </w:r>
          </w:p>
          <w:p>
            <w:pPr>
              <w:spacing w:line="360" w:lineRule="exact"/>
              <w:rPr>
                <w:rFonts w:ascii="宋体" w:cs="Times New Roman"/>
                <w:color w:val="auto"/>
                <w:highlight w:val="none"/>
              </w:rPr>
            </w:pPr>
            <w:r>
              <w:rPr>
                <w:rFonts w:hint="eastAsia" w:ascii="宋体" w:hAnsi="宋体" w:cs="宋体"/>
                <w:color w:val="auto"/>
                <w:highlight w:val="none"/>
              </w:rPr>
              <w:t>（三）具有履行合同所必需的设备和专业技术能力；</w:t>
            </w:r>
          </w:p>
          <w:p>
            <w:pPr>
              <w:spacing w:line="360" w:lineRule="exact"/>
              <w:rPr>
                <w:rFonts w:ascii="宋体" w:cs="Times New Roman"/>
                <w:color w:val="auto"/>
                <w:highlight w:val="none"/>
              </w:rPr>
            </w:pPr>
            <w:r>
              <w:rPr>
                <w:rFonts w:hint="eastAsia" w:ascii="宋体" w:hAnsi="宋体" w:cs="宋体"/>
                <w:color w:val="auto"/>
                <w:highlight w:val="none"/>
              </w:rPr>
              <w:t>（四）有依法缴纳税收和社会保障资金的良好记录；</w:t>
            </w:r>
          </w:p>
          <w:p>
            <w:pPr>
              <w:spacing w:line="360" w:lineRule="exact"/>
              <w:rPr>
                <w:rFonts w:ascii="宋体" w:cs="Times New Roman"/>
                <w:color w:val="auto"/>
                <w:highlight w:val="none"/>
              </w:rPr>
            </w:pPr>
            <w:r>
              <w:rPr>
                <w:rFonts w:hint="eastAsia" w:ascii="宋体" w:hAnsi="宋体" w:cs="宋体"/>
                <w:color w:val="auto"/>
                <w:highlight w:val="none"/>
              </w:rPr>
              <w:t>（五）参加政府采购活动前三年内，在经营活动中没有重大违法记录；</w:t>
            </w:r>
          </w:p>
          <w:p>
            <w:pPr>
              <w:spacing w:line="360" w:lineRule="exact"/>
              <w:rPr>
                <w:rFonts w:ascii="宋体" w:cs="Times New Roman"/>
                <w:color w:val="auto"/>
                <w:highlight w:val="none"/>
              </w:rPr>
            </w:pPr>
            <w:r>
              <w:rPr>
                <w:rFonts w:hint="eastAsia" w:ascii="宋体" w:hAnsi="宋体" w:cs="宋体"/>
                <w:color w:val="auto"/>
                <w:highlight w:val="none"/>
              </w:rPr>
              <w:t>（六）法律、行政法规规定的其他条件。</w:t>
            </w:r>
          </w:p>
          <w:p>
            <w:pPr>
              <w:spacing w:line="360" w:lineRule="exact"/>
              <w:rPr>
                <w:rFonts w:cs="Times New Roman"/>
                <w:color w:val="auto"/>
                <w:highlight w:val="none"/>
              </w:rPr>
            </w:pPr>
            <w:r>
              <w:rPr>
                <w:rFonts w:ascii="宋体" w:hAnsi="宋体" w:cs="宋体"/>
                <w:color w:val="auto"/>
                <w:highlight w:val="none"/>
              </w:rPr>
              <w:t>2.</w:t>
            </w:r>
            <w:r>
              <w:rPr>
                <w:rFonts w:hint="eastAsia" w:ascii="宋体" w:hAnsi="宋体" w:cs="宋体"/>
                <w:color w:val="auto"/>
                <w:highlight w:val="none"/>
              </w:rPr>
              <w:t>投标单位具有独立法人资格，营业执照经营范围符合本项目招标要求。</w:t>
            </w:r>
          </w:p>
          <w:p>
            <w:pPr>
              <w:spacing w:line="360" w:lineRule="exact"/>
              <w:rPr>
                <w:rFonts w:cs="Times New Roman"/>
                <w:color w:val="auto"/>
                <w:highlight w:val="none"/>
              </w:rPr>
            </w:pPr>
            <w:r>
              <w:rPr>
                <w:color w:val="auto"/>
                <w:highlight w:val="none"/>
              </w:rPr>
              <w:t>3.</w:t>
            </w:r>
            <w:r>
              <w:rPr>
                <w:rFonts w:hint="eastAsia" w:cs="宋体"/>
                <w:color w:val="auto"/>
                <w:highlight w:val="none"/>
              </w:rPr>
              <w:t>投标单位必须提供投标承诺函；</w:t>
            </w:r>
          </w:p>
          <w:p>
            <w:pPr>
              <w:spacing w:line="360" w:lineRule="exact"/>
              <w:rPr>
                <w:rFonts w:ascii="宋体" w:cs="Times New Roman"/>
                <w:color w:val="auto"/>
                <w:highlight w:val="none"/>
              </w:rPr>
            </w:pPr>
            <w:r>
              <w:rPr>
                <w:rFonts w:ascii="宋体" w:hAnsi="宋体" w:cs="宋体"/>
                <w:color w:val="auto"/>
                <w:highlight w:val="none"/>
              </w:rPr>
              <w:t>4</w:t>
            </w:r>
            <w:r>
              <w:rPr>
                <w:rFonts w:ascii="宋体" w:cs="宋体"/>
                <w:color w:val="auto"/>
                <w:highlight w:val="none"/>
              </w:rPr>
              <w:t>.</w:t>
            </w:r>
            <w:r>
              <w:rPr>
                <w:rFonts w:hint="eastAsia" w:ascii="宋体" w:hAnsi="宋体" w:cs="宋体"/>
                <w:color w:val="auto"/>
                <w:highlight w:val="none"/>
              </w:rPr>
              <w:t>投标单位必须提供无行贿犯罪记录承诺书。（投标人出具“中国裁判文书网”网站查询近三年来法人、法定代表人、法定代表人委托人无行贿犯罪记录网页截图加盖企业公章证明）若有行贿犯罪记录则取消其投标资格；</w:t>
            </w:r>
          </w:p>
          <w:p>
            <w:pPr>
              <w:spacing w:line="360" w:lineRule="exact"/>
              <w:jc w:val="left"/>
              <w:rPr>
                <w:rFonts w:ascii="宋体" w:cs="Times New Roman"/>
                <w:color w:val="auto"/>
                <w:highlight w:val="none"/>
              </w:rPr>
            </w:pPr>
            <w:r>
              <w:rPr>
                <w:rFonts w:ascii="宋体" w:hAnsi="宋体" w:cs="宋体"/>
                <w:color w:val="auto"/>
                <w:highlight w:val="none"/>
              </w:rPr>
              <w:t>5</w:t>
            </w:r>
            <w:r>
              <w:rPr>
                <w:rFonts w:ascii="宋体" w:cs="宋体"/>
                <w:color w:val="auto"/>
                <w:highlight w:val="none"/>
              </w:rPr>
              <w:t>.</w:t>
            </w:r>
            <w:r>
              <w:rPr>
                <w:rFonts w:hint="eastAsia" w:ascii="宋体" w:hAnsi="宋体" w:cs="宋体"/>
                <w:color w:val="auto"/>
                <w:highlight w:val="none"/>
              </w:rPr>
              <w:t>按照《财政部关于在政府采购活动中查询及使用信用记录有关问题的通知》（财库〔</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125</w:t>
            </w:r>
            <w:r>
              <w:rPr>
                <w:rFonts w:hint="eastAsia" w:ascii="宋体" w:hAnsi="宋体" w:cs="宋体"/>
                <w:color w:val="auto"/>
                <w:highlight w:val="none"/>
              </w:rPr>
              <w:t>号）的要求，根据“信用中国”网站（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的信息，对列入失信被执行人、重大税收违法案件当事人名单、政府采购严重违法失信行为记录名单的企业，拒绝参与本项目投标。（投标单位需提供网站查询截图，加盖企业公章，查询日期为招标公告发布之日起至投标文件递交的截止时间止</w:t>
            </w:r>
            <w:r>
              <w:rPr>
                <w:rFonts w:ascii="宋体" w:hAnsi="宋体" w:cs="宋体"/>
                <w:color w:val="auto"/>
                <w:highlight w:val="none"/>
              </w:rPr>
              <w:t>)</w:t>
            </w:r>
            <w:r>
              <w:rPr>
                <w:rFonts w:hint="eastAsia" w:ascii="宋体" w:hAnsi="宋体" w:cs="宋体"/>
                <w:color w:val="auto"/>
                <w:highlight w:val="none"/>
              </w:rPr>
              <w:t>；</w:t>
            </w:r>
          </w:p>
          <w:p>
            <w:pPr>
              <w:spacing w:line="360" w:lineRule="exact"/>
              <w:jc w:val="left"/>
              <w:rPr>
                <w:rFonts w:ascii="宋体" w:cs="Times New Roman"/>
                <w:color w:val="auto"/>
                <w:highlight w:val="none"/>
              </w:rPr>
            </w:pPr>
            <w:r>
              <w:rPr>
                <w:rFonts w:ascii="宋体" w:hAnsi="宋体" w:cs="宋体"/>
                <w:color w:val="auto"/>
                <w:highlight w:val="none"/>
              </w:rPr>
              <w:t>6</w:t>
            </w:r>
            <w:r>
              <w:rPr>
                <w:rFonts w:ascii="宋体" w:cs="宋体"/>
                <w:color w:val="auto"/>
                <w:highlight w:val="none"/>
              </w:rPr>
              <w:t>.</w:t>
            </w:r>
            <w:r>
              <w:rPr>
                <w:rFonts w:hint="eastAsia" w:ascii="宋体" w:hAnsi="宋体" w:cs="宋体"/>
                <w:color w:val="auto"/>
                <w:highlight w:val="none"/>
              </w:rPr>
              <w:t>本次招标不接受联合体投标</w:t>
            </w:r>
          </w:p>
          <w:p>
            <w:pPr>
              <w:spacing w:line="360" w:lineRule="exact"/>
              <w:jc w:val="left"/>
              <w:rPr>
                <w:rFonts w:ascii="宋体" w:cs="Times New Roman"/>
                <w:color w:val="auto"/>
                <w:highlight w:val="none"/>
              </w:rPr>
            </w:pPr>
            <w:r>
              <w:rPr>
                <w:rFonts w:hint="eastAsia" w:ascii="宋体" w:hAnsi="宋体" w:cs="宋体"/>
                <w:color w:val="auto"/>
                <w:highlight w:val="none"/>
              </w:rPr>
              <w:t>其他：开标时法人持法定代表人身份证明及身份证复印件（复印件须加盖公章）或授权委托人持法人授权委托书及本人身份证（复印件须加盖公章）。</w:t>
            </w:r>
          </w:p>
          <w:p>
            <w:pPr>
              <w:spacing w:line="360" w:lineRule="exact"/>
              <w:jc w:val="left"/>
              <w:rPr>
                <w:rFonts w:ascii="宋体" w:cs="Times New Roman"/>
                <w:color w:val="auto"/>
                <w:highlight w:val="none"/>
              </w:rPr>
            </w:pPr>
            <w:r>
              <w:rPr>
                <w:rFonts w:hint="eastAsia" w:ascii="宋体" w:hAnsi="宋体" w:cs="宋体"/>
                <w:color w:val="auto"/>
                <w:highlight w:val="none"/>
              </w:rPr>
              <w:t>（以上证件均为原件，列好原件的清单及联系方式后在开标时交到工作人员处，否则视为自动放弃投标，不再接收其投标文件）</w:t>
            </w:r>
          </w:p>
        </w:tc>
      </w:tr>
      <w:tr>
        <w:tblPrEx>
          <w:tblCellMar>
            <w:top w:w="0" w:type="dxa"/>
            <w:left w:w="108" w:type="dxa"/>
            <w:bottom w:w="0" w:type="dxa"/>
            <w:right w:w="108" w:type="dxa"/>
          </w:tblCellMar>
        </w:tblPrEx>
        <w:trPr>
          <w:trHeight w:val="519"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1.7.2</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采购人书面澄清的时间</w:t>
            </w:r>
          </w:p>
        </w:tc>
        <w:tc>
          <w:tcPr>
            <w:tcW w:w="5610" w:type="dxa"/>
            <w:tcBorders>
              <w:top w:val="single" w:color="auto" w:sz="4" w:space="0"/>
              <w:left w:val="single" w:color="auto" w:sz="4" w:space="0"/>
              <w:bottom w:val="single" w:color="auto" w:sz="4" w:space="0"/>
              <w:right w:val="single" w:color="auto" w:sz="4" w:space="0"/>
            </w:tcBorders>
          </w:tcPr>
          <w:p>
            <w:pPr>
              <w:spacing w:line="440" w:lineRule="exact"/>
              <w:rPr>
                <w:rFonts w:ascii="宋体" w:cs="Times New Roman"/>
                <w:color w:val="auto"/>
                <w:kern w:val="0"/>
                <w:highlight w:val="none"/>
              </w:rPr>
            </w:pPr>
            <w:r>
              <w:rPr>
                <w:rFonts w:hint="eastAsia" w:ascii="宋体" w:hAnsi="宋体" w:cs="宋体"/>
                <w:color w:val="auto"/>
                <w:kern w:val="0"/>
                <w:highlight w:val="none"/>
              </w:rPr>
              <w:t>递交投标文件截至时间</w:t>
            </w:r>
            <w:r>
              <w:rPr>
                <w:rFonts w:ascii="宋体" w:hAnsi="宋体" w:cs="宋体"/>
                <w:color w:val="auto"/>
                <w:kern w:val="0"/>
                <w:highlight w:val="none"/>
              </w:rPr>
              <w:t>15</w:t>
            </w:r>
            <w:r>
              <w:rPr>
                <w:rFonts w:hint="eastAsia" w:ascii="宋体" w:hAnsi="宋体" w:cs="宋体"/>
                <w:color w:val="auto"/>
                <w:kern w:val="0"/>
                <w:highlight w:val="none"/>
              </w:rPr>
              <w:t>天前</w:t>
            </w:r>
          </w:p>
        </w:tc>
      </w:tr>
      <w:tr>
        <w:tblPrEx>
          <w:tblCellMar>
            <w:top w:w="0" w:type="dxa"/>
            <w:left w:w="108" w:type="dxa"/>
            <w:bottom w:w="0" w:type="dxa"/>
            <w:right w:w="108" w:type="dxa"/>
          </w:tblCellMar>
        </w:tblPrEx>
        <w:trPr>
          <w:trHeight w:val="80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3.2</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投标截止时间及地点</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cs="Times New Roman"/>
                <w:color w:val="auto"/>
                <w:highlight w:val="none"/>
              </w:rPr>
            </w:pPr>
            <w:r>
              <w:rPr>
                <w:rFonts w:hint="eastAsia" w:ascii="宋体" w:hAnsi="宋体" w:cs="宋体"/>
                <w:color w:val="auto"/>
                <w:highlight w:val="none"/>
              </w:rPr>
              <w:t>时间：2019年12月25日9时00分</w:t>
            </w:r>
          </w:p>
          <w:p>
            <w:pPr>
              <w:spacing w:line="440" w:lineRule="exact"/>
              <w:rPr>
                <w:rFonts w:ascii="宋体" w:cs="Times New Roman"/>
                <w:color w:val="auto"/>
                <w:highlight w:val="none"/>
              </w:rPr>
            </w:pPr>
            <w:r>
              <w:rPr>
                <w:rFonts w:hint="eastAsia" w:ascii="宋体" w:hAnsi="宋体" w:cs="宋体"/>
                <w:color w:val="auto"/>
                <w:highlight w:val="none"/>
              </w:rPr>
              <w:t>地点：温县公共资源交易中心开标厅</w:t>
            </w:r>
          </w:p>
        </w:tc>
      </w:tr>
      <w:tr>
        <w:tblPrEx>
          <w:tblCellMar>
            <w:top w:w="0" w:type="dxa"/>
            <w:left w:w="108" w:type="dxa"/>
            <w:bottom w:w="0" w:type="dxa"/>
            <w:right w:w="108" w:type="dxa"/>
          </w:tblCellMar>
        </w:tblPrEx>
        <w:trPr>
          <w:trHeight w:val="535"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3.4.1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投标有效期</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cs="Times New Roman"/>
                <w:color w:val="auto"/>
                <w:highlight w:val="none"/>
              </w:rPr>
            </w:pPr>
            <w:r>
              <w:rPr>
                <w:rFonts w:hint="eastAsia" w:ascii="宋体" w:hAnsi="宋体" w:cs="宋体"/>
                <w:color w:val="auto"/>
                <w:highlight w:val="none"/>
              </w:rPr>
              <w:t>投标文件递交截止日起</w:t>
            </w:r>
            <w:r>
              <w:rPr>
                <w:rFonts w:ascii="宋体" w:hAnsi="宋体" w:cs="宋体"/>
                <w:color w:val="auto"/>
                <w:highlight w:val="none"/>
              </w:rPr>
              <w:t>60</w:t>
            </w:r>
            <w:r>
              <w:rPr>
                <w:rFonts w:hint="eastAsia" w:ascii="宋体" w:hAnsi="宋体" w:cs="宋体"/>
                <w:color w:val="auto"/>
                <w:highlight w:val="none"/>
              </w:rPr>
              <w:t>日历天</w:t>
            </w:r>
          </w:p>
        </w:tc>
      </w:tr>
      <w:tr>
        <w:tblPrEx>
          <w:tblCellMar>
            <w:top w:w="0" w:type="dxa"/>
            <w:left w:w="108" w:type="dxa"/>
            <w:bottom w:w="0" w:type="dxa"/>
            <w:right w:w="108" w:type="dxa"/>
          </w:tblCellMar>
        </w:tblPrEx>
        <w:trPr>
          <w:trHeight w:val="359"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3.5.1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投标保证金</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无</w:t>
            </w:r>
          </w:p>
        </w:tc>
      </w:tr>
      <w:tr>
        <w:tblPrEx>
          <w:tblCellMar>
            <w:top w:w="0" w:type="dxa"/>
            <w:left w:w="108" w:type="dxa"/>
            <w:bottom w:w="0" w:type="dxa"/>
            <w:right w:w="108" w:type="dxa"/>
          </w:tblCellMar>
        </w:tblPrEx>
        <w:trPr>
          <w:trHeight w:val="359"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3.7.4</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投标文件正、副本份数</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正本</w:t>
            </w:r>
            <w:r>
              <w:rPr>
                <w:rFonts w:hint="eastAsia" w:ascii="宋体" w:hAnsi="宋体" w:cs="宋体"/>
                <w:color w:val="auto"/>
                <w:highlight w:val="none"/>
                <w:u w:val="single"/>
              </w:rPr>
              <w:t>壹</w:t>
            </w:r>
            <w:r>
              <w:rPr>
                <w:rFonts w:hint="eastAsia" w:ascii="宋体" w:hAnsi="宋体" w:cs="宋体"/>
                <w:color w:val="auto"/>
                <w:highlight w:val="none"/>
              </w:rPr>
              <w:t>份，副本</w:t>
            </w:r>
            <w:r>
              <w:rPr>
                <w:rFonts w:hint="eastAsia" w:ascii="宋体" w:hAnsi="宋体" w:cs="宋体"/>
                <w:color w:val="auto"/>
                <w:highlight w:val="none"/>
                <w:u w:val="single"/>
              </w:rPr>
              <w:t>陆</w:t>
            </w:r>
            <w:r>
              <w:rPr>
                <w:rFonts w:hint="eastAsia" w:ascii="宋体" w:hAnsi="宋体" w:cs="宋体"/>
                <w:color w:val="auto"/>
                <w:highlight w:val="none"/>
              </w:rPr>
              <w:t>份；电子版</w:t>
            </w:r>
            <w:r>
              <w:rPr>
                <w:rFonts w:ascii="宋体" w:hAnsi="宋体" w:cs="宋体"/>
                <w:color w:val="auto"/>
                <w:highlight w:val="none"/>
              </w:rPr>
              <w:t>1</w:t>
            </w:r>
            <w:r>
              <w:rPr>
                <w:rFonts w:hint="eastAsia" w:ascii="宋体" w:hAnsi="宋体" w:cs="宋体"/>
                <w:color w:val="auto"/>
                <w:highlight w:val="none"/>
              </w:rPr>
              <w:t>份（</w:t>
            </w:r>
            <w:r>
              <w:rPr>
                <w:rFonts w:ascii="宋体" w:hAnsi="宋体" w:cs="宋体"/>
                <w:color w:val="auto"/>
                <w:highlight w:val="none"/>
                <w:u w:val="single"/>
              </w:rPr>
              <w:t>U</w:t>
            </w:r>
            <w:r>
              <w:rPr>
                <w:rFonts w:hint="eastAsia" w:ascii="宋体" w:hAnsi="宋体" w:cs="宋体"/>
                <w:color w:val="auto"/>
                <w:highlight w:val="none"/>
                <w:u w:val="single"/>
              </w:rPr>
              <w:t>盘</w:t>
            </w:r>
            <w:r>
              <w:rPr>
                <w:rFonts w:hint="eastAsia" w:ascii="宋体" w:hAnsi="宋体" w:cs="宋体"/>
                <w:color w:val="auto"/>
                <w:highlight w:val="none"/>
              </w:rPr>
              <w:t>格式）</w:t>
            </w:r>
          </w:p>
        </w:tc>
      </w:tr>
      <w:tr>
        <w:tblPrEx>
          <w:tblCellMar>
            <w:top w:w="0" w:type="dxa"/>
            <w:left w:w="108" w:type="dxa"/>
            <w:bottom w:w="0" w:type="dxa"/>
            <w:right w:w="108" w:type="dxa"/>
          </w:tblCellMar>
        </w:tblPrEx>
        <w:trPr>
          <w:trHeight w:val="337"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3.10</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踏勘现场</w:t>
            </w:r>
          </w:p>
        </w:tc>
        <w:tc>
          <w:tcPr>
            <w:tcW w:w="5610" w:type="dxa"/>
            <w:tcBorders>
              <w:top w:val="single" w:color="auto" w:sz="4" w:space="0"/>
              <w:left w:val="single" w:color="auto" w:sz="4" w:space="0"/>
              <w:bottom w:val="single" w:color="auto" w:sz="4" w:space="0"/>
              <w:right w:val="single" w:color="auto" w:sz="4" w:space="0"/>
            </w:tcBorders>
            <w:vAlign w:val="center"/>
          </w:tcPr>
          <w:p>
            <w:pPr>
              <w:pStyle w:val="8"/>
              <w:topLinePunct/>
              <w:spacing w:line="440" w:lineRule="exact"/>
              <w:jc w:val="left"/>
              <w:rPr>
                <w:rFonts w:ascii="宋体" w:cs="Times New Roman"/>
                <w:color w:val="auto"/>
                <w:kern w:val="2"/>
                <w:sz w:val="21"/>
                <w:szCs w:val="21"/>
                <w:highlight w:val="none"/>
              </w:rPr>
            </w:pPr>
            <w:r>
              <w:rPr>
                <w:rFonts w:hint="eastAsia" w:ascii="宋体" w:hAnsi="宋体" w:cs="宋体"/>
                <w:color w:val="auto"/>
                <w:kern w:val="2"/>
                <w:sz w:val="21"/>
                <w:szCs w:val="21"/>
                <w:highlight w:val="none"/>
              </w:rPr>
              <w:t>不组织，自行踏勘。</w:t>
            </w:r>
          </w:p>
        </w:tc>
      </w:tr>
      <w:tr>
        <w:tblPrEx>
          <w:tblCellMar>
            <w:top w:w="0" w:type="dxa"/>
            <w:left w:w="108" w:type="dxa"/>
            <w:bottom w:w="0" w:type="dxa"/>
            <w:right w:w="108" w:type="dxa"/>
          </w:tblCellMar>
        </w:tblPrEx>
        <w:trPr>
          <w:trHeight w:val="124"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10" w:firstLineChars="100"/>
              <w:rPr>
                <w:rFonts w:ascii="宋体" w:cs="Times New Roman"/>
                <w:color w:val="auto"/>
                <w:highlight w:val="none"/>
              </w:rPr>
            </w:pPr>
            <w:r>
              <w:rPr>
                <w:rFonts w:ascii="宋体" w:hAnsi="宋体" w:cs="宋体"/>
                <w:color w:val="auto"/>
                <w:highlight w:val="none"/>
              </w:rPr>
              <w:t>4.1.1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装订要求</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投标文件的正本与副本应采用左侧胶粘方式装订，不得采用活页夹等可随时拆换的方式装订。</w:t>
            </w:r>
          </w:p>
        </w:tc>
      </w:tr>
      <w:tr>
        <w:tblPrEx>
          <w:tblCellMar>
            <w:top w:w="0" w:type="dxa"/>
            <w:left w:w="108" w:type="dxa"/>
            <w:bottom w:w="0" w:type="dxa"/>
            <w:right w:w="108" w:type="dxa"/>
          </w:tblCellMar>
        </w:tblPrEx>
        <w:trPr>
          <w:trHeight w:val="32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4.1.2</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密封要求</w:t>
            </w:r>
          </w:p>
        </w:tc>
        <w:tc>
          <w:tcPr>
            <w:tcW w:w="56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cs="Times New Roman"/>
                <w:color w:val="auto"/>
                <w:highlight w:val="none"/>
              </w:rPr>
            </w:pPr>
            <w:r>
              <w:rPr>
                <w:rFonts w:ascii="宋体" w:hAnsi="宋体" w:cs="宋体"/>
                <w:color w:val="auto"/>
                <w:highlight w:val="none"/>
              </w:rPr>
              <w:t xml:space="preserve">1. </w:t>
            </w:r>
            <w:r>
              <w:rPr>
                <w:rFonts w:hint="eastAsia" w:ascii="宋体" w:hAnsi="宋体" w:cs="宋体"/>
                <w:color w:val="auto"/>
                <w:highlight w:val="none"/>
              </w:rPr>
              <w:t>投标文件的正本单独密封、副本整体密封；电子版</w:t>
            </w:r>
            <w:r>
              <w:rPr>
                <w:rFonts w:ascii="宋体" w:hAnsi="宋体" w:cs="宋体"/>
                <w:color w:val="auto"/>
                <w:highlight w:val="none"/>
              </w:rPr>
              <w:t>1</w:t>
            </w:r>
            <w:r>
              <w:rPr>
                <w:rFonts w:hint="eastAsia" w:ascii="宋体" w:hAnsi="宋体" w:cs="宋体"/>
                <w:color w:val="auto"/>
                <w:highlight w:val="none"/>
              </w:rPr>
              <w:t>份，电子版密封于正本密封袋内。</w:t>
            </w:r>
          </w:p>
          <w:p>
            <w:pPr>
              <w:spacing w:line="360" w:lineRule="exact"/>
              <w:jc w:val="left"/>
              <w:rPr>
                <w:rFonts w:ascii="宋体" w:cs="Times New Roman"/>
                <w:color w:val="auto"/>
                <w:highlight w:val="none"/>
              </w:rPr>
            </w:pPr>
            <w:r>
              <w:rPr>
                <w:rFonts w:ascii="宋体" w:hAnsi="宋体" w:cs="宋体"/>
                <w:color w:val="auto"/>
                <w:highlight w:val="none"/>
              </w:rPr>
              <w:t>2</w:t>
            </w:r>
            <w:r>
              <w:rPr>
                <w:rFonts w:ascii="宋体" w:cs="宋体"/>
                <w:b/>
                <w:bCs/>
                <w:color w:val="auto"/>
                <w:highlight w:val="none"/>
              </w:rPr>
              <w:t>.</w:t>
            </w:r>
            <w:r>
              <w:rPr>
                <w:rFonts w:hint="eastAsia" w:ascii="宋体" w:hAnsi="宋体" w:cs="宋体"/>
                <w:b/>
                <w:bCs/>
                <w:color w:val="auto"/>
                <w:highlight w:val="none"/>
              </w:rPr>
              <w:t>投标文件封套上应写明正本、副本并写明以下内容</w:t>
            </w:r>
          </w:p>
          <w:p>
            <w:pPr>
              <w:spacing w:line="360" w:lineRule="exact"/>
              <w:jc w:val="left"/>
              <w:rPr>
                <w:rFonts w:ascii="宋体" w:cs="Times New Roman"/>
                <w:color w:val="auto"/>
                <w:highlight w:val="none"/>
              </w:rPr>
            </w:pPr>
            <w:r>
              <w:rPr>
                <w:rFonts w:hint="eastAsia" w:ascii="宋体" w:hAnsi="宋体" w:cs="宋体"/>
                <w:color w:val="auto"/>
                <w:highlight w:val="none"/>
              </w:rPr>
              <w:t>投标人名称：</w:t>
            </w:r>
          </w:p>
          <w:p>
            <w:pPr>
              <w:spacing w:line="360" w:lineRule="exact"/>
              <w:jc w:val="left"/>
              <w:rPr>
                <w:rFonts w:ascii="宋体" w:cs="Times New Roman"/>
                <w:color w:val="auto"/>
                <w:highlight w:val="none"/>
              </w:rPr>
            </w:pPr>
            <w:r>
              <w:rPr>
                <w:rFonts w:hint="eastAsia" w:ascii="宋体" w:hAnsi="宋体" w:cs="宋体"/>
                <w:color w:val="auto"/>
                <w:highlight w:val="none"/>
              </w:rPr>
              <w:t>投标人地址：</w:t>
            </w:r>
          </w:p>
          <w:p>
            <w:pPr>
              <w:spacing w:line="360" w:lineRule="exact"/>
              <w:jc w:val="left"/>
              <w:rPr>
                <w:rFonts w:ascii="宋体" w:cs="Times New Roman"/>
                <w:color w:val="auto"/>
                <w:highlight w:val="none"/>
              </w:rPr>
            </w:pPr>
            <w:r>
              <w:rPr>
                <w:rFonts w:hint="eastAsia" w:ascii="宋体" w:hAnsi="宋体" w:cs="宋体"/>
                <w:color w:val="auto"/>
                <w:highlight w:val="none"/>
              </w:rPr>
              <w:t>项目编号：</w:t>
            </w:r>
            <w:r>
              <w:rPr>
                <w:rFonts w:ascii="宋体" w:hAnsi="宋体" w:cs="宋体"/>
                <w:color w:val="auto"/>
                <w:highlight w:val="none"/>
              </w:rPr>
              <w:t xml:space="preserve">    </w:t>
            </w:r>
            <w:r>
              <w:rPr>
                <w:rFonts w:hint="eastAsia" w:ascii="宋体" w:hAnsi="宋体" w:cs="宋体"/>
                <w:color w:val="auto"/>
                <w:highlight w:val="none"/>
              </w:rPr>
              <w:t>采购编号：</w:t>
            </w:r>
          </w:p>
          <w:p>
            <w:pPr>
              <w:spacing w:line="360" w:lineRule="exact"/>
              <w:jc w:val="left"/>
              <w:rPr>
                <w:rFonts w:ascii="宋体" w:cs="Times New Roman"/>
                <w:color w:val="auto"/>
                <w:highlight w:val="none"/>
              </w:rPr>
            </w:pPr>
            <w:r>
              <w:rPr>
                <w:rFonts w:hint="eastAsia" w:ascii="宋体" w:hAnsi="宋体" w:cs="宋体"/>
                <w:color w:val="auto"/>
                <w:highlight w:val="none"/>
              </w:rPr>
              <w:t>开标时间：</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时</w:t>
            </w:r>
            <w:r>
              <w:rPr>
                <w:rFonts w:ascii="宋体" w:hAnsi="宋体" w:cs="宋体"/>
                <w:color w:val="auto"/>
                <w:highlight w:val="none"/>
              </w:rPr>
              <w:t xml:space="preserve">  </w:t>
            </w:r>
            <w:r>
              <w:rPr>
                <w:rFonts w:hint="eastAsia" w:ascii="宋体" w:hAnsi="宋体" w:cs="宋体"/>
                <w:color w:val="auto"/>
                <w:highlight w:val="none"/>
              </w:rPr>
              <w:t>分</w:t>
            </w:r>
          </w:p>
          <w:p>
            <w:pPr>
              <w:spacing w:line="360" w:lineRule="exact"/>
              <w:jc w:val="left"/>
              <w:rPr>
                <w:rFonts w:ascii="宋体" w:cs="Times New Roman"/>
                <w:color w:val="auto"/>
                <w:highlight w:val="none"/>
              </w:rPr>
            </w:pPr>
            <w:r>
              <w:rPr>
                <w:rFonts w:ascii="宋体" w:hAnsi="宋体" w:cs="宋体"/>
                <w:color w:val="auto"/>
                <w:highlight w:val="none"/>
              </w:rPr>
              <w:t>XX</w:t>
            </w:r>
            <w:r>
              <w:rPr>
                <w:rFonts w:hint="eastAsia" w:ascii="宋体" w:hAnsi="宋体" w:cs="宋体"/>
                <w:color w:val="auto"/>
                <w:highlight w:val="none"/>
              </w:rPr>
              <w:t>（项目名称）项目投标文件</w:t>
            </w:r>
          </w:p>
          <w:p>
            <w:pPr>
              <w:spacing w:line="360" w:lineRule="exact"/>
              <w:jc w:val="left"/>
              <w:rPr>
                <w:rFonts w:ascii="宋体" w:cs="Times New Roman"/>
                <w:color w:val="auto"/>
                <w:highlight w:val="none"/>
              </w:rPr>
            </w:pPr>
            <w:r>
              <w:rPr>
                <w:rFonts w:hint="eastAsia" w:ascii="宋体" w:hAnsi="宋体" w:cs="宋体"/>
                <w:color w:val="auto"/>
                <w:highlight w:val="none"/>
              </w:rPr>
              <w:t>在</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日时分前不得开启</w:t>
            </w:r>
          </w:p>
        </w:tc>
      </w:tr>
      <w:tr>
        <w:tblPrEx>
          <w:tblCellMar>
            <w:top w:w="0" w:type="dxa"/>
            <w:left w:w="108" w:type="dxa"/>
            <w:bottom w:w="0" w:type="dxa"/>
            <w:right w:w="108" w:type="dxa"/>
          </w:tblCellMar>
        </w:tblPrEx>
        <w:trPr>
          <w:trHeight w:val="559"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4.2.2</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递交投标文件方式和地点</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温县公共资源交易中心开标厅</w:t>
            </w:r>
          </w:p>
        </w:tc>
      </w:tr>
      <w:tr>
        <w:tblPrEx>
          <w:tblCellMar>
            <w:top w:w="0" w:type="dxa"/>
            <w:left w:w="108" w:type="dxa"/>
            <w:bottom w:w="0" w:type="dxa"/>
            <w:right w:w="108" w:type="dxa"/>
          </w:tblCellMar>
        </w:tblPrEx>
        <w:trPr>
          <w:trHeight w:val="688"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5.1.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开标时间和地点</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hAnsi="宋体" w:cs="宋体"/>
                <w:color w:val="auto"/>
                <w:highlight w:val="none"/>
              </w:rPr>
              <w:t>同投标截止时间</w:t>
            </w:r>
          </w:p>
          <w:p>
            <w:pPr>
              <w:spacing w:line="440" w:lineRule="exact"/>
              <w:rPr>
                <w:rFonts w:ascii="宋体" w:cs="Times New Roman"/>
                <w:color w:val="auto"/>
                <w:highlight w:val="none"/>
              </w:rPr>
            </w:pPr>
            <w:r>
              <w:rPr>
                <w:rFonts w:hint="eastAsia" w:ascii="宋体" w:hAnsi="宋体" w:cs="宋体"/>
                <w:color w:val="auto"/>
                <w:highlight w:val="none"/>
              </w:rPr>
              <w:t>地点：温县公共资源交易中心开标厅</w:t>
            </w:r>
          </w:p>
        </w:tc>
      </w:tr>
      <w:tr>
        <w:tblPrEx>
          <w:tblCellMar>
            <w:top w:w="0" w:type="dxa"/>
            <w:left w:w="108" w:type="dxa"/>
            <w:bottom w:w="0" w:type="dxa"/>
            <w:right w:w="108" w:type="dxa"/>
          </w:tblCellMar>
        </w:tblPrEx>
        <w:trPr>
          <w:trHeight w:val="56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6.1.1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评标委员会的组建</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cs="Times New Roman"/>
                <w:color w:val="auto"/>
                <w:highlight w:val="none"/>
              </w:rPr>
            </w:pPr>
            <w:r>
              <w:rPr>
                <w:rFonts w:hint="eastAsia" w:ascii="宋体" w:hAnsi="宋体" w:cs="宋体"/>
                <w:color w:val="auto"/>
                <w:highlight w:val="none"/>
              </w:rPr>
              <w:t>评标委员会构成：采购人代表</w:t>
            </w:r>
            <w:r>
              <w:rPr>
                <w:rFonts w:ascii="宋体" w:hAnsi="宋体" w:cs="宋体"/>
                <w:color w:val="auto"/>
                <w:highlight w:val="none"/>
                <w:u w:val="single"/>
              </w:rPr>
              <w:t>1</w:t>
            </w:r>
            <w:r>
              <w:rPr>
                <w:rFonts w:hint="eastAsia" w:ascii="宋体" w:hAnsi="宋体" w:cs="宋体"/>
                <w:color w:val="auto"/>
                <w:highlight w:val="none"/>
              </w:rPr>
              <w:t>人、专家</w:t>
            </w:r>
            <w:r>
              <w:rPr>
                <w:rFonts w:ascii="宋体" w:hAnsi="宋体" w:cs="宋体"/>
                <w:color w:val="auto"/>
                <w:highlight w:val="none"/>
                <w:u w:val="single"/>
              </w:rPr>
              <w:t>4</w:t>
            </w:r>
            <w:r>
              <w:rPr>
                <w:rFonts w:hint="eastAsia" w:ascii="宋体" w:hAnsi="宋体" w:cs="宋体"/>
                <w:color w:val="auto"/>
                <w:highlight w:val="none"/>
              </w:rPr>
              <w:t>人共</w:t>
            </w:r>
            <w:r>
              <w:rPr>
                <w:rFonts w:ascii="宋体" w:hAnsi="宋体" w:cs="宋体"/>
                <w:color w:val="auto"/>
                <w:highlight w:val="none"/>
              </w:rPr>
              <w:t>5</w:t>
            </w:r>
            <w:r>
              <w:rPr>
                <w:rFonts w:hint="eastAsia" w:ascii="宋体" w:hAnsi="宋体" w:cs="宋体"/>
                <w:color w:val="auto"/>
                <w:highlight w:val="none"/>
              </w:rPr>
              <w:t>人组成。</w:t>
            </w:r>
          </w:p>
        </w:tc>
      </w:tr>
      <w:tr>
        <w:tblPrEx>
          <w:tblCellMar>
            <w:top w:w="0" w:type="dxa"/>
            <w:left w:w="108" w:type="dxa"/>
            <w:bottom w:w="0" w:type="dxa"/>
            <w:right w:w="108" w:type="dxa"/>
          </w:tblCellMar>
        </w:tblPrEx>
        <w:trPr>
          <w:trHeight w:val="531"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6.2.1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评标办法</w:t>
            </w:r>
          </w:p>
        </w:tc>
        <w:tc>
          <w:tcPr>
            <w:tcW w:w="56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highlight w:val="none"/>
              </w:rPr>
            </w:pPr>
            <w:r>
              <w:rPr>
                <w:rFonts w:hint="eastAsia" w:ascii="宋体" w:cs="宋体"/>
                <w:color w:val="auto"/>
                <w:highlight w:val="none"/>
              </w:rPr>
              <w:t>综合评分法</w:t>
            </w:r>
          </w:p>
        </w:tc>
      </w:tr>
      <w:tr>
        <w:tblPrEx>
          <w:tblCellMar>
            <w:top w:w="0" w:type="dxa"/>
            <w:left w:w="108" w:type="dxa"/>
            <w:bottom w:w="0" w:type="dxa"/>
            <w:right w:w="108" w:type="dxa"/>
          </w:tblCellMar>
        </w:tblPrEx>
        <w:trPr>
          <w:trHeight w:val="690"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highlight w:val="none"/>
              </w:rPr>
            </w:pPr>
            <w:r>
              <w:rPr>
                <w:rFonts w:ascii="宋体" w:hAnsi="宋体" w:cs="宋体"/>
                <w:color w:val="auto"/>
                <w:highlight w:val="none"/>
              </w:rPr>
              <w:t>8</w:t>
            </w:r>
          </w:p>
        </w:tc>
        <w:tc>
          <w:tcPr>
            <w:tcW w:w="288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highlight w:val="none"/>
              </w:rPr>
            </w:pPr>
            <w:r>
              <w:rPr>
                <w:rFonts w:hint="eastAsia" w:ascii="宋体" w:hAnsi="宋体" w:cs="宋体"/>
                <w:color w:val="auto"/>
                <w:highlight w:val="none"/>
              </w:rPr>
              <w:t>需要落实的政府采购政策</w:t>
            </w:r>
          </w:p>
        </w:tc>
        <w:tc>
          <w:tcPr>
            <w:tcW w:w="5610" w:type="dxa"/>
            <w:tcBorders>
              <w:top w:val="single" w:color="auto" w:sz="4" w:space="0"/>
              <w:left w:val="single" w:color="auto" w:sz="4" w:space="0"/>
              <w:bottom w:val="single" w:color="auto" w:sz="4" w:space="0"/>
              <w:right w:val="single" w:color="auto" w:sz="4" w:space="0"/>
            </w:tcBorders>
            <w:vAlign w:val="center"/>
          </w:tcPr>
          <w:p>
            <w:pPr>
              <w:jc w:val="left"/>
              <w:rPr>
                <w:rFonts w:cs="Times New Roman"/>
                <w:color w:val="auto"/>
                <w:highlight w:val="none"/>
              </w:rPr>
            </w:pPr>
            <w:r>
              <w:rPr>
                <w:rFonts w:hint="eastAsia" w:cs="宋体"/>
                <w:color w:val="auto"/>
                <w:highlight w:val="none"/>
              </w:rPr>
              <w:t>本</w:t>
            </w:r>
            <w:r>
              <w:rPr>
                <w:rFonts w:hint="eastAsia" w:ascii="宋体" w:cs="宋体"/>
                <w:color w:val="auto"/>
                <w:highlight w:val="none"/>
              </w:rPr>
              <w:t>项目执行促进中小型企业发展政策（监狱企业、残疾人福利性企业视同小微企业）、强制采购节能产品、优先采购节能环保产品等政府采购政策。</w:t>
            </w:r>
          </w:p>
        </w:tc>
      </w:tr>
      <w:tr>
        <w:tblPrEx>
          <w:tblCellMar>
            <w:top w:w="0" w:type="dxa"/>
            <w:left w:w="108" w:type="dxa"/>
            <w:bottom w:w="0" w:type="dxa"/>
            <w:right w:w="108" w:type="dxa"/>
          </w:tblCellMar>
        </w:tblPrEx>
        <w:trPr>
          <w:trHeight w:val="435"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kern w:val="0"/>
                <w:highlight w:val="none"/>
              </w:rPr>
            </w:pPr>
            <w:r>
              <w:rPr>
                <w:rFonts w:ascii="宋体" w:hAnsi="宋体" w:cs="宋体"/>
                <w:color w:val="auto"/>
                <w:kern w:val="0"/>
                <w:highlight w:val="none"/>
              </w:rPr>
              <w:t>9</w:t>
            </w:r>
          </w:p>
        </w:tc>
        <w:tc>
          <w:tcPr>
            <w:tcW w:w="849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color w:val="auto"/>
                <w:highlight w:val="none"/>
              </w:rPr>
            </w:pPr>
            <w:r>
              <w:rPr>
                <w:rFonts w:hint="eastAsia" w:ascii="宋体" w:hAnsi="宋体" w:cs="宋体"/>
                <w:color w:val="auto"/>
                <w:kern w:val="0"/>
                <w:highlight w:val="none"/>
              </w:rPr>
              <w:t>需要补充的其他内容</w:t>
            </w:r>
          </w:p>
        </w:tc>
      </w:tr>
      <w:tr>
        <w:tblPrEx>
          <w:tblCellMar>
            <w:top w:w="0" w:type="dxa"/>
            <w:left w:w="108" w:type="dxa"/>
            <w:bottom w:w="0" w:type="dxa"/>
            <w:right w:w="108" w:type="dxa"/>
          </w:tblCellMar>
        </w:tblPrEx>
        <w:trPr>
          <w:trHeight w:val="1250"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kern w:val="0"/>
                <w:highlight w:val="none"/>
              </w:rPr>
            </w:pPr>
            <w:r>
              <w:rPr>
                <w:rFonts w:ascii="宋体" w:hAnsi="宋体" w:cs="宋体"/>
                <w:color w:val="auto"/>
                <w:kern w:val="0"/>
                <w:highlight w:val="none"/>
              </w:rPr>
              <w:t>9.4</w:t>
            </w:r>
          </w:p>
        </w:tc>
        <w:tc>
          <w:tcPr>
            <w:tcW w:w="849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color w:val="auto"/>
                <w:kern w:val="0"/>
                <w:highlight w:val="none"/>
              </w:rPr>
            </w:pPr>
            <w:r>
              <w:rPr>
                <w:rFonts w:hint="eastAsia" w:ascii="宋体" w:hAnsi="宋体" w:cs="宋体"/>
                <w:color w:val="auto"/>
                <w:highlight w:val="none"/>
              </w:rPr>
              <w:t>投标人须知前附表</w:t>
            </w:r>
            <w:r>
              <w:rPr>
                <w:rFonts w:ascii="宋体" w:hAnsi="宋体" w:cs="宋体"/>
                <w:color w:val="auto"/>
                <w:highlight w:val="none"/>
              </w:rPr>
              <w:t>1.4.1</w:t>
            </w:r>
            <w:r>
              <w:rPr>
                <w:rFonts w:hint="eastAsia" w:ascii="宋体" w:hAnsi="宋体" w:cs="宋体"/>
                <w:color w:val="auto"/>
                <w:highlight w:val="none"/>
              </w:rPr>
              <w:t>款和第三章评标办法中所需证件的原件，须装入档案袋内，袋外贴上明细，只写明内容、份数、公司名称、联系电话，开标前交验于现场工作人员，联系电话应保持畅通</w:t>
            </w:r>
            <w:r>
              <w:rPr>
                <w:rFonts w:ascii="宋体" w:cs="宋体"/>
                <w:color w:val="auto"/>
                <w:highlight w:val="none"/>
              </w:rPr>
              <w:t>,</w:t>
            </w:r>
            <w:r>
              <w:rPr>
                <w:rFonts w:hint="eastAsia" w:ascii="宋体" w:hAnsi="宋体" w:cs="宋体"/>
                <w:color w:val="auto"/>
                <w:highlight w:val="none"/>
              </w:rPr>
              <w:t>评标结束后退还给各投标人。</w:t>
            </w:r>
          </w:p>
        </w:tc>
      </w:tr>
      <w:tr>
        <w:tblPrEx>
          <w:tblCellMar>
            <w:top w:w="0" w:type="dxa"/>
            <w:left w:w="108" w:type="dxa"/>
            <w:bottom w:w="0" w:type="dxa"/>
            <w:right w:w="108" w:type="dxa"/>
          </w:tblCellMar>
        </w:tblPrEx>
        <w:trPr>
          <w:trHeight w:val="1397"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color w:val="auto"/>
                <w:kern w:val="0"/>
                <w:highlight w:val="none"/>
              </w:rPr>
            </w:pPr>
            <w:r>
              <w:rPr>
                <w:rFonts w:ascii="宋体" w:hAnsi="宋体" w:cs="宋体"/>
                <w:color w:val="auto"/>
                <w:kern w:val="0"/>
                <w:highlight w:val="none"/>
              </w:rPr>
              <w:t>9.5</w:t>
            </w:r>
          </w:p>
        </w:tc>
        <w:tc>
          <w:tcPr>
            <w:tcW w:w="8493"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rPr>
                <w:rFonts w:ascii="宋体" w:cs="Times New Roman"/>
                <w:color w:val="auto"/>
                <w:highlight w:val="none"/>
              </w:rPr>
            </w:pPr>
            <w:r>
              <w:rPr>
                <w:rFonts w:hint="eastAsia" w:ascii="宋体" w:hAnsi="宋体" w:cs="宋体"/>
                <w:color w:val="auto"/>
                <w:highlight w:val="none"/>
              </w:rPr>
              <w:t>在领取中标通知书的同时，向采购代理机构支付中标服务费。</w:t>
            </w:r>
          </w:p>
          <w:p>
            <w:pPr>
              <w:spacing w:line="440" w:lineRule="exact"/>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、供应商与采购人签订采购合同的当天，由供货方向采购代理公司提供合同的扫描件进行网上公示，并将合同副本原件报采购代理机构备案。</w:t>
            </w:r>
          </w:p>
        </w:tc>
      </w:tr>
      <w:tr>
        <w:tblPrEx>
          <w:tblCellMar>
            <w:top w:w="0" w:type="dxa"/>
            <w:left w:w="108" w:type="dxa"/>
            <w:bottom w:w="0" w:type="dxa"/>
            <w:right w:w="108" w:type="dxa"/>
          </w:tblCellMar>
        </w:tblPrEx>
        <w:trPr>
          <w:trHeight w:val="404" w:hRule="atLeast"/>
          <w:jc w:val="center"/>
        </w:trPr>
        <w:tc>
          <w:tcPr>
            <w:tcW w:w="950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315" w:firstLineChars="150"/>
              <w:rPr>
                <w:rFonts w:ascii="宋体" w:cs="Times New Roman"/>
                <w:color w:val="auto"/>
                <w:kern w:val="0"/>
                <w:highlight w:val="none"/>
              </w:rPr>
            </w:pPr>
            <w:r>
              <w:rPr>
                <w:rFonts w:hint="eastAsia" w:ascii="宋体" w:hAnsi="宋体" w:cs="宋体"/>
                <w:color w:val="auto"/>
                <w:kern w:val="0"/>
                <w:highlight w:val="none"/>
              </w:rPr>
              <w:t>本招标文件未尽事宜，按《中华人民共和国政府采购法》等法律法规的有关规定执行。</w:t>
            </w:r>
          </w:p>
        </w:tc>
      </w:tr>
    </w:tbl>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bookmarkStart w:id="6" w:name="_Toc30705"/>
      <w:r>
        <w:rPr>
          <w:rFonts w:ascii="宋体" w:hAnsi="宋体" w:cs="宋体"/>
          <w:b/>
          <w:bCs/>
          <w:color w:val="auto"/>
          <w:kern w:val="0"/>
          <w:highlight w:val="none"/>
        </w:rPr>
        <w:t>1</w:t>
      </w:r>
      <w:r>
        <w:rPr>
          <w:rFonts w:hint="eastAsia" w:ascii="宋体" w:hAnsi="宋体" w:cs="宋体"/>
          <w:b/>
          <w:bCs/>
          <w:color w:val="auto"/>
          <w:kern w:val="0"/>
          <w:highlight w:val="none"/>
        </w:rPr>
        <w:t>总则</w:t>
      </w:r>
      <w:bookmarkEnd w:id="6"/>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1.1</w:t>
      </w:r>
      <w:r>
        <w:rPr>
          <w:rFonts w:hint="eastAsia" w:ascii="宋体" w:hAnsi="宋体" w:cs="宋体"/>
          <w:b/>
          <w:bCs/>
          <w:color w:val="auto"/>
          <w:kern w:val="0"/>
          <w:highlight w:val="none"/>
        </w:rPr>
        <w:t>招标概况</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1.1.1</w:t>
      </w:r>
      <w:r>
        <w:rPr>
          <w:rFonts w:hint="eastAsia" w:ascii="宋体" w:hAnsi="宋体" w:cs="宋体"/>
          <w:color w:val="auto"/>
          <w:kern w:val="0"/>
          <w:highlight w:val="none"/>
        </w:rPr>
        <w:t>根据《中华人民共和国政府采购法》《中华人民共和国招标投标法》等有关法律、法规和规章的规定，本招标项目已具备招标条件，现对本项目进行公开招标。</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1.1.2</w:t>
      </w:r>
      <w:r>
        <w:rPr>
          <w:rFonts w:hint="eastAsia" w:ascii="宋体" w:hAnsi="宋体" w:cs="宋体"/>
          <w:color w:val="auto"/>
          <w:kern w:val="0"/>
          <w:highlight w:val="none"/>
        </w:rPr>
        <w:t>本招标项目采购人：见投标人须知前附表。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1.1.3</w:t>
      </w:r>
      <w:r>
        <w:rPr>
          <w:rFonts w:hint="eastAsia" w:ascii="宋体" w:hAnsi="宋体" w:cs="宋体"/>
          <w:color w:val="auto"/>
          <w:kern w:val="0"/>
          <w:highlight w:val="none"/>
        </w:rPr>
        <w:t>本招标项目招标代理机构：见投标人须知前附表。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1.1.4</w:t>
      </w:r>
      <w:r>
        <w:rPr>
          <w:rFonts w:hint="eastAsia" w:ascii="宋体" w:hAnsi="宋体" w:cs="宋体"/>
          <w:color w:val="auto"/>
          <w:kern w:val="0"/>
          <w:highlight w:val="none"/>
        </w:rPr>
        <w:t>本招标项目名称和项目编号：见投标人须知前附表。</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1.2</w:t>
      </w:r>
      <w:r>
        <w:rPr>
          <w:rFonts w:hint="eastAsia" w:ascii="宋体" w:hAnsi="宋体" w:cs="宋体"/>
          <w:b/>
          <w:bCs/>
          <w:color w:val="auto"/>
          <w:kern w:val="0"/>
          <w:highlight w:val="none"/>
        </w:rPr>
        <w:t>资金来源</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1.2.1</w:t>
      </w:r>
      <w:r>
        <w:rPr>
          <w:rFonts w:hint="eastAsia" w:ascii="宋体" w:hAnsi="宋体" w:cs="宋体"/>
          <w:color w:val="auto"/>
          <w:kern w:val="0"/>
          <w:highlight w:val="none"/>
        </w:rPr>
        <w:t>本招标项目控制价：见投标人须知前附表。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1.2.2</w:t>
      </w:r>
      <w:r>
        <w:rPr>
          <w:rFonts w:hint="eastAsia" w:ascii="宋体" w:hAnsi="宋体" w:cs="宋体"/>
          <w:color w:val="auto"/>
          <w:kern w:val="0"/>
          <w:highlight w:val="none"/>
        </w:rPr>
        <w:t>本招标项目的资金来源：见投标人须知前附表。</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1.3</w:t>
      </w:r>
      <w:r>
        <w:rPr>
          <w:rFonts w:hint="eastAsia" w:ascii="宋体" w:hAnsi="宋体" w:cs="宋体"/>
          <w:b/>
          <w:bCs/>
          <w:color w:val="auto"/>
          <w:kern w:val="0"/>
          <w:highlight w:val="none"/>
        </w:rPr>
        <w:t>项目内容、交货期限和质保期</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color w:val="auto"/>
          <w:kern w:val="0"/>
          <w:highlight w:val="none"/>
        </w:rPr>
        <w:t>1.3.1</w:t>
      </w:r>
      <w:r>
        <w:rPr>
          <w:rFonts w:hint="eastAsia" w:ascii="宋体" w:hAnsi="宋体" w:cs="宋体"/>
          <w:color w:val="auto"/>
          <w:kern w:val="0"/>
          <w:highlight w:val="none"/>
        </w:rPr>
        <w:t>本招标项目内容（货物名称、规格型号和数量）：见第四章招标项目概况及服务要求。</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1.3.2</w:t>
      </w:r>
      <w:r>
        <w:rPr>
          <w:rFonts w:hint="eastAsia" w:ascii="宋体" w:hAnsi="宋体" w:cs="宋体"/>
          <w:color w:val="auto"/>
          <w:kern w:val="0"/>
          <w:highlight w:val="none"/>
        </w:rPr>
        <w:t>本招标项目供货期限：见投标人须知前附表。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1.3.3</w:t>
      </w:r>
      <w:r>
        <w:rPr>
          <w:rFonts w:hint="eastAsia" w:ascii="宋体" w:hAnsi="宋体" w:cs="宋体"/>
          <w:color w:val="auto"/>
          <w:kern w:val="0"/>
          <w:highlight w:val="none"/>
        </w:rPr>
        <w:t>本招标项目质量标准：见投标人须知前附表。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1.3.4</w:t>
      </w:r>
      <w:r>
        <w:rPr>
          <w:rFonts w:hint="eastAsia" w:ascii="宋体" w:hAnsi="宋体" w:cs="宋体"/>
          <w:color w:val="auto"/>
          <w:kern w:val="0"/>
          <w:highlight w:val="none"/>
        </w:rPr>
        <w:t>本招标项目质保期：见投标人须知前附表。</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1.4  </w:t>
      </w:r>
      <w:r>
        <w:rPr>
          <w:rFonts w:hint="eastAsia" w:ascii="宋体" w:hAnsi="宋体" w:cs="宋体"/>
          <w:b/>
          <w:bCs/>
          <w:color w:val="auto"/>
          <w:kern w:val="0"/>
          <w:highlight w:val="none"/>
        </w:rPr>
        <w:t>合格的投标人</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1.4.1</w:t>
      </w:r>
      <w:r>
        <w:rPr>
          <w:rFonts w:hint="eastAsia" w:ascii="宋体" w:hAnsi="宋体" w:cs="宋体"/>
          <w:color w:val="auto"/>
          <w:kern w:val="0"/>
          <w:highlight w:val="none"/>
        </w:rPr>
        <w:t>合格投标人应具备的资质条件、能力和信誉。</w:t>
      </w:r>
    </w:p>
    <w:p>
      <w:pPr>
        <w:numPr>
          <w:ilvl w:val="0"/>
          <w:numId w:val="2"/>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资质条件：见投标人须知前附表；</w:t>
      </w:r>
    </w:p>
    <w:p>
      <w:pPr>
        <w:numPr>
          <w:ilvl w:val="0"/>
          <w:numId w:val="2"/>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其他要求：见投标人须知前附表。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1.4.2</w:t>
      </w:r>
      <w:r>
        <w:rPr>
          <w:rFonts w:hint="eastAsia" w:ascii="宋体" w:hAnsi="宋体" w:cs="宋体"/>
          <w:color w:val="auto"/>
          <w:kern w:val="0"/>
          <w:highlight w:val="none"/>
        </w:rPr>
        <w:t>投标人不得存在下列情形之一：</w:t>
      </w:r>
    </w:p>
    <w:p>
      <w:pPr>
        <w:numPr>
          <w:ilvl w:val="0"/>
          <w:numId w:val="3"/>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为本项目前期准备提供设计或咨询服务的；</w:t>
      </w:r>
    </w:p>
    <w:p>
      <w:pPr>
        <w:numPr>
          <w:ilvl w:val="0"/>
          <w:numId w:val="3"/>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参加政府采购活动前三年内有重大违法记录的；</w:t>
      </w:r>
    </w:p>
    <w:p>
      <w:pPr>
        <w:numPr>
          <w:ilvl w:val="0"/>
          <w:numId w:val="3"/>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被责令停业的；</w:t>
      </w:r>
    </w:p>
    <w:p>
      <w:pPr>
        <w:numPr>
          <w:ilvl w:val="0"/>
          <w:numId w:val="3"/>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被暂停或取消投标资格的；</w:t>
      </w:r>
    </w:p>
    <w:p>
      <w:pPr>
        <w:numPr>
          <w:ilvl w:val="0"/>
          <w:numId w:val="3"/>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财产被接管或冻结的。</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1.4.3</w:t>
      </w:r>
      <w:r>
        <w:rPr>
          <w:rFonts w:hint="eastAsia" w:ascii="宋体" w:hAnsi="宋体" w:cs="宋体"/>
          <w:color w:val="auto"/>
          <w:kern w:val="0"/>
          <w:highlight w:val="none"/>
        </w:rPr>
        <w:t>单位负责人为同一人或者存在控股、管理关系的不同单位，不得同时参加本招标项目投标。</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注：法定代表人为同一个人的两个以及两个以上法人，母公司、全资子公司以及其控股公司或者存在管理关系的不同单位，都不得在同一包或者未划分包的同一招标项目同时投标。</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1.5 </w:t>
      </w:r>
      <w:r>
        <w:rPr>
          <w:rFonts w:hint="eastAsia" w:ascii="宋体" w:hAnsi="宋体" w:cs="宋体"/>
          <w:b/>
          <w:bCs/>
          <w:color w:val="auto"/>
          <w:kern w:val="0"/>
          <w:highlight w:val="none"/>
        </w:rPr>
        <w:t>合格的货物和相关服务</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具体详见第四章招标项目概况及服务要求。</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1.6 </w:t>
      </w:r>
      <w:r>
        <w:rPr>
          <w:rFonts w:hint="eastAsia" w:ascii="宋体" w:hAnsi="宋体" w:cs="宋体"/>
          <w:b/>
          <w:bCs/>
          <w:color w:val="auto"/>
          <w:kern w:val="0"/>
          <w:highlight w:val="none"/>
        </w:rPr>
        <w:t>保密</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参与招投标活动的各方应对招标文件和投标文件中的商业和技术等秘密保密，违者应对由此造成的后果承担法律责任。</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1.7 </w:t>
      </w:r>
      <w:r>
        <w:rPr>
          <w:rFonts w:hint="eastAsia" w:ascii="宋体" w:hAnsi="宋体" w:cs="宋体"/>
          <w:b/>
          <w:bCs/>
          <w:color w:val="auto"/>
          <w:kern w:val="0"/>
          <w:highlight w:val="none"/>
        </w:rPr>
        <w:t>招标澄清、答疑会</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1.7.1 </w:t>
      </w:r>
      <w:r>
        <w:rPr>
          <w:rFonts w:hint="eastAsia" w:ascii="宋体" w:hAnsi="宋体" w:cs="宋体"/>
          <w:color w:val="auto"/>
          <w:kern w:val="0"/>
          <w:highlight w:val="none"/>
        </w:rPr>
        <w:t>招标澄清、答疑会：见投标人须知前附表。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1.7.2 </w:t>
      </w:r>
      <w:r>
        <w:rPr>
          <w:rFonts w:hint="eastAsia" w:ascii="宋体" w:hAnsi="宋体" w:cs="宋体"/>
          <w:color w:val="auto"/>
          <w:kern w:val="0"/>
          <w:highlight w:val="none"/>
        </w:rPr>
        <w:t>采购人书面澄清的时间：见投标人须知前附表。</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1.8 </w:t>
      </w:r>
      <w:r>
        <w:rPr>
          <w:rFonts w:hint="eastAsia" w:ascii="宋体" w:hAnsi="宋体" w:cs="宋体"/>
          <w:b/>
          <w:bCs/>
          <w:color w:val="auto"/>
          <w:kern w:val="0"/>
          <w:highlight w:val="none"/>
        </w:rPr>
        <w:t>招标文件约束力</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1.8.1</w:t>
      </w:r>
      <w:r>
        <w:rPr>
          <w:rFonts w:hint="eastAsia" w:ascii="宋体" w:hAnsi="宋体" w:cs="宋体"/>
          <w:color w:val="auto"/>
          <w:kern w:val="0"/>
          <w:highlight w:val="none"/>
        </w:rPr>
        <w:t>投标人一旦获取了本招标文件并参加投标，即被认为对本招标文件中的所有条件和规定均无异议。</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1.8.2</w:t>
      </w:r>
      <w:r>
        <w:rPr>
          <w:rFonts w:hint="eastAsia" w:ascii="宋体" w:hAnsi="宋体" w:cs="宋体"/>
          <w:color w:val="auto"/>
          <w:kern w:val="0"/>
          <w:highlight w:val="none"/>
        </w:rPr>
        <w:t>投标人如认为本招标文件含有标明特定的生产供应者、含有倾向性或排斥潜在投标人的条款而使自己的权益受到损害的，请以书面形式向代理机构提出，否则，将视为对本招标文件要求无任何异议，并不得因此在开标后提出任何异议。</w:t>
      </w:r>
    </w:p>
    <w:p>
      <w:pPr>
        <w:numPr>
          <w:ilvl w:val="0"/>
          <w:numId w:val="4"/>
        </w:numPr>
        <w:autoSpaceDE w:val="0"/>
        <w:autoSpaceDN w:val="0"/>
        <w:adjustRightInd w:val="0"/>
        <w:spacing w:line="460" w:lineRule="exact"/>
        <w:ind w:firstLine="420" w:firstLineChars="200"/>
        <w:jc w:val="left"/>
        <w:outlineLvl w:val="1"/>
        <w:rPr>
          <w:rFonts w:ascii="宋体" w:cs="Times New Roman"/>
          <w:b/>
          <w:bCs/>
          <w:color w:val="auto"/>
          <w:kern w:val="0"/>
          <w:highlight w:val="none"/>
        </w:rPr>
      </w:pPr>
      <w:bookmarkStart w:id="7" w:name="_Toc20020"/>
      <w:r>
        <w:rPr>
          <w:rFonts w:hint="eastAsia" w:ascii="宋体" w:hAnsi="宋体" w:cs="宋体"/>
          <w:b/>
          <w:bCs/>
          <w:color w:val="auto"/>
          <w:kern w:val="0"/>
          <w:highlight w:val="none"/>
        </w:rPr>
        <w:t>招标文件</w:t>
      </w:r>
      <w:bookmarkEnd w:id="7"/>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2.1</w:t>
      </w:r>
      <w:r>
        <w:rPr>
          <w:rFonts w:hint="eastAsia" w:ascii="宋体" w:hAnsi="宋体" w:cs="宋体"/>
          <w:b/>
          <w:bCs/>
          <w:color w:val="auto"/>
          <w:kern w:val="0"/>
          <w:highlight w:val="none"/>
        </w:rPr>
        <w:t>招标文件的组成</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本招标文件包括：</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）招标公告；</w:t>
      </w:r>
    </w:p>
    <w:p>
      <w:pPr>
        <w:numPr>
          <w:ilvl w:val="0"/>
          <w:numId w:val="5"/>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投标人须知及投标人须知前附表；</w:t>
      </w:r>
    </w:p>
    <w:p>
      <w:pPr>
        <w:numPr>
          <w:ilvl w:val="0"/>
          <w:numId w:val="5"/>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评标标准和评标办法；</w:t>
      </w:r>
    </w:p>
    <w:p>
      <w:pPr>
        <w:numPr>
          <w:ilvl w:val="0"/>
          <w:numId w:val="5"/>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招标项目概况和参数及服务要求；</w:t>
      </w:r>
    </w:p>
    <w:p>
      <w:pPr>
        <w:numPr>
          <w:ilvl w:val="0"/>
          <w:numId w:val="5"/>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合同签订及条款；</w:t>
      </w:r>
    </w:p>
    <w:p>
      <w:pPr>
        <w:numPr>
          <w:ilvl w:val="0"/>
          <w:numId w:val="5"/>
        </w:num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投标文件格式；</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根据本章</w:t>
      </w:r>
      <w:r>
        <w:rPr>
          <w:rFonts w:ascii="宋体" w:hAnsi="宋体" w:cs="宋体"/>
          <w:color w:val="auto"/>
          <w:kern w:val="0"/>
          <w:highlight w:val="none"/>
        </w:rPr>
        <w:t>1.7</w:t>
      </w:r>
      <w:r>
        <w:rPr>
          <w:rFonts w:hint="eastAsia" w:ascii="宋体" w:hAnsi="宋体" w:cs="宋体"/>
          <w:color w:val="auto"/>
          <w:kern w:val="0"/>
          <w:highlight w:val="none"/>
        </w:rPr>
        <w:t>款、第</w:t>
      </w:r>
      <w:r>
        <w:rPr>
          <w:rFonts w:ascii="宋体" w:hAnsi="宋体" w:cs="宋体"/>
          <w:color w:val="auto"/>
          <w:kern w:val="0"/>
          <w:highlight w:val="none"/>
        </w:rPr>
        <w:t>2.2</w:t>
      </w:r>
      <w:r>
        <w:rPr>
          <w:rFonts w:hint="eastAsia" w:ascii="宋体" w:hAnsi="宋体" w:cs="宋体"/>
          <w:color w:val="auto"/>
          <w:kern w:val="0"/>
          <w:highlight w:val="none"/>
        </w:rPr>
        <w:t>款和第</w:t>
      </w:r>
      <w:r>
        <w:rPr>
          <w:rFonts w:ascii="宋体" w:hAnsi="宋体" w:cs="宋体"/>
          <w:color w:val="auto"/>
          <w:kern w:val="0"/>
          <w:highlight w:val="none"/>
        </w:rPr>
        <w:t>2.3</w:t>
      </w:r>
      <w:r>
        <w:rPr>
          <w:rFonts w:hint="eastAsia" w:ascii="宋体" w:hAnsi="宋体" w:cs="宋体"/>
          <w:color w:val="auto"/>
          <w:kern w:val="0"/>
          <w:highlight w:val="none"/>
        </w:rPr>
        <w:t>款对招标文件所作的澄清、修改，构成招标文件的组成部分。</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2.2 </w:t>
      </w:r>
      <w:r>
        <w:rPr>
          <w:rFonts w:hint="eastAsia" w:ascii="宋体" w:hAnsi="宋体" w:cs="宋体"/>
          <w:b/>
          <w:bCs/>
          <w:color w:val="auto"/>
          <w:kern w:val="0"/>
          <w:highlight w:val="none"/>
        </w:rPr>
        <w:t>招标文件的澄清</w:t>
      </w:r>
    </w:p>
    <w:p>
      <w:pPr>
        <w:spacing w:line="460" w:lineRule="exact"/>
        <w:ind w:firstLine="420" w:firstLineChars="200"/>
        <w:rPr>
          <w:rFonts w:ascii="宋体" w:cs="Times New Roman"/>
          <w:color w:val="auto"/>
          <w:highlight w:val="none"/>
        </w:rPr>
      </w:pPr>
      <w:r>
        <w:rPr>
          <w:rFonts w:ascii="宋体" w:hAnsi="宋体" w:cs="宋体"/>
          <w:color w:val="auto"/>
          <w:highlight w:val="none"/>
        </w:rPr>
        <w:t>2.2.1</w:t>
      </w:r>
      <w:r>
        <w:rPr>
          <w:rFonts w:hint="eastAsia" w:ascii="宋体" w:hAnsi="宋体" w:cs="宋体"/>
          <w:color w:val="auto"/>
          <w:highlight w:val="none"/>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pPr>
        <w:spacing w:line="460" w:lineRule="exact"/>
        <w:ind w:firstLine="420" w:firstLineChars="200"/>
        <w:rPr>
          <w:rFonts w:ascii="宋体" w:cs="Times New Roman"/>
          <w:color w:val="auto"/>
          <w:highlight w:val="none"/>
        </w:rPr>
      </w:pPr>
      <w:r>
        <w:rPr>
          <w:rFonts w:ascii="宋体" w:hAnsi="宋体" w:cs="宋体"/>
          <w:color w:val="auto"/>
          <w:highlight w:val="none"/>
        </w:rPr>
        <w:t>2.2.2</w:t>
      </w:r>
      <w:r>
        <w:rPr>
          <w:rFonts w:hint="eastAsia" w:ascii="宋体" w:hAnsi="宋体" w:cs="宋体"/>
          <w:color w:val="auto"/>
          <w:highlight w:val="none"/>
        </w:rPr>
        <w:t>招标文件的澄清将以书面形式发给所有购买招标文件的投标人，但不指明澄清问题的来源。如果澄清发出的时间距投标人须知前附表规定的投标截止时间不足</w:t>
      </w:r>
      <w:r>
        <w:rPr>
          <w:rFonts w:ascii="宋体" w:hAnsi="宋体" w:cs="宋体"/>
          <w:color w:val="auto"/>
          <w:highlight w:val="none"/>
        </w:rPr>
        <w:t>15</w:t>
      </w:r>
      <w:r>
        <w:rPr>
          <w:rFonts w:hint="eastAsia" w:ascii="宋体" w:hAnsi="宋体" w:cs="宋体"/>
          <w:color w:val="auto"/>
          <w:highlight w:val="none"/>
        </w:rPr>
        <w:t>天，并且澄清内容影响投标文件编制的，将相应延长投标截止时间。</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highlight w:val="none"/>
        </w:rPr>
        <w:t>2.2.3</w:t>
      </w:r>
      <w:r>
        <w:rPr>
          <w:rFonts w:hint="eastAsia" w:ascii="宋体" w:hAnsi="宋体" w:cs="宋体"/>
          <w:color w:val="auto"/>
          <w:highlight w:val="none"/>
        </w:rPr>
        <w:t>投标人在收到澄清后，应在投标人须知前附表规定的时间内以书面形式通知采购人，确认已收到该澄清。</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2.3 </w:t>
      </w:r>
      <w:r>
        <w:rPr>
          <w:rFonts w:hint="eastAsia" w:ascii="宋体" w:hAnsi="宋体" w:cs="宋体"/>
          <w:b/>
          <w:bCs/>
          <w:color w:val="auto"/>
          <w:kern w:val="0"/>
          <w:highlight w:val="none"/>
        </w:rPr>
        <w:t>招标文件的修改</w:t>
      </w:r>
    </w:p>
    <w:p>
      <w:pPr>
        <w:spacing w:line="460" w:lineRule="exact"/>
        <w:ind w:firstLine="420" w:firstLineChars="200"/>
        <w:rPr>
          <w:rFonts w:ascii="宋体" w:cs="Times New Roman"/>
          <w:color w:val="auto"/>
          <w:highlight w:val="none"/>
        </w:rPr>
      </w:pPr>
      <w:r>
        <w:rPr>
          <w:rFonts w:ascii="宋体" w:hAnsi="宋体" w:cs="宋体"/>
          <w:color w:val="auto"/>
          <w:highlight w:val="none"/>
        </w:rPr>
        <w:t>2.3.1</w:t>
      </w:r>
      <w:r>
        <w:rPr>
          <w:rFonts w:hint="eastAsia" w:ascii="宋体" w:hAnsi="宋体" w:cs="宋体"/>
          <w:color w:val="auto"/>
          <w:highlight w:val="none"/>
        </w:rPr>
        <w:t>采购人可以书面形式修改招标文件，并通知所有已购买招标文件的投标人。但如果修改招标文件的时间距投标截止时间不足</w:t>
      </w:r>
      <w:r>
        <w:rPr>
          <w:rFonts w:ascii="宋体" w:hAnsi="宋体" w:cs="宋体"/>
          <w:color w:val="auto"/>
          <w:highlight w:val="none"/>
        </w:rPr>
        <w:t>15</w:t>
      </w:r>
      <w:r>
        <w:rPr>
          <w:rFonts w:hint="eastAsia" w:ascii="宋体" w:hAnsi="宋体" w:cs="宋体"/>
          <w:color w:val="auto"/>
          <w:highlight w:val="none"/>
        </w:rPr>
        <w:t>天，并且修改内容影响投标文件编制的，将相应延长投标截止时间。</w:t>
      </w:r>
    </w:p>
    <w:p>
      <w:pPr>
        <w:autoSpaceDE w:val="0"/>
        <w:autoSpaceDN w:val="0"/>
        <w:adjustRightInd w:val="0"/>
        <w:spacing w:line="460" w:lineRule="exact"/>
        <w:ind w:firstLine="420" w:firstLineChars="200"/>
        <w:jc w:val="left"/>
        <w:rPr>
          <w:rFonts w:ascii="宋体" w:cs="Times New Roman"/>
          <w:color w:val="auto"/>
          <w:highlight w:val="none"/>
        </w:rPr>
      </w:pPr>
      <w:r>
        <w:rPr>
          <w:rFonts w:ascii="宋体" w:hAnsi="宋体" w:cs="宋体"/>
          <w:color w:val="auto"/>
          <w:highlight w:val="none"/>
        </w:rPr>
        <w:t xml:space="preserve">2.3.2 </w:t>
      </w:r>
      <w:r>
        <w:rPr>
          <w:rFonts w:hint="eastAsia" w:ascii="宋体" w:hAnsi="宋体" w:cs="宋体"/>
          <w:color w:val="auto"/>
          <w:highlight w:val="none"/>
        </w:rPr>
        <w:t>投标人收到修改内容后，应在投标人须知前附表规定的时间内以书面形式通知采购人，确认已收到该修改。</w:t>
      </w:r>
    </w:p>
    <w:p>
      <w:pPr>
        <w:numPr>
          <w:ilvl w:val="0"/>
          <w:numId w:val="6"/>
        </w:numPr>
        <w:autoSpaceDE w:val="0"/>
        <w:autoSpaceDN w:val="0"/>
        <w:adjustRightInd w:val="0"/>
        <w:spacing w:line="460" w:lineRule="exact"/>
        <w:ind w:firstLine="420" w:firstLineChars="200"/>
        <w:jc w:val="left"/>
        <w:outlineLvl w:val="1"/>
        <w:rPr>
          <w:rFonts w:ascii="宋体" w:cs="Times New Roman"/>
          <w:b/>
          <w:bCs/>
          <w:color w:val="auto"/>
          <w:kern w:val="0"/>
          <w:highlight w:val="none"/>
        </w:rPr>
      </w:pPr>
      <w:bookmarkStart w:id="8" w:name="_Toc701"/>
      <w:r>
        <w:rPr>
          <w:rFonts w:hint="eastAsia" w:ascii="宋体" w:hAnsi="宋体" w:cs="宋体"/>
          <w:b/>
          <w:bCs/>
          <w:color w:val="auto"/>
          <w:kern w:val="0"/>
          <w:highlight w:val="none"/>
        </w:rPr>
        <w:t>投标文件</w:t>
      </w:r>
      <w:bookmarkEnd w:id="8"/>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3.1 </w:t>
      </w:r>
      <w:r>
        <w:rPr>
          <w:rFonts w:hint="eastAsia" w:ascii="宋体" w:hAnsi="宋体" w:cs="宋体"/>
          <w:b/>
          <w:bCs/>
          <w:color w:val="auto"/>
          <w:kern w:val="0"/>
          <w:highlight w:val="none"/>
        </w:rPr>
        <w:t>投标文件的组成</w:t>
      </w:r>
    </w:p>
    <w:p>
      <w:pPr>
        <w:autoSpaceDE w:val="0"/>
        <w:autoSpaceDN w:val="0"/>
        <w:adjustRightInd w:val="0"/>
        <w:spacing w:line="460" w:lineRule="exact"/>
        <w:ind w:firstLine="420" w:firstLineChars="200"/>
        <w:jc w:val="left"/>
        <w:rPr>
          <w:rFonts w:ascii="宋体" w:cs="Times New Roman"/>
          <w:color w:val="auto"/>
          <w:highlight w:val="none"/>
        </w:rPr>
      </w:pPr>
      <w:r>
        <w:rPr>
          <w:rFonts w:ascii="宋体" w:hAnsi="宋体" w:cs="宋体"/>
          <w:color w:val="auto"/>
          <w:highlight w:val="none"/>
        </w:rPr>
        <w:t>3.1.1</w:t>
      </w:r>
      <w:r>
        <w:rPr>
          <w:rFonts w:hint="eastAsia" w:ascii="宋体" w:hAnsi="宋体" w:cs="宋体"/>
          <w:color w:val="auto"/>
          <w:highlight w:val="none"/>
        </w:rPr>
        <w:t>投标文件包括下列部分：</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）投标函</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）投标（报价）一览表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3</w:t>
      </w:r>
      <w:r>
        <w:rPr>
          <w:rFonts w:hint="eastAsia" w:ascii="宋体" w:hAnsi="宋体" w:cs="宋体"/>
          <w:color w:val="auto"/>
          <w:kern w:val="0"/>
          <w:highlight w:val="none"/>
        </w:rPr>
        <w:t>）货物清单设备和材料技术规格和商务条款偏差表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4</w:t>
      </w:r>
      <w:r>
        <w:rPr>
          <w:rFonts w:hint="eastAsia" w:ascii="宋体" w:hAnsi="宋体" w:cs="宋体"/>
          <w:color w:val="auto"/>
          <w:kern w:val="0"/>
          <w:highlight w:val="none"/>
        </w:rPr>
        <w:t>）法定代表人（负责人）身份证明</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5</w:t>
      </w:r>
      <w:r>
        <w:rPr>
          <w:rFonts w:hint="eastAsia" w:ascii="宋体" w:hAnsi="宋体" w:cs="宋体"/>
          <w:color w:val="auto"/>
          <w:kern w:val="0"/>
          <w:highlight w:val="none"/>
        </w:rPr>
        <w:t>）授权委托书</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6</w:t>
      </w:r>
      <w:r>
        <w:rPr>
          <w:rFonts w:hint="eastAsia" w:ascii="宋体" w:hAnsi="宋体" w:cs="宋体"/>
          <w:color w:val="auto"/>
          <w:kern w:val="0"/>
          <w:highlight w:val="none"/>
        </w:rPr>
        <w:t>）投标承诺函</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7</w:t>
      </w:r>
      <w:r>
        <w:rPr>
          <w:rFonts w:hint="eastAsia" w:ascii="宋体" w:hAnsi="宋体" w:cs="宋体"/>
          <w:color w:val="auto"/>
          <w:kern w:val="0"/>
          <w:highlight w:val="none"/>
        </w:rPr>
        <w:t>）类似业绩</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8</w:t>
      </w:r>
      <w:r>
        <w:rPr>
          <w:rFonts w:hint="eastAsia" w:ascii="宋体" w:hAnsi="宋体" w:cs="宋体"/>
          <w:color w:val="auto"/>
          <w:kern w:val="0"/>
          <w:highlight w:val="none"/>
        </w:rPr>
        <w:t>）售后服务承诺</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9</w:t>
      </w:r>
      <w:r>
        <w:rPr>
          <w:rFonts w:hint="eastAsia" w:ascii="宋体" w:hAnsi="宋体" w:cs="宋体"/>
          <w:color w:val="auto"/>
          <w:kern w:val="0"/>
          <w:highlight w:val="none"/>
        </w:rPr>
        <w:t>）反商业贿赂承诺书</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10</w:t>
      </w:r>
      <w:r>
        <w:rPr>
          <w:rFonts w:hint="eastAsia" w:ascii="宋体" w:hAnsi="宋体" w:cs="宋体"/>
          <w:color w:val="auto"/>
          <w:kern w:val="0"/>
          <w:highlight w:val="none"/>
        </w:rPr>
        <w:t>）投标人资格声明函</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11</w:t>
      </w:r>
      <w:r>
        <w:rPr>
          <w:rFonts w:hint="eastAsia" w:ascii="宋体" w:hAnsi="宋体" w:cs="宋体"/>
          <w:color w:val="auto"/>
          <w:kern w:val="0"/>
          <w:highlight w:val="none"/>
        </w:rPr>
        <w:t>）投标人资格证明文件</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12</w:t>
      </w:r>
      <w:r>
        <w:rPr>
          <w:rFonts w:hint="eastAsia" w:ascii="宋体" w:hAnsi="宋体" w:cs="宋体"/>
          <w:color w:val="auto"/>
          <w:kern w:val="0"/>
          <w:highlight w:val="none"/>
        </w:rPr>
        <w:t>）投标人认为应提供的其它资料</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3.1.2</w:t>
      </w:r>
      <w:r>
        <w:rPr>
          <w:rFonts w:hint="eastAsia" w:ascii="宋体" w:hAnsi="宋体" w:cs="宋体"/>
          <w:color w:val="auto"/>
          <w:kern w:val="0"/>
          <w:highlight w:val="none"/>
        </w:rPr>
        <w:t>投标文件应与招标文件的投标文件格式次序一一对应。</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3.1.3</w:t>
      </w:r>
      <w:r>
        <w:rPr>
          <w:rFonts w:hint="eastAsia" w:ascii="宋体" w:hAnsi="宋体" w:cs="宋体"/>
          <w:color w:val="auto"/>
          <w:kern w:val="0"/>
          <w:highlight w:val="none"/>
        </w:rPr>
        <w:t>招标文件中的每个分包，是项目招标不可拆分的最小投标单元，投标人必须按此分包编制投标文件，提交相应的文件资料，拆包投标将视为漏项或非实质性响应予以认定为投标无效。投标人如同时投标多包，可提交一套资质证明文件</w:t>
      </w:r>
    </w:p>
    <w:p>
      <w:pPr>
        <w:autoSpaceDE w:val="0"/>
        <w:autoSpaceDN w:val="0"/>
        <w:adjustRightInd w:val="0"/>
        <w:spacing w:line="460" w:lineRule="exact"/>
        <w:ind w:firstLine="315" w:firstLineChars="150"/>
        <w:jc w:val="left"/>
        <w:rPr>
          <w:rFonts w:ascii="宋体" w:cs="Times New Roman"/>
          <w:b/>
          <w:bCs/>
          <w:color w:val="auto"/>
          <w:kern w:val="0"/>
          <w:highlight w:val="none"/>
        </w:rPr>
      </w:pPr>
      <w:r>
        <w:rPr>
          <w:rFonts w:ascii="宋体" w:hAnsi="宋体" w:cs="宋体"/>
          <w:b/>
          <w:bCs/>
          <w:color w:val="auto"/>
          <w:kern w:val="0"/>
          <w:highlight w:val="none"/>
        </w:rPr>
        <w:t xml:space="preserve">3.2 </w:t>
      </w:r>
      <w:r>
        <w:rPr>
          <w:rFonts w:hint="eastAsia" w:ascii="宋体" w:hAnsi="宋体" w:cs="宋体"/>
          <w:b/>
          <w:bCs/>
          <w:color w:val="auto"/>
          <w:kern w:val="0"/>
          <w:highlight w:val="none"/>
        </w:rPr>
        <w:t>投标截止时间和地点</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投标截止时间和地点：见投标人须知前附表。</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3.3 </w:t>
      </w:r>
      <w:r>
        <w:rPr>
          <w:rFonts w:hint="eastAsia" w:ascii="宋体" w:hAnsi="宋体" w:cs="宋体"/>
          <w:b/>
          <w:bCs/>
          <w:color w:val="auto"/>
          <w:kern w:val="0"/>
          <w:highlight w:val="none"/>
        </w:rPr>
        <w:t>投标报价</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3.3.1 </w:t>
      </w:r>
      <w:r>
        <w:rPr>
          <w:rFonts w:hint="eastAsia" w:ascii="宋体" w:hAnsi="宋体" w:cs="宋体"/>
          <w:color w:val="auto"/>
          <w:kern w:val="0"/>
          <w:highlight w:val="none"/>
        </w:rPr>
        <w:t>投标人应严格按照第七章投标文件格式完整地填写投标函和开标一览表。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3.3.2 </w:t>
      </w:r>
      <w:r>
        <w:rPr>
          <w:rFonts w:hint="eastAsia" w:ascii="宋体" w:hAnsi="宋体" w:cs="宋体"/>
          <w:color w:val="auto"/>
          <w:kern w:val="0"/>
          <w:highlight w:val="none"/>
        </w:rPr>
        <w:t>除投标人须知前附表中说明并允许外，本项目只允许有一个报价，任何有选择的报价将不予接受。</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3.3.3 </w:t>
      </w:r>
      <w:r>
        <w:rPr>
          <w:rFonts w:hint="eastAsia" w:ascii="宋体" w:hAnsi="宋体" w:cs="宋体"/>
          <w:color w:val="auto"/>
          <w:kern w:val="0"/>
          <w:highlight w:val="none"/>
        </w:rPr>
        <w:t>投标人所报的投标价应是固定不变的，在其承诺的投标有效期内不得以任何理由予以变更。否则投标人以可选择的价格提交的投标文件将作为非响应性投标而予以拒绝。</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3.3.4 </w:t>
      </w:r>
      <w:r>
        <w:rPr>
          <w:rFonts w:hint="eastAsia" w:ascii="宋体" w:hAnsi="宋体" w:cs="宋体"/>
          <w:color w:val="auto"/>
          <w:kern w:val="0"/>
          <w:highlight w:val="none"/>
        </w:rPr>
        <w:t>开标一览表是为了便于采购人开标，开标一览表内容在开标时将当众唱出。</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3.4 </w:t>
      </w:r>
      <w:r>
        <w:rPr>
          <w:rFonts w:hint="eastAsia" w:ascii="宋体" w:hAnsi="宋体" w:cs="宋体"/>
          <w:b/>
          <w:bCs/>
          <w:color w:val="auto"/>
          <w:kern w:val="0"/>
          <w:highlight w:val="none"/>
        </w:rPr>
        <w:t>投标有效期</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3.4.1 </w:t>
      </w:r>
      <w:r>
        <w:rPr>
          <w:rFonts w:hint="eastAsia" w:ascii="宋体" w:hAnsi="宋体" w:cs="宋体"/>
          <w:color w:val="auto"/>
          <w:kern w:val="0"/>
          <w:highlight w:val="none"/>
        </w:rPr>
        <w:t>投标有效期见投标人须知前附表。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3.4.2 </w:t>
      </w:r>
      <w:r>
        <w:rPr>
          <w:rFonts w:hint="eastAsia" w:ascii="宋体" w:hAnsi="宋体" w:cs="宋体"/>
          <w:color w:val="auto"/>
          <w:kern w:val="0"/>
          <w:highlight w:val="none"/>
        </w:rPr>
        <w:t>在投标有效期内，投标人不得要求撤销或修改其投标文件。</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3.4.3 </w:t>
      </w:r>
      <w:r>
        <w:rPr>
          <w:rFonts w:hint="eastAsia" w:ascii="宋体" w:hAnsi="宋体" w:cs="宋体"/>
          <w:color w:val="auto"/>
          <w:kern w:val="0"/>
          <w:highlight w:val="none"/>
        </w:rPr>
        <w:t>出现特殊情况需要延长投标有效期的，采购人以书面形式通知所有投标人延长投标有效期。投标人同意延长的，不得要求或允许修改其投标文件；投标人拒绝延长的，其投标失效。</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3.5</w:t>
      </w:r>
      <w:r>
        <w:rPr>
          <w:rFonts w:hint="eastAsia" w:ascii="宋体" w:hAnsi="宋体" w:cs="宋体"/>
          <w:b/>
          <w:bCs/>
          <w:color w:val="auto"/>
          <w:kern w:val="0"/>
          <w:highlight w:val="none"/>
        </w:rPr>
        <w:t>投标保证金</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3.5.1</w:t>
      </w:r>
      <w:r>
        <w:rPr>
          <w:rFonts w:hint="eastAsia" w:ascii="宋体" w:hAnsi="宋体" w:cs="宋体"/>
          <w:color w:val="auto"/>
          <w:kern w:val="0"/>
          <w:highlight w:val="none"/>
        </w:rPr>
        <w:t>投标保证金金额和形式见投标人须知前附表。</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3.6</w:t>
      </w:r>
      <w:r>
        <w:rPr>
          <w:rFonts w:hint="eastAsia" w:ascii="宋体" w:hAnsi="宋体" w:cs="宋体"/>
          <w:b/>
          <w:bCs/>
          <w:color w:val="auto"/>
          <w:kern w:val="0"/>
          <w:highlight w:val="none"/>
        </w:rPr>
        <w:t>资格审查资料</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3.6.1</w:t>
      </w:r>
      <w:r>
        <w:rPr>
          <w:rFonts w:hint="eastAsia" w:ascii="宋体" w:hAnsi="宋体" w:cs="宋体"/>
          <w:color w:val="auto"/>
          <w:kern w:val="0"/>
          <w:highlight w:val="none"/>
        </w:rPr>
        <w:t>依据“投标人须知前附表”中的要求提交相应的资格证明文件，作为投标文件资格审查的一部分，以证明其有资格进行投标和有能力履行合同。</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3.6.2</w:t>
      </w:r>
      <w:r>
        <w:rPr>
          <w:rFonts w:hint="eastAsia" w:ascii="宋体" w:hAnsi="宋体" w:cs="宋体"/>
          <w:color w:val="auto"/>
          <w:kern w:val="0"/>
          <w:highlight w:val="none"/>
        </w:rPr>
        <w:t>投标人须知前附表规定接受联合体投标的，</w:t>
      </w:r>
      <w:r>
        <w:rPr>
          <w:rFonts w:hint="eastAsia" w:ascii="宋体" w:hAnsi="宋体" w:cs="宋体"/>
          <w:color w:val="auto"/>
          <w:highlight w:val="none"/>
        </w:rPr>
        <w:t>则联合体各方应分别提交资格审查文件、以及联合体协议，联合体协议应标明主办人。</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3.7</w:t>
      </w:r>
      <w:r>
        <w:rPr>
          <w:rFonts w:hint="eastAsia" w:ascii="宋体" w:hAnsi="宋体" w:cs="宋体"/>
          <w:b/>
          <w:bCs/>
          <w:color w:val="auto"/>
          <w:kern w:val="0"/>
          <w:highlight w:val="none"/>
        </w:rPr>
        <w:t>投标文件的编制</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3.7.1</w:t>
      </w:r>
      <w:r>
        <w:rPr>
          <w:rFonts w:hint="eastAsia" w:ascii="宋体" w:hAnsi="宋体" w:cs="宋体"/>
          <w:color w:val="auto"/>
          <w:kern w:val="0"/>
          <w:highlight w:val="none"/>
        </w:rPr>
        <w:t>投标文件应按本招标文件“投标文件格式”进行编写。</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3.7.2 </w:t>
      </w:r>
      <w:r>
        <w:rPr>
          <w:rFonts w:hint="eastAsia" w:ascii="宋体" w:hAnsi="宋体" w:cs="宋体"/>
          <w:color w:val="auto"/>
          <w:kern w:val="0"/>
          <w:highlight w:val="none"/>
        </w:rPr>
        <w:t>投标文件应当对招标文件规定的投标有效期、供货期、质量要求、招标项目技术参数及服务要求等实质性内容作出响应。</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3.7.3</w:t>
      </w:r>
      <w:r>
        <w:rPr>
          <w:rFonts w:hint="eastAsia" w:ascii="宋体" w:hAnsi="宋体" w:cs="宋体"/>
          <w:color w:val="auto"/>
          <w:kern w:val="0"/>
          <w:highlight w:val="none"/>
        </w:rPr>
        <w:t>投标文件应用不褪色的材料书写或打印，并由投标人的法定代表人（负责人）或其委托代理人签字和盖单位公章。委托代理人签字的，投标文件应附法定代表人（负责人）签署的授权委托书。投标文件应尽量避免涂改、行间插字或删除。如果出现上述情况，改动之处应加盖单位公章确认。</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3.7.4</w:t>
      </w:r>
      <w:r>
        <w:rPr>
          <w:rFonts w:hint="eastAsia" w:ascii="宋体" w:hAnsi="宋体" w:cs="宋体"/>
          <w:color w:val="auto"/>
          <w:kern w:val="0"/>
          <w:highlight w:val="none"/>
        </w:rPr>
        <w:t>投标文件正本壹份，副本份数见投标人须知前附表。正本和副本的封面应清楚地标明“正本”或“副本”的字样。当副本和正本不一致时，以正本为准。</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3.8</w:t>
      </w:r>
      <w:r>
        <w:rPr>
          <w:rFonts w:hint="eastAsia" w:ascii="宋体" w:hAnsi="宋体" w:cs="宋体"/>
          <w:b/>
          <w:bCs/>
          <w:color w:val="auto"/>
          <w:kern w:val="0"/>
          <w:highlight w:val="none"/>
        </w:rPr>
        <w:t>语言文字</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3.8</w:t>
      </w:r>
      <w:r>
        <w:rPr>
          <w:rFonts w:ascii="宋体" w:cs="宋体"/>
          <w:color w:val="auto"/>
          <w:kern w:val="0"/>
          <w:highlight w:val="none"/>
        </w:rPr>
        <w:t>.</w:t>
      </w:r>
      <w:r>
        <w:rPr>
          <w:rFonts w:hint="eastAsia" w:ascii="宋体" w:hAnsi="宋体" w:cs="宋体"/>
          <w:color w:val="auto"/>
          <w:kern w:val="0"/>
          <w:highlight w:val="none"/>
        </w:rPr>
        <w:t>除专用术语外，与招标投标有关的语言均使用中文简体字。</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3.9</w:t>
      </w:r>
      <w:r>
        <w:rPr>
          <w:rFonts w:hint="eastAsia" w:ascii="宋体" w:hAnsi="宋体" w:cs="宋体"/>
          <w:b/>
          <w:bCs/>
          <w:color w:val="auto"/>
          <w:kern w:val="0"/>
          <w:highlight w:val="none"/>
        </w:rPr>
        <w:t>计量单位和货币</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所有计量单位均采用中华人民共和国法定计量单位。货币均采用人民币。</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3.10</w:t>
      </w:r>
      <w:r>
        <w:rPr>
          <w:rFonts w:hint="eastAsia" w:ascii="宋体" w:hAnsi="宋体" w:cs="宋体"/>
          <w:b/>
          <w:bCs/>
          <w:color w:val="auto"/>
          <w:kern w:val="0"/>
          <w:highlight w:val="none"/>
        </w:rPr>
        <w:t>踏勘现场</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3.10.1 </w:t>
      </w:r>
      <w:r>
        <w:rPr>
          <w:rFonts w:hint="eastAsia" w:ascii="宋体" w:hAnsi="宋体" w:cs="宋体"/>
          <w:color w:val="auto"/>
          <w:kern w:val="0"/>
          <w:highlight w:val="none"/>
        </w:rPr>
        <w:t>投标人须知前附表规定组织踏勘现场的，采购人按投标人须知前附表规定的时间、地点组织投标人踏勘项目现场。</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3.10.2 </w:t>
      </w:r>
      <w:r>
        <w:rPr>
          <w:rFonts w:hint="eastAsia" w:ascii="宋体" w:hAnsi="宋体" w:cs="宋体"/>
          <w:color w:val="auto"/>
          <w:kern w:val="0"/>
          <w:highlight w:val="none"/>
        </w:rPr>
        <w:t>投标人踏勘现场发生的费用自理。</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3.10.3 </w:t>
      </w:r>
      <w:r>
        <w:rPr>
          <w:rFonts w:hint="eastAsia" w:ascii="宋体" w:hAnsi="宋体" w:cs="宋体"/>
          <w:color w:val="auto"/>
          <w:kern w:val="0"/>
          <w:highlight w:val="none"/>
        </w:rPr>
        <w:t>采购人在踏勘现场中介绍的情况，供投标人在编制投标文件时参考，采购人不对投标人据此作出的判断和决策负责。</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3.11</w:t>
      </w:r>
      <w:r>
        <w:rPr>
          <w:rFonts w:hint="eastAsia" w:ascii="宋体" w:hAnsi="宋体" w:cs="宋体"/>
          <w:b/>
          <w:bCs/>
          <w:color w:val="auto"/>
          <w:kern w:val="0"/>
          <w:highlight w:val="none"/>
        </w:rPr>
        <w:t>投标澄清会</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不召开</w:t>
      </w: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bookmarkStart w:id="9" w:name="_Toc30282"/>
      <w:r>
        <w:rPr>
          <w:rFonts w:ascii="宋体" w:hAnsi="宋体" w:cs="宋体"/>
          <w:b/>
          <w:bCs/>
          <w:color w:val="auto"/>
          <w:kern w:val="0"/>
          <w:highlight w:val="none"/>
        </w:rPr>
        <w:t>4.</w:t>
      </w:r>
      <w:r>
        <w:rPr>
          <w:rFonts w:hint="eastAsia" w:ascii="宋体" w:hAnsi="宋体" w:cs="宋体"/>
          <w:b/>
          <w:bCs/>
          <w:color w:val="auto"/>
          <w:kern w:val="0"/>
          <w:highlight w:val="none"/>
        </w:rPr>
        <w:t>投标</w:t>
      </w:r>
      <w:bookmarkEnd w:id="9"/>
    </w:p>
    <w:p>
      <w:pPr>
        <w:pStyle w:val="4"/>
        <w:spacing w:line="460" w:lineRule="exact"/>
        <w:ind w:left="468"/>
        <w:jc w:val="left"/>
        <w:rPr>
          <w:rFonts w:ascii="宋体" w:cs="Times New Roman"/>
          <w:color w:val="auto"/>
          <w:sz w:val="24"/>
          <w:szCs w:val="24"/>
          <w:highlight w:val="none"/>
        </w:rPr>
      </w:pPr>
      <w:bookmarkStart w:id="10" w:name="_Toc488422601"/>
      <w:bookmarkStart w:id="11" w:name="_Toc32726"/>
      <w:bookmarkStart w:id="12" w:name="_Toc12322"/>
      <w:bookmarkStart w:id="13" w:name="_Toc488421818"/>
      <w:bookmarkStart w:id="14" w:name="_Toc23269"/>
      <w:bookmarkStart w:id="15" w:name="_Toc4029"/>
      <w:bookmarkStart w:id="16" w:name="_Toc1604"/>
      <w:bookmarkStart w:id="17" w:name="_Toc488422002"/>
      <w:bookmarkStart w:id="18" w:name="_Toc15149"/>
      <w:r>
        <w:rPr>
          <w:rFonts w:ascii="宋体" w:hAnsi="宋体" w:cs="宋体"/>
          <w:color w:val="auto"/>
          <w:sz w:val="24"/>
          <w:szCs w:val="24"/>
          <w:highlight w:val="none"/>
        </w:rPr>
        <w:t xml:space="preserve">4.1 </w:t>
      </w:r>
      <w:r>
        <w:rPr>
          <w:rFonts w:hint="eastAsia" w:ascii="宋体" w:hAnsi="宋体" w:cs="宋体"/>
          <w:color w:val="auto"/>
          <w:sz w:val="24"/>
          <w:szCs w:val="24"/>
          <w:highlight w:val="none"/>
        </w:rPr>
        <w:t>投标文件的密封和标记</w:t>
      </w:r>
      <w:bookmarkEnd w:id="10"/>
      <w:bookmarkEnd w:id="11"/>
      <w:bookmarkEnd w:id="12"/>
      <w:bookmarkEnd w:id="13"/>
      <w:bookmarkEnd w:id="14"/>
      <w:bookmarkEnd w:id="15"/>
      <w:bookmarkEnd w:id="16"/>
      <w:bookmarkEnd w:id="17"/>
      <w:bookmarkEnd w:id="18"/>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4.1.1 </w:t>
      </w:r>
      <w:r>
        <w:rPr>
          <w:rFonts w:hint="eastAsia" w:ascii="宋体" w:hAnsi="宋体" w:cs="宋体"/>
          <w:color w:val="auto"/>
          <w:kern w:val="0"/>
          <w:highlight w:val="none"/>
        </w:rPr>
        <w:t>投标文件的正本与副本应采用左侧胶粘方式装订，不得采用活页夹等可随时拆换的方式装订。</w:t>
      </w:r>
    </w:p>
    <w:p>
      <w:pPr>
        <w:widowControl/>
        <w:spacing w:line="460" w:lineRule="exact"/>
        <w:jc w:val="left"/>
        <w:rPr>
          <w:rFonts w:ascii="宋体" w:cs="Times New Roman"/>
          <w:color w:val="auto"/>
          <w:kern w:val="0"/>
          <w:highlight w:val="none"/>
        </w:rPr>
      </w:pPr>
      <w:r>
        <w:rPr>
          <w:rFonts w:ascii="宋体" w:hAnsi="宋体" w:cs="宋体"/>
          <w:color w:val="auto"/>
          <w:kern w:val="0"/>
          <w:highlight w:val="none"/>
        </w:rPr>
        <w:t xml:space="preserve">    4.1.2 </w:t>
      </w:r>
      <w:r>
        <w:rPr>
          <w:rFonts w:hint="eastAsia" w:ascii="宋体" w:hAnsi="宋体" w:cs="宋体"/>
          <w:color w:val="auto"/>
          <w:kern w:val="0"/>
          <w:highlight w:val="none"/>
        </w:rPr>
        <w:t>投标文件的正本单独密封、副本整体密封，提供电子版</w:t>
      </w:r>
      <w:r>
        <w:rPr>
          <w:rFonts w:ascii="宋体" w:hAnsi="宋体" w:cs="宋体"/>
          <w:color w:val="auto"/>
          <w:kern w:val="0"/>
          <w:highlight w:val="none"/>
        </w:rPr>
        <w:t>1</w:t>
      </w:r>
      <w:r>
        <w:rPr>
          <w:rFonts w:hint="eastAsia" w:ascii="宋体" w:hAnsi="宋体" w:cs="宋体"/>
          <w:color w:val="auto"/>
          <w:kern w:val="0"/>
          <w:highlight w:val="none"/>
        </w:rPr>
        <w:t>份，</w:t>
      </w:r>
      <w:r>
        <w:rPr>
          <w:rFonts w:hint="eastAsia" w:ascii="宋体" w:hAnsi="宋体" w:cs="宋体"/>
          <w:color w:val="auto"/>
          <w:highlight w:val="none"/>
        </w:rPr>
        <w:t>电子版密封于正本密封袋内</w:t>
      </w:r>
      <w:r>
        <w:rPr>
          <w:rFonts w:hint="eastAsia" w:ascii="宋体" w:hAnsi="宋体" w:cs="宋体"/>
          <w:color w:val="auto"/>
          <w:kern w:val="0"/>
          <w:highlight w:val="none"/>
        </w:rPr>
        <w:t>。</w:t>
      </w:r>
    </w:p>
    <w:p>
      <w:pPr>
        <w:widowControl/>
        <w:spacing w:line="460" w:lineRule="exact"/>
        <w:ind w:firstLine="420"/>
        <w:jc w:val="left"/>
        <w:rPr>
          <w:rFonts w:ascii="宋体" w:cs="Times New Roman"/>
          <w:color w:val="auto"/>
          <w:kern w:val="0"/>
          <w:highlight w:val="none"/>
        </w:rPr>
      </w:pPr>
      <w:r>
        <w:rPr>
          <w:rFonts w:hint="eastAsia" w:ascii="宋体" w:hAnsi="宋体" w:cs="宋体"/>
          <w:color w:val="auto"/>
          <w:kern w:val="0"/>
          <w:highlight w:val="none"/>
        </w:rPr>
        <w:t>内外层封袋均应写明投标文件并写明以下内容：</w:t>
      </w:r>
    </w:p>
    <w:p>
      <w:pPr>
        <w:widowControl/>
        <w:spacing w:line="460" w:lineRule="exact"/>
        <w:ind w:firstLine="42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）注明“投标人须知前附表”中载明的项目名称、项目编号、采购编号、正本、副本及“在年月日之前不得开启”字样，在后面注明本招标文件规定的开标日期和时间。</w:t>
      </w:r>
    </w:p>
    <w:p>
      <w:pPr>
        <w:widowControl/>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）写明投标人的名称和地址。</w:t>
      </w:r>
    </w:p>
    <w:p>
      <w:pPr>
        <w:widowControl/>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3</w:t>
      </w:r>
      <w:r>
        <w:rPr>
          <w:rFonts w:hint="eastAsia" w:ascii="宋体" w:hAnsi="宋体" w:cs="宋体"/>
          <w:color w:val="auto"/>
          <w:kern w:val="0"/>
          <w:highlight w:val="none"/>
        </w:rPr>
        <w:t>）封套上应写明投标文件</w:t>
      </w:r>
    </w:p>
    <w:p>
      <w:pPr>
        <w:widowControl/>
        <w:spacing w:line="460" w:lineRule="exact"/>
        <w:jc w:val="left"/>
        <w:rPr>
          <w:rFonts w:ascii="宋体" w:cs="Times New Roman"/>
          <w:color w:val="auto"/>
          <w:highlight w:val="none"/>
        </w:rPr>
      </w:pPr>
      <w:r>
        <w:rPr>
          <w:rFonts w:hint="eastAsia" w:ascii="宋体" w:hAnsi="宋体" w:cs="宋体"/>
          <w:color w:val="auto"/>
          <w:highlight w:val="none"/>
        </w:rPr>
        <w:t>（本样式为参考样式，加写的标记不应改变投标文件的实质性内容）</w:t>
      </w:r>
    </w:p>
    <w:p>
      <w:pPr>
        <w:autoSpaceDE w:val="0"/>
        <w:autoSpaceDN w:val="0"/>
        <w:adjustRightInd w:val="0"/>
        <w:spacing w:line="460" w:lineRule="exact"/>
        <w:ind w:firstLine="420" w:firstLineChars="200"/>
        <w:jc w:val="left"/>
        <w:rPr>
          <w:rFonts w:ascii="宋体" w:cs="Times New Roman"/>
          <w:b/>
          <w:bCs/>
          <w:color w:val="auto"/>
          <w:kern w:val="0"/>
          <w:sz w:val="24"/>
          <w:szCs w:val="24"/>
          <w:highlight w:val="none"/>
        </w:rPr>
      </w:pPr>
      <w:r>
        <w:rPr>
          <w:rFonts w:ascii="宋体" w:hAnsi="宋体" w:cs="宋体"/>
          <w:color w:val="auto"/>
          <w:kern w:val="0"/>
          <w:highlight w:val="none"/>
        </w:rPr>
        <w:t xml:space="preserve">4.1.3 </w:t>
      </w:r>
      <w:r>
        <w:rPr>
          <w:rFonts w:hint="eastAsia" w:ascii="宋体" w:hAnsi="宋体" w:cs="宋体"/>
          <w:color w:val="auto"/>
          <w:kern w:val="0"/>
          <w:highlight w:val="none"/>
        </w:rPr>
        <w:t>未按本章第</w:t>
      </w:r>
      <w:r>
        <w:rPr>
          <w:rFonts w:ascii="宋体" w:hAnsi="宋体" w:cs="宋体"/>
          <w:color w:val="auto"/>
          <w:kern w:val="0"/>
          <w:highlight w:val="none"/>
        </w:rPr>
        <w:t>4.1.1</w:t>
      </w:r>
      <w:r>
        <w:rPr>
          <w:rFonts w:hint="eastAsia" w:ascii="宋体" w:hAnsi="宋体" w:cs="宋体"/>
          <w:color w:val="auto"/>
          <w:kern w:val="0"/>
          <w:highlight w:val="none"/>
        </w:rPr>
        <w:t>项和第</w:t>
      </w:r>
      <w:r>
        <w:rPr>
          <w:rFonts w:ascii="宋体" w:hAnsi="宋体" w:cs="宋体"/>
          <w:color w:val="auto"/>
          <w:kern w:val="0"/>
          <w:highlight w:val="none"/>
        </w:rPr>
        <w:t>4</w:t>
      </w:r>
      <w:r>
        <w:rPr>
          <w:rFonts w:ascii="宋体" w:cs="宋体"/>
          <w:b/>
          <w:bCs/>
          <w:color w:val="auto"/>
          <w:kern w:val="0"/>
          <w:sz w:val="24"/>
          <w:szCs w:val="24"/>
          <w:highlight w:val="none"/>
        </w:rPr>
        <w:t>.</w:t>
      </w:r>
      <w:r>
        <w:rPr>
          <w:rFonts w:ascii="宋体" w:hAnsi="宋体" w:cs="宋体"/>
          <w:color w:val="auto"/>
          <w:kern w:val="0"/>
          <w:highlight w:val="none"/>
        </w:rPr>
        <w:t>1.2</w:t>
      </w:r>
      <w:r>
        <w:rPr>
          <w:rFonts w:hint="eastAsia" w:ascii="宋体" w:hAnsi="宋体" w:cs="宋体"/>
          <w:color w:val="auto"/>
          <w:kern w:val="0"/>
          <w:highlight w:val="none"/>
        </w:rPr>
        <w:t>项要求密封的，采购人不予接受</w:t>
      </w:r>
      <w:r>
        <w:rPr>
          <w:rFonts w:hint="eastAsia" w:ascii="宋体" w:hAnsi="宋体" w:cs="宋体"/>
          <w:b/>
          <w:bCs/>
          <w:color w:val="auto"/>
          <w:kern w:val="0"/>
          <w:sz w:val="24"/>
          <w:szCs w:val="24"/>
          <w:highlight w:val="none"/>
        </w:rPr>
        <w:t>。</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4.2  </w:t>
      </w:r>
      <w:r>
        <w:rPr>
          <w:rFonts w:hint="eastAsia" w:ascii="宋体" w:hAnsi="宋体" w:cs="宋体"/>
          <w:b/>
          <w:bCs/>
          <w:color w:val="auto"/>
          <w:kern w:val="0"/>
          <w:highlight w:val="none"/>
        </w:rPr>
        <w:t>投标文件的递交</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4.2.1 </w:t>
      </w:r>
      <w:r>
        <w:rPr>
          <w:rFonts w:hint="eastAsia" w:ascii="宋体" w:hAnsi="宋体" w:cs="宋体"/>
          <w:color w:val="auto"/>
          <w:kern w:val="0"/>
          <w:highlight w:val="none"/>
        </w:rPr>
        <w:t>投标文件应在本章第</w:t>
      </w:r>
      <w:r>
        <w:rPr>
          <w:rFonts w:ascii="宋体" w:hAnsi="宋体" w:cs="宋体"/>
          <w:color w:val="auto"/>
          <w:kern w:val="0"/>
          <w:highlight w:val="none"/>
        </w:rPr>
        <w:t>3.2.1</w:t>
      </w:r>
      <w:r>
        <w:rPr>
          <w:rFonts w:hint="eastAsia" w:ascii="宋体" w:hAnsi="宋体" w:cs="宋体"/>
          <w:color w:val="auto"/>
          <w:kern w:val="0"/>
          <w:highlight w:val="none"/>
        </w:rPr>
        <w:t>项规定的投标截止时间前递交。</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4.2.2 </w:t>
      </w:r>
      <w:r>
        <w:rPr>
          <w:rFonts w:hint="eastAsia" w:ascii="宋体" w:hAnsi="宋体" w:cs="宋体"/>
          <w:color w:val="auto"/>
          <w:kern w:val="0"/>
          <w:highlight w:val="none"/>
        </w:rPr>
        <w:t>投标人递交文件的地点和方式：见投标人须知前附表。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4.2.3 </w:t>
      </w:r>
      <w:r>
        <w:rPr>
          <w:rFonts w:hint="eastAsia" w:ascii="宋体" w:hAnsi="宋体" w:cs="宋体"/>
          <w:color w:val="auto"/>
          <w:kern w:val="0"/>
          <w:highlight w:val="none"/>
        </w:rPr>
        <w:t>投标人所递交的投标文件不予退还。</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4.2.4 </w:t>
      </w:r>
      <w:r>
        <w:rPr>
          <w:rFonts w:hint="eastAsia" w:ascii="宋体" w:hAnsi="宋体" w:cs="宋体"/>
          <w:color w:val="auto"/>
          <w:kern w:val="0"/>
          <w:highlight w:val="none"/>
        </w:rPr>
        <w:t>逾期送达的或者未送达指定地点的</w:t>
      </w:r>
      <w:r>
        <w:rPr>
          <w:rFonts w:hint="eastAsia" w:ascii="宋体" w:hAnsi="宋体" w:cs="宋体"/>
          <w:color w:val="auto"/>
          <w:highlight w:val="none"/>
        </w:rPr>
        <w:t>投标文件</w:t>
      </w:r>
      <w:r>
        <w:rPr>
          <w:rFonts w:hint="eastAsia" w:ascii="宋体" w:hAnsi="宋体" w:cs="宋体"/>
          <w:color w:val="auto"/>
          <w:kern w:val="0"/>
          <w:highlight w:val="none"/>
        </w:rPr>
        <w:t>采购人不予受理。</w:t>
      </w:r>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4.3 </w:t>
      </w:r>
      <w:r>
        <w:rPr>
          <w:rFonts w:hint="eastAsia" w:ascii="宋体" w:hAnsi="宋体" w:cs="宋体"/>
          <w:b/>
          <w:bCs/>
          <w:color w:val="auto"/>
          <w:kern w:val="0"/>
          <w:highlight w:val="none"/>
        </w:rPr>
        <w:t>投标文件的修改与撤回</w:t>
      </w:r>
    </w:p>
    <w:p>
      <w:pPr>
        <w:autoSpaceDE w:val="0"/>
        <w:autoSpaceDN w:val="0"/>
        <w:adjustRightInd w:val="0"/>
        <w:spacing w:line="460" w:lineRule="exact"/>
        <w:jc w:val="left"/>
        <w:rPr>
          <w:rFonts w:ascii="宋体" w:cs="Times New Roman"/>
          <w:color w:val="auto"/>
          <w:kern w:val="0"/>
          <w:highlight w:val="none"/>
        </w:rPr>
      </w:pPr>
      <w:r>
        <w:rPr>
          <w:rFonts w:ascii="宋体" w:hAnsi="宋体" w:cs="宋体"/>
          <w:color w:val="auto"/>
          <w:kern w:val="0"/>
          <w:highlight w:val="none"/>
        </w:rPr>
        <w:t xml:space="preserve">  4.3.1 </w:t>
      </w:r>
      <w:r>
        <w:rPr>
          <w:rFonts w:hint="eastAsia" w:ascii="宋体" w:hAnsi="宋体" w:cs="宋体"/>
          <w:color w:val="auto"/>
          <w:kern w:val="0"/>
          <w:highlight w:val="none"/>
        </w:rPr>
        <w:t>在本章第</w:t>
      </w:r>
      <w:r>
        <w:rPr>
          <w:rFonts w:ascii="宋体" w:hAnsi="宋体" w:cs="宋体"/>
          <w:color w:val="auto"/>
          <w:kern w:val="0"/>
          <w:highlight w:val="none"/>
        </w:rPr>
        <w:t>3.2</w:t>
      </w:r>
      <w:r>
        <w:rPr>
          <w:rFonts w:hint="eastAsia" w:ascii="宋体" w:hAnsi="宋体" w:cs="宋体"/>
          <w:color w:val="auto"/>
          <w:kern w:val="0"/>
          <w:highlight w:val="none"/>
        </w:rPr>
        <w:t>项规定的投标截止时间前，投标人可以修改或撤回已递交的投标文件，但应以书面形式通知采购人，该通知须有经正式授权的投标方代表签字，同时应出具投标人法定代表人的授权书。</w:t>
      </w:r>
    </w:p>
    <w:p>
      <w:pPr>
        <w:autoSpaceDE w:val="0"/>
        <w:autoSpaceDN w:val="0"/>
        <w:adjustRightInd w:val="0"/>
        <w:spacing w:line="460" w:lineRule="exact"/>
        <w:jc w:val="left"/>
        <w:rPr>
          <w:rFonts w:ascii="宋体" w:cs="Times New Roman"/>
          <w:color w:val="auto"/>
          <w:kern w:val="0"/>
          <w:highlight w:val="none"/>
        </w:rPr>
      </w:pPr>
      <w:r>
        <w:rPr>
          <w:rFonts w:ascii="宋体" w:hAnsi="宋体" w:cs="宋体"/>
          <w:color w:val="auto"/>
          <w:kern w:val="0"/>
          <w:highlight w:val="none"/>
        </w:rPr>
        <w:t xml:space="preserve">    4.3.2 </w:t>
      </w:r>
      <w:r>
        <w:rPr>
          <w:rFonts w:hint="eastAsia" w:ascii="宋体" w:hAnsi="宋体" w:cs="宋体"/>
          <w:color w:val="auto"/>
          <w:kern w:val="0"/>
          <w:highlight w:val="none"/>
        </w:rPr>
        <w:t>修改的内容为投标文件的组成部分。修改的投标文件应按照本章第</w:t>
      </w:r>
      <w:r>
        <w:rPr>
          <w:rFonts w:ascii="宋体" w:hAnsi="宋体" w:cs="宋体"/>
          <w:color w:val="auto"/>
          <w:kern w:val="0"/>
          <w:highlight w:val="none"/>
        </w:rPr>
        <w:t>3</w:t>
      </w:r>
      <w:r>
        <w:rPr>
          <w:rFonts w:hint="eastAsia" w:ascii="宋体" w:hAnsi="宋体" w:cs="宋体"/>
          <w:color w:val="auto"/>
          <w:kern w:val="0"/>
          <w:highlight w:val="none"/>
        </w:rPr>
        <w:t>条、第</w:t>
      </w:r>
      <w:r>
        <w:rPr>
          <w:rFonts w:ascii="宋体" w:hAnsi="宋体" w:cs="宋体"/>
          <w:color w:val="auto"/>
          <w:kern w:val="0"/>
          <w:highlight w:val="none"/>
        </w:rPr>
        <w:t>4</w:t>
      </w:r>
      <w:r>
        <w:rPr>
          <w:rFonts w:hint="eastAsia" w:ascii="宋体" w:hAnsi="宋体" w:cs="宋体"/>
          <w:color w:val="auto"/>
          <w:kern w:val="0"/>
          <w:highlight w:val="none"/>
        </w:rPr>
        <w:t>条规定进行编制、密封、标记和递交，并标明“修改”字样。</w:t>
      </w:r>
    </w:p>
    <w:p>
      <w:pPr>
        <w:autoSpaceDE w:val="0"/>
        <w:autoSpaceDN w:val="0"/>
        <w:adjustRightInd w:val="0"/>
        <w:spacing w:line="460" w:lineRule="exact"/>
        <w:jc w:val="left"/>
        <w:rPr>
          <w:rFonts w:ascii="宋体" w:cs="Times New Roman"/>
          <w:color w:val="auto"/>
          <w:kern w:val="0"/>
          <w:highlight w:val="none"/>
        </w:rPr>
      </w:pPr>
      <w:r>
        <w:rPr>
          <w:rFonts w:ascii="宋体" w:hAnsi="宋体" w:cs="宋体"/>
          <w:color w:val="auto"/>
          <w:kern w:val="0"/>
          <w:highlight w:val="none"/>
        </w:rPr>
        <w:t xml:space="preserve">    4.3.3 </w:t>
      </w:r>
      <w:r>
        <w:rPr>
          <w:rFonts w:hint="eastAsia" w:ascii="宋体" w:hAnsi="宋体" w:cs="宋体"/>
          <w:color w:val="auto"/>
          <w:kern w:val="0"/>
          <w:highlight w:val="none"/>
        </w:rPr>
        <w:t>投标截止时间以后不得修改投标文件。</w:t>
      </w:r>
    </w:p>
    <w:p>
      <w:pPr>
        <w:autoSpaceDE w:val="0"/>
        <w:autoSpaceDN w:val="0"/>
        <w:adjustRightInd w:val="0"/>
        <w:spacing w:line="460" w:lineRule="exact"/>
        <w:ind w:firstLine="420" w:firstLineChars="200"/>
        <w:jc w:val="left"/>
        <w:outlineLvl w:val="1"/>
        <w:rPr>
          <w:rFonts w:ascii="宋体" w:cs="Times New Roman"/>
          <w:b/>
          <w:bCs/>
          <w:color w:val="auto"/>
          <w:kern w:val="0"/>
          <w:highlight w:val="none"/>
        </w:rPr>
      </w:pPr>
      <w:bookmarkStart w:id="19" w:name="_Toc14856"/>
      <w:r>
        <w:rPr>
          <w:rFonts w:ascii="宋体" w:hAnsi="宋体" w:cs="宋体"/>
          <w:b/>
          <w:bCs/>
          <w:color w:val="auto"/>
          <w:kern w:val="0"/>
          <w:highlight w:val="none"/>
        </w:rPr>
        <w:t>5.</w:t>
      </w:r>
      <w:r>
        <w:rPr>
          <w:rFonts w:hint="eastAsia" w:ascii="宋体" w:hAnsi="宋体" w:cs="宋体"/>
          <w:b/>
          <w:bCs/>
          <w:color w:val="auto"/>
          <w:kern w:val="0"/>
          <w:highlight w:val="none"/>
        </w:rPr>
        <w:t>开标</w:t>
      </w:r>
      <w:bookmarkEnd w:id="19"/>
    </w:p>
    <w:p>
      <w:pPr>
        <w:autoSpaceDE w:val="0"/>
        <w:autoSpaceDN w:val="0"/>
        <w:adjustRightInd w:val="0"/>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5.1 </w:t>
      </w:r>
      <w:r>
        <w:rPr>
          <w:rFonts w:hint="eastAsia" w:ascii="宋体" w:hAnsi="宋体" w:cs="宋体"/>
          <w:b/>
          <w:bCs/>
          <w:color w:val="auto"/>
          <w:kern w:val="0"/>
          <w:highlight w:val="none"/>
        </w:rPr>
        <w:t>开标时间、地点和方式</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采购人在本章投标人须知前附表规定的投标截止时间（开标时间）招标文件规定的地点开标。并邀请所有投标人的法定代表人或其委托代理人参加。</w:t>
      </w:r>
    </w:p>
    <w:p>
      <w:pPr>
        <w:spacing w:line="460" w:lineRule="exact"/>
        <w:ind w:firstLine="420" w:firstLineChars="200"/>
        <w:rPr>
          <w:rFonts w:ascii="宋体" w:cs="Times New Roman"/>
          <w:color w:val="auto"/>
          <w:highlight w:val="none"/>
        </w:rPr>
      </w:pPr>
      <w:r>
        <w:rPr>
          <w:rFonts w:ascii="宋体" w:hAnsi="宋体" w:cs="宋体"/>
          <w:b/>
          <w:bCs/>
          <w:color w:val="auto"/>
          <w:kern w:val="0"/>
          <w:highlight w:val="none"/>
        </w:rPr>
        <w:t>5.</w:t>
      </w:r>
      <w:r>
        <w:rPr>
          <w:rFonts w:ascii="宋体" w:hAnsi="宋体" w:cs="宋体"/>
          <w:b/>
          <w:bCs/>
          <w:color w:val="auto"/>
          <w:highlight w:val="none"/>
        </w:rPr>
        <w:t>2</w:t>
      </w:r>
      <w:r>
        <w:rPr>
          <w:rFonts w:hint="eastAsia" w:ascii="宋体" w:hAnsi="宋体" w:cs="宋体"/>
          <w:b/>
          <w:bCs/>
          <w:color w:val="auto"/>
          <w:highlight w:val="none"/>
        </w:rPr>
        <w:t>投标人有下列情形之一的，采购人不予受理</w:t>
      </w:r>
    </w:p>
    <w:p>
      <w:pPr>
        <w:spacing w:line="460" w:lineRule="exact"/>
        <w:ind w:left="-178" w:leftChars="-85"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）投标文件逾期送达的或者未送达指定地点的；</w:t>
      </w:r>
    </w:p>
    <w:p>
      <w:pPr>
        <w:spacing w:line="460" w:lineRule="exact"/>
        <w:ind w:left="-178" w:leftChars="-85"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）未按招标文件要求密封的。</w:t>
      </w:r>
    </w:p>
    <w:p>
      <w:pPr>
        <w:autoSpaceDE w:val="0"/>
        <w:autoSpaceDN w:val="0"/>
        <w:adjustRightInd w:val="0"/>
        <w:spacing w:line="460" w:lineRule="exact"/>
        <w:ind w:firstLine="420" w:firstLineChars="200"/>
        <w:rPr>
          <w:rFonts w:ascii="宋体" w:cs="Times New Roman"/>
          <w:b/>
          <w:bCs/>
          <w:color w:val="auto"/>
          <w:kern w:val="0"/>
          <w:highlight w:val="none"/>
        </w:rPr>
      </w:pPr>
      <w:r>
        <w:rPr>
          <w:rFonts w:ascii="宋体" w:hAnsi="宋体" w:cs="宋体"/>
          <w:b/>
          <w:bCs/>
          <w:color w:val="auto"/>
          <w:kern w:val="0"/>
          <w:highlight w:val="none"/>
        </w:rPr>
        <w:t xml:space="preserve">5.3 </w:t>
      </w:r>
      <w:r>
        <w:rPr>
          <w:rFonts w:hint="eastAsia" w:ascii="宋体" w:hAnsi="宋体" w:cs="宋体"/>
          <w:b/>
          <w:bCs/>
          <w:color w:val="auto"/>
          <w:kern w:val="0"/>
          <w:highlight w:val="none"/>
        </w:rPr>
        <w:t>开标程序</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highlight w:val="none"/>
        </w:rPr>
        <w:t>招标主持人按以下程序开标：</w:t>
      </w:r>
    </w:p>
    <w:p>
      <w:pPr>
        <w:autoSpaceDE w:val="0"/>
        <w:autoSpaceDN w:val="0"/>
        <w:adjustRightInd w:val="0"/>
        <w:spacing w:line="460" w:lineRule="exact"/>
        <w:ind w:left="-178" w:leftChars="-85" w:firstLine="420" w:firstLineChars="200"/>
        <w:rPr>
          <w:rFonts w:ascii="宋体" w:cs="Times New Roman"/>
          <w:color w:val="auto"/>
          <w:kern w:val="0"/>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）宣布会议开始；</w:t>
      </w:r>
    </w:p>
    <w:p>
      <w:pPr>
        <w:spacing w:line="460" w:lineRule="exact"/>
        <w:ind w:left="-178" w:leftChars="-85"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）宣布会场纪律；</w:t>
      </w:r>
    </w:p>
    <w:p>
      <w:pPr>
        <w:spacing w:line="460" w:lineRule="exact"/>
        <w:ind w:left="-178" w:leftChars="-85"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）介绍出席开标会议的采购人与监督单位代表及各投标人；</w:t>
      </w:r>
    </w:p>
    <w:p>
      <w:pPr>
        <w:spacing w:line="460" w:lineRule="exact"/>
        <w:ind w:left="-178" w:leftChars="-85"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）由投标人派代表互验投标文件密封情况情况，并签字确认；</w:t>
      </w:r>
    </w:p>
    <w:p>
      <w:pPr>
        <w:spacing w:line="460" w:lineRule="exact"/>
        <w:ind w:left="-178" w:leftChars="-85"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）由投标人按签到的逆顺序进行唱标，投标人或监督单位代表如有异议当场提出；</w:t>
      </w:r>
    </w:p>
    <w:p>
      <w:pPr>
        <w:spacing w:line="46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）记录人将对开标过程进行记录，投标人签字确认，以存档备查；</w:t>
      </w:r>
    </w:p>
    <w:p>
      <w:pPr>
        <w:spacing w:line="46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）开标会议结束，进入评标程序。</w:t>
      </w:r>
    </w:p>
    <w:p>
      <w:pPr>
        <w:autoSpaceDE w:val="0"/>
        <w:autoSpaceDN w:val="0"/>
        <w:adjustRightInd w:val="0"/>
        <w:spacing w:line="460" w:lineRule="exact"/>
        <w:ind w:firstLine="420" w:firstLineChars="200"/>
        <w:outlineLvl w:val="1"/>
        <w:rPr>
          <w:rFonts w:ascii="宋体" w:cs="Times New Roman"/>
          <w:b/>
          <w:bCs/>
          <w:color w:val="auto"/>
          <w:kern w:val="0"/>
          <w:highlight w:val="none"/>
        </w:rPr>
      </w:pPr>
      <w:bookmarkStart w:id="20" w:name="_Toc26278"/>
      <w:r>
        <w:rPr>
          <w:rFonts w:ascii="宋体" w:hAnsi="宋体" w:cs="宋体"/>
          <w:b/>
          <w:bCs/>
          <w:color w:val="auto"/>
          <w:kern w:val="0"/>
          <w:highlight w:val="none"/>
        </w:rPr>
        <w:t>6</w:t>
      </w:r>
      <w:r>
        <w:rPr>
          <w:rFonts w:ascii="宋体" w:cs="宋体"/>
          <w:b/>
          <w:bCs/>
          <w:color w:val="auto"/>
          <w:kern w:val="0"/>
          <w:highlight w:val="none"/>
        </w:rPr>
        <w:t>.</w:t>
      </w:r>
      <w:r>
        <w:rPr>
          <w:rFonts w:hint="eastAsia" w:ascii="宋体" w:hAnsi="宋体" w:cs="宋体"/>
          <w:b/>
          <w:bCs/>
          <w:color w:val="auto"/>
          <w:kern w:val="0"/>
          <w:highlight w:val="none"/>
        </w:rPr>
        <w:t>评标</w:t>
      </w:r>
      <w:bookmarkEnd w:id="20"/>
    </w:p>
    <w:p>
      <w:pPr>
        <w:autoSpaceDE w:val="0"/>
        <w:autoSpaceDN w:val="0"/>
        <w:adjustRightInd w:val="0"/>
        <w:spacing w:line="460" w:lineRule="exact"/>
        <w:ind w:firstLine="420" w:firstLineChars="200"/>
        <w:jc w:val="left"/>
        <w:rPr>
          <w:rFonts w:ascii="宋体" w:cs="Times New Roman"/>
          <w:b/>
          <w:bCs/>
          <w:color w:val="auto"/>
          <w:highlight w:val="none"/>
        </w:rPr>
      </w:pPr>
      <w:bookmarkStart w:id="21" w:name="_Toc437895647"/>
      <w:r>
        <w:rPr>
          <w:rFonts w:ascii="宋体" w:hAnsi="宋体" w:cs="宋体"/>
          <w:b/>
          <w:bCs/>
          <w:color w:val="auto"/>
          <w:highlight w:val="none"/>
        </w:rPr>
        <w:t xml:space="preserve">6.1 </w:t>
      </w:r>
      <w:r>
        <w:rPr>
          <w:rFonts w:hint="eastAsia" w:ascii="宋体" w:hAnsi="宋体" w:cs="宋体"/>
          <w:b/>
          <w:bCs/>
          <w:color w:val="auto"/>
          <w:highlight w:val="none"/>
        </w:rPr>
        <w:t>评标委员会</w:t>
      </w:r>
      <w:bookmarkEnd w:id="21"/>
    </w:p>
    <w:p>
      <w:pPr>
        <w:autoSpaceDE w:val="0"/>
        <w:autoSpaceDN w:val="0"/>
        <w:adjustRightInd w:val="0"/>
        <w:spacing w:line="460" w:lineRule="exact"/>
        <w:ind w:firstLine="420" w:firstLineChars="200"/>
        <w:rPr>
          <w:rFonts w:ascii="宋体" w:cs="Times New Roman"/>
          <w:color w:val="auto"/>
          <w:kern w:val="0"/>
          <w:highlight w:val="none"/>
        </w:rPr>
      </w:pPr>
      <w:r>
        <w:rPr>
          <w:rFonts w:ascii="宋体" w:hAnsi="宋体" w:cs="宋体"/>
          <w:color w:val="auto"/>
          <w:kern w:val="0"/>
          <w:highlight w:val="none"/>
        </w:rPr>
        <w:t>6.1.1</w:t>
      </w:r>
      <w:r>
        <w:rPr>
          <w:rFonts w:hint="eastAsia" w:ascii="宋体" w:hAnsi="宋体" w:cs="宋体"/>
          <w:color w:val="auto"/>
          <w:kern w:val="0"/>
          <w:highlight w:val="none"/>
        </w:rPr>
        <w:t>评标由采购人依法组建的评标委员会负责。评标委员会由采购人代表，以及有关技术、经济等方面的专家组成。评标委员会成员人数以及技术、经济等方面专家的确定方式见投标人须知前附表。</w:t>
      </w:r>
    </w:p>
    <w:p>
      <w:pPr>
        <w:spacing w:line="460" w:lineRule="exact"/>
        <w:ind w:firstLine="420" w:firstLineChars="200"/>
        <w:jc w:val="left"/>
        <w:rPr>
          <w:rFonts w:ascii="宋体" w:cs="Times New Roman"/>
          <w:color w:val="auto"/>
          <w:highlight w:val="none"/>
        </w:rPr>
      </w:pPr>
      <w:r>
        <w:rPr>
          <w:rFonts w:ascii="宋体" w:hAnsi="宋体" w:cs="宋体"/>
          <w:color w:val="auto"/>
          <w:kern w:val="0"/>
          <w:highlight w:val="none"/>
        </w:rPr>
        <w:t>6.1.2</w:t>
      </w:r>
      <w:r>
        <w:rPr>
          <w:rFonts w:hint="eastAsia" w:ascii="宋体" w:hAnsi="宋体" w:cs="宋体"/>
          <w:color w:val="auto"/>
          <w:highlight w:val="none"/>
        </w:rPr>
        <w:t>评标委员会成员有下列情形之一的，应当回避：</w:t>
      </w:r>
    </w:p>
    <w:p>
      <w:pPr>
        <w:spacing w:line="460" w:lineRule="exact"/>
        <w:ind w:firstLine="420" w:firstLineChars="200"/>
        <w:jc w:val="left"/>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）采购人或投标人的主要负责人的近亲属；</w:t>
      </w:r>
    </w:p>
    <w:p>
      <w:pPr>
        <w:spacing w:line="460" w:lineRule="exact"/>
        <w:ind w:firstLine="420" w:firstLineChars="200"/>
        <w:jc w:val="left"/>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）项目主管部门或者行政监督部门的人员；</w:t>
      </w:r>
    </w:p>
    <w:p>
      <w:pPr>
        <w:spacing w:line="460" w:lineRule="exact"/>
        <w:ind w:firstLine="420" w:firstLineChars="200"/>
        <w:jc w:val="left"/>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）与投标人有经济利益关系，可能影响对投标公正评审的；</w:t>
      </w:r>
    </w:p>
    <w:p>
      <w:pPr>
        <w:spacing w:line="460" w:lineRule="exact"/>
        <w:ind w:firstLine="420" w:firstLineChars="200"/>
        <w:jc w:val="left"/>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）曾因在招标、评标以及其他与招标投标有关活动中从事违法行为而受过行政处罚或刑事处罚的。</w:t>
      </w:r>
    </w:p>
    <w:p>
      <w:pPr>
        <w:autoSpaceDE w:val="0"/>
        <w:autoSpaceDN w:val="0"/>
        <w:adjustRightInd w:val="0"/>
        <w:spacing w:line="460" w:lineRule="exact"/>
        <w:ind w:firstLine="420" w:firstLineChars="200"/>
        <w:jc w:val="left"/>
        <w:rPr>
          <w:rFonts w:ascii="宋体" w:cs="Times New Roman"/>
          <w:b/>
          <w:bCs/>
          <w:color w:val="auto"/>
          <w:highlight w:val="none"/>
        </w:rPr>
      </w:pPr>
      <w:r>
        <w:rPr>
          <w:rFonts w:ascii="宋体" w:hAnsi="宋体" w:cs="宋体"/>
          <w:b/>
          <w:bCs/>
          <w:color w:val="auto"/>
          <w:highlight w:val="none"/>
        </w:rPr>
        <w:t xml:space="preserve">6.2 </w:t>
      </w:r>
      <w:r>
        <w:rPr>
          <w:rFonts w:hint="eastAsia" w:ascii="宋体" w:hAnsi="宋体" w:cs="宋体"/>
          <w:b/>
          <w:bCs/>
          <w:color w:val="auto"/>
          <w:highlight w:val="none"/>
        </w:rPr>
        <w:t>评标办法</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6.2.1 </w:t>
      </w:r>
      <w:r>
        <w:rPr>
          <w:rFonts w:hint="eastAsia" w:ascii="宋体" w:hAnsi="宋体" w:cs="宋体"/>
          <w:color w:val="auto"/>
          <w:kern w:val="0"/>
          <w:highlight w:val="none"/>
        </w:rPr>
        <w:t>评标办法见投标人须知前附表。</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6.2.2 </w:t>
      </w:r>
      <w:r>
        <w:rPr>
          <w:rFonts w:hint="eastAsia" w:ascii="宋体" w:hAnsi="宋体" w:cs="宋体"/>
          <w:color w:val="auto"/>
          <w:kern w:val="0"/>
          <w:highlight w:val="none"/>
        </w:rPr>
        <w:t>评标委员会按照本章第</w:t>
      </w:r>
      <w:r>
        <w:rPr>
          <w:rFonts w:ascii="宋体" w:hAnsi="宋体" w:cs="宋体"/>
          <w:color w:val="auto"/>
          <w:kern w:val="0"/>
          <w:highlight w:val="none"/>
        </w:rPr>
        <w:t>6.2.1</w:t>
      </w:r>
      <w:r>
        <w:rPr>
          <w:rFonts w:hint="eastAsia" w:ascii="宋体" w:hAnsi="宋体" w:cs="宋体"/>
          <w:color w:val="auto"/>
          <w:kern w:val="0"/>
          <w:highlight w:val="none"/>
        </w:rPr>
        <w:t>项规定的评标办法和第三章“评标办法”规定的评标因素、标准和程序对投标文件进行评审。第三章“评标办法”没有规定的评审因素和标准，不作为评标依据。</w:t>
      </w:r>
    </w:p>
    <w:p>
      <w:pPr>
        <w:spacing w:line="460" w:lineRule="exact"/>
        <w:ind w:firstLine="420" w:firstLineChars="200"/>
        <w:rPr>
          <w:rFonts w:ascii="宋体" w:cs="Times New Roman"/>
          <w:color w:val="auto"/>
          <w:kern w:val="0"/>
          <w:highlight w:val="none"/>
        </w:rPr>
      </w:pPr>
      <w:r>
        <w:rPr>
          <w:rFonts w:ascii="宋体" w:hAnsi="宋体" w:cs="宋体"/>
          <w:b/>
          <w:bCs/>
          <w:color w:val="auto"/>
          <w:highlight w:val="none"/>
        </w:rPr>
        <w:t>6.3</w:t>
      </w:r>
      <w:r>
        <w:rPr>
          <w:rFonts w:hint="eastAsia" w:ascii="宋体" w:hAnsi="宋体" w:cs="宋体"/>
          <w:color w:val="auto"/>
          <w:kern w:val="0"/>
          <w:highlight w:val="none"/>
        </w:rPr>
        <w:t>在招标采购中，出现下列情形之一的，应予废标：</w:t>
      </w:r>
    </w:p>
    <w:p>
      <w:pPr>
        <w:spacing w:line="460" w:lineRule="exact"/>
        <w:ind w:firstLine="420" w:firstLineChars="200"/>
        <w:rPr>
          <w:rFonts w:ascii="宋体" w:cs="Times New Roman"/>
          <w:color w:val="auto"/>
          <w:kern w:val="0"/>
          <w:highlight w:val="none"/>
        </w:rPr>
      </w:pPr>
      <w:r>
        <w:rPr>
          <w:rFonts w:ascii="宋体" w:hAnsi="宋体" w:cs="宋体"/>
          <w:color w:val="auto"/>
          <w:kern w:val="0"/>
          <w:highlight w:val="none"/>
        </w:rPr>
        <w:t>6.3.1</w:t>
      </w:r>
      <w:r>
        <w:rPr>
          <w:rFonts w:hint="eastAsia" w:ascii="宋体" w:hAnsi="宋体" w:cs="宋体"/>
          <w:color w:val="auto"/>
          <w:kern w:val="0"/>
          <w:highlight w:val="none"/>
        </w:rPr>
        <w:t>符合专业条件的供应商或者对招标文件作实质响应的投标人不足三家的；</w:t>
      </w:r>
    </w:p>
    <w:p>
      <w:pPr>
        <w:spacing w:line="460" w:lineRule="exact"/>
        <w:ind w:firstLine="420" w:firstLineChars="200"/>
        <w:rPr>
          <w:rFonts w:ascii="宋体" w:cs="Times New Roman"/>
          <w:color w:val="auto"/>
          <w:kern w:val="0"/>
          <w:highlight w:val="none"/>
        </w:rPr>
      </w:pPr>
      <w:r>
        <w:rPr>
          <w:rFonts w:ascii="宋体" w:hAnsi="宋体" w:cs="宋体"/>
          <w:color w:val="auto"/>
          <w:kern w:val="0"/>
          <w:highlight w:val="none"/>
        </w:rPr>
        <w:t>6.3.2</w:t>
      </w:r>
      <w:r>
        <w:rPr>
          <w:rFonts w:hint="eastAsia" w:ascii="宋体" w:hAnsi="宋体" w:cs="宋体"/>
          <w:color w:val="auto"/>
          <w:kern w:val="0"/>
          <w:highlight w:val="none"/>
        </w:rPr>
        <w:t>出现影响采购公正的违法、违规行为的；</w:t>
      </w:r>
    </w:p>
    <w:p>
      <w:pPr>
        <w:spacing w:line="460" w:lineRule="exact"/>
        <w:ind w:firstLine="420" w:firstLineChars="200"/>
        <w:rPr>
          <w:rFonts w:ascii="宋体" w:cs="Times New Roman"/>
          <w:color w:val="auto"/>
          <w:kern w:val="0"/>
          <w:highlight w:val="none"/>
        </w:rPr>
      </w:pPr>
      <w:r>
        <w:rPr>
          <w:rFonts w:ascii="宋体" w:hAnsi="宋体" w:cs="宋体"/>
          <w:color w:val="auto"/>
          <w:kern w:val="0"/>
          <w:highlight w:val="none"/>
        </w:rPr>
        <w:t>6.3.3</w:t>
      </w:r>
      <w:r>
        <w:rPr>
          <w:rFonts w:hint="eastAsia" w:ascii="宋体" w:hAnsi="宋体" w:cs="宋体"/>
          <w:color w:val="auto"/>
          <w:kern w:val="0"/>
          <w:highlight w:val="none"/>
        </w:rPr>
        <w:t>投标人的报价超过了采购控制价，采购人不能支付的；</w:t>
      </w:r>
    </w:p>
    <w:p>
      <w:pPr>
        <w:spacing w:line="460" w:lineRule="exact"/>
        <w:ind w:firstLine="420" w:firstLineChars="200"/>
        <w:rPr>
          <w:rFonts w:ascii="宋体" w:cs="Times New Roman"/>
          <w:color w:val="auto"/>
          <w:kern w:val="0"/>
          <w:highlight w:val="none"/>
        </w:rPr>
      </w:pPr>
      <w:r>
        <w:rPr>
          <w:rFonts w:ascii="宋体" w:hAnsi="宋体" w:cs="宋体"/>
          <w:color w:val="auto"/>
          <w:kern w:val="0"/>
          <w:highlight w:val="none"/>
        </w:rPr>
        <w:t>6.3.4</w:t>
      </w:r>
      <w:r>
        <w:rPr>
          <w:rFonts w:hint="eastAsia" w:ascii="宋体" w:hAnsi="宋体" w:cs="宋体"/>
          <w:color w:val="auto"/>
          <w:kern w:val="0"/>
          <w:highlight w:val="none"/>
        </w:rPr>
        <w:t>因重大变故，采购任务取消的。</w:t>
      </w:r>
    </w:p>
    <w:p>
      <w:pPr>
        <w:spacing w:line="460" w:lineRule="exact"/>
        <w:ind w:firstLine="420" w:firstLineChars="200"/>
        <w:rPr>
          <w:rFonts w:ascii="宋体" w:cs="Times New Roman"/>
          <w:color w:val="auto"/>
          <w:highlight w:val="none"/>
        </w:rPr>
      </w:pPr>
      <w:r>
        <w:rPr>
          <w:rFonts w:ascii="宋体" w:hAnsi="宋体" w:cs="宋体"/>
          <w:b/>
          <w:bCs/>
          <w:color w:val="auto"/>
          <w:highlight w:val="none"/>
        </w:rPr>
        <w:t xml:space="preserve">6.4 </w:t>
      </w:r>
      <w:r>
        <w:rPr>
          <w:rFonts w:hint="eastAsia" w:ascii="宋体" w:hAnsi="宋体" w:cs="宋体"/>
          <w:color w:val="auto"/>
          <w:kern w:val="0"/>
          <w:highlight w:val="none"/>
        </w:rPr>
        <w:t>废标后，除采购任务取消情形外，应当重新组织招标；需要采取其他方式采购的，应当在采购活动开始前获得温县人民政府采购监督管理部门或者政府有关部门批准。</w:t>
      </w:r>
    </w:p>
    <w:p>
      <w:pPr>
        <w:spacing w:line="460" w:lineRule="exact"/>
        <w:ind w:firstLine="420" w:firstLineChars="200"/>
        <w:rPr>
          <w:rFonts w:ascii="宋体" w:cs="Times New Roman"/>
          <w:b/>
          <w:bCs/>
          <w:color w:val="auto"/>
          <w:highlight w:val="none"/>
        </w:rPr>
      </w:pPr>
      <w:r>
        <w:rPr>
          <w:rFonts w:ascii="宋体" w:hAnsi="宋体" w:cs="宋体"/>
          <w:b/>
          <w:bCs/>
          <w:color w:val="auto"/>
          <w:highlight w:val="none"/>
        </w:rPr>
        <w:t xml:space="preserve">6.5 </w:t>
      </w:r>
      <w:r>
        <w:rPr>
          <w:rFonts w:hint="eastAsia" w:ascii="宋体" w:hAnsi="宋体" w:cs="宋体"/>
          <w:b/>
          <w:bCs/>
          <w:color w:val="auto"/>
          <w:highlight w:val="none"/>
        </w:rPr>
        <w:t>纪律和监督</w:t>
      </w:r>
    </w:p>
    <w:p>
      <w:pPr>
        <w:spacing w:line="460" w:lineRule="exact"/>
        <w:ind w:firstLine="420" w:firstLineChars="200"/>
        <w:rPr>
          <w:rFonts w:ascii="宋体" w:cs="Times New Roman"/>
          <w:color w:val="auto"/>
          <w:highlight w:val="none"/>
        </w:rPr>
      </w:pPr>
      <w:r>
        <w:rPr>
          <w:rFonts w:ascii="宋体" w:hAnsi="宋体" w:cs="宋体"/>
          <w:color w:val="auto"/>
          <w:highlight w:val="none"/>
        </w:rPr>
        <w:t>6.5.1</w:t>
      </w:r>
      <w:r>
        <w:rPr>
          <w:rFonts w:hint="eastAsia" w:ascii="宋体" w:hAnsi="宋体" w:cs="宋体"/>
          <w:color w:val="auto"/>
          <w:highlight w:val="none"/>
        </w:rPr>
        <w:t>对采购人的纪律要求。采购人不得泄漏招标投标活动中应当保密的情况和资料，不得与投标人串通损害国家利益、社会公共利益或者他人合法权益。</w:t>
      </w:r>
    </w:p>
    <w:p>
      <w:pPr>
        <w:spacing w:line="460" w:lineRule="exact"/>
        <w:ind w:firstLine="420" w:firstLineChars="200"/>
        <w:rPr>
          <w:rFonts w:ascii="宋体" w:cs="Times New Roman"/>
          <w:color w:val="auto"/>
          <w:highlight w:val="none"/>
        </w:rPr>
      </w:pPr>
      <w:r>
        <w:rPr>
          <w:rFonts w:ascii="宋体" w:hAnsi="宋体" w:cs="宋体"/>
          <w:color w:val="auto"/>
          <w:highlight w:val="none"/>
        </w:rPr>
        <w:t>6.5.2</w:t>
      </w:r>
      <w:r>
        <w:rPr>
          <w:rFonts w:hint="eastAsia" w:ascii="宋体" w:hAnsi="宋体" w:cs="宋体"/>
          <w:color w:val="auto"/>
          <w:highlight w:val="none"/>
        </w:rPr>
        <w:t>对投标人的纪律要求。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60" w:lineRule="exact"/>
        <w:ind w:firstLine="420" w:firstLineChars="200"/>
        <w:rPr>
          <w:rFonts w:ascii="宋体" w:cs="Times New Roman"/>
          <w:color w:val="auto"/>
          <w:highlight w:val="none"/>
        </w:rPr>
      </w:pPr>
      <w:r>
        <w:rPr>
          <w:rFonts w:ascii="宋体" w:hAnsi="宋体" w:cs="宋体"/>
          <w:color w:val="auto"/>
          <w:highlight w:val="none"/>
        </w:rPr>
        <w:t>6.5.3</w:t>
      </w:r>
      <w:r>
        <w:rPr>
          <w:rFonts w:hint="eastAsia" w:ascii="宋体" w:hAnsi="宋体" w:cs="宋体"/>
          <w:color w:val="auto"/>
          <w:kern w:val="0"/>
          <w:highlight w:val="none"/>
        </w:rPr>
        <w:t>对评标委员会成员的纪律要求</w:t>
      </w:r>
      <w:r>
        <w:rPr>
          <w:rFonts w:hint="eastAsia" w:ascii="宋体" w:hAnsi="宋体" w:cs="宋体"/>
          <w:color w:val="auto"/>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ind w:firstLine="420" w:firstLineChars="200"/>
        <w:rPr>
          <w:rFonts w:ascii="宋体" w:cs="Times New Roman"/>
          <w:b/>
          <w:bCs/>
          <w:color w:val="auto"/>
          <w:kern w:val="0"/>
          <w:highlight w:val="none"/>
        </w:rPr>
      </w:pPr>
      <w:r>
        <w:rPr>
          <w:rFonts w:ascii="宋体" w:hAnsi="宋体" w:cs="宋体"/>
          <w:b/>
          <w:bCs/>
          <w:color w:val="auto"/>
          <w:highlight w:val="none"/>
        </w:rPr>
        <w:t>6.5</w:t>
      </w:r>
      <w:r>
        <w:rPr>
          <w:rFonts w:hint="eastAsia" w:ascii="宋体" w:hAnsi="宋体" w:cs="宋体"/>
          <w:b/>
          <w:bCs/>
          <w:color w:val="auto"/>
          <w:kern w:val="0"/>
          <w:highlight w:val="none"/>
        </w:rPr>
        <w:t>对与评标活动有关的工作人员的纪律要求</w:t>
      </w:r>
    </w:p>
    <w:p>
      <w:pPr>
        <w:spacing w:line="460" w:lineRule="exact"/>
        <w:ind w:firstLine="420" w:firstLineChars="200"/>
        <w:rPr>
          <w:rFonts w:ascii="宋体" w:cs="Times New Roman"/>
          <w:color w:val="auto"/>
          <w:highlight w:val="none"/>
        </w:rPr>
      </w:pPr>
      <w:r>
        <w:rPr>
          <w:rFonts w:hint="eastAsia" w:ascii="宋体" w:hAnsi="宋体" w:cs="宋体"/>
          <w:color w:val="auto"/>
          <w:kern w:val="0"/>
          <w:highlight w:val="none"/>
        </w:rPr>
        <w:t>与评标活动有关</w:t>
      </w:r>
      <w:r>
        <w:rPr>
          <w:rFonts w:hint="eastAsia" w:ascii="宋体" w:hAnsi="宋体" w:cs="宋体"/>
          <w:color w:val="auto"/>
          <w:highlight w:val="none"/>
        </w:rPr>
        <w:t>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60" w:lineRule="exact"/>
        <w:ind w:firstLine="420" w:firstLineChars="200"/>
        <w:rPr>
          <w:rFonts w:ascii="宋体" w:cs="Times New Roman"/>
          <w:color w:val="auto"/>
          <w:highlight w:val="none"/>
        </w:rPr>
      </w:pPr>
      <w:r>
        <w:rPr>
          <w:rFonts w:ascii="宋体" w:hAnsi="宋体" w:cs="宋体"/>
          <w:b/>
          <w:bCs/>
          <w:color w:val="auto"/>
          <w:kern w:val="0"/>
          <w:highlight w:val="none"/>
        </w:rPr>
        <w:t xml:space="preserve">6.6 </w:t>
      </w:r>
      <w:r>
        <w:rPr>
          <w:rFonts w:hint="eastAsia" w:ascii="宋体" w:hAnsi="宋体" w:cs="宋体"/>
          <w:b/>
          <w:bCs/>
          <w:color w:val="auto"/>
          <w:kern w:val="0"/>
          <w:highlight w:val="none"/>
        </w:rPr>
        <w:t>中标、成交结果质疑和投诉</w:t>
      </w:r>
    </w:p>
    <w:p>
      <w:pPr>
        <w:spacing w:line="420" w:lineRule="exact"/>
        <w:ind w:firstLine="420" w:firstLineChars="200"/>
        <w:rPr>
          <w:rFonts w:ascii="宋体" w:cs="Times New Roman"/>
          <w:color w:val="auto"/>
          <w:kern w:val="0"/>
          <w:highlight w:val="none"/>
        </w:rPr>
      </w:pPr>
      <w:r>
        <w:rPr>
          <w:rFonts w:hint="eastAsia" w:ascii="宋体" w:hAnsi="宋体" w:cs="宋体"/>
          <w:color w:val="auto"/>
          <w:kern w:val="0"/>
          <w:highlight w:val="none"/>
        </w:rPr>
        <w:t>供应商认为中标、成交结果使自己的权益受到损害的，可以在中标、成交结果发布之日起七个工作日内，以书面形式向采购人或代理机构提出质疑，否则不予受理。</w:t>
      </w:r>
    </w:p>
    <w:p>
      <w:pPr>
        <w:autoSpaceDE w:val="0"/>
        <w:autoSpaceDN w:val="0"/>
        <w:adjustRightInd w:val="0"/>
        <w:spacing w:line="420" w:lineRule="exact"/>
        <w:ind w:firstLine="420" w:firstLineChars="200"/>
        <w:jc w:val="left"/>
        <w:outlineLvl w:val="1"/>
        <w:rPr>
          <w:rFonts w:ascii="宋体" w:cs="Times New Roman"/>
          <w:b/>
          <w:bCs/>
          <w:color w:val="auto"/>
          <w:kern w:val="0"/>
          <w:highlight w:val="none"/>
        </w:rPr>
      </w:pPr>
      <w:bookmarkStart w:id="22" w:name="_Toc28705"/>
      <w:r>
        <w:rPr>
          <w:rFonts w:ascii="宋体" w:hAnsi="宋体" w:cs="宋体"/>
          <w:b/>
          <w:bCs/>
          <w:color w:val="auto"/>
          <w:kern w:val="0"/>
          <w:highlight w:val="none"/>
        </w:rPr>
        <w:t>7</w:t>
      </w:r>
      <w:r>
        <w:rPr>
          <w:rFonts w:ascii="宋体" w:cs="宋体"/>
          <w:b/>
          <w:bCs/>
          <w:color w:val="auto"/>
          <w:kern w:val="0"/>
          <w:highlight w:val="none"/>
        </w:rPr>
        <w:t>.</w:t>
      </w:r>
      <w:r>
        <w:rPr>
          <w:rFonts w:hint="eastAsia" w:ascii="宋体" w:hAnsi="宋体" w:cs="宋体"/>
          <w:b/>
          <w:bCs/>
          <w:color w:val="auto"/>
          <w:kern w:val="0"/>
          <w:highlight w:val="none"/>
        </w:rPr>
        <w:t>合同授予</w:t>
      </w:r>
      <w:bookmarkEnd w:id="22"/>
    </w:p>
    <w:p>
      <w:pPr>
        <w:autoSpaceDE w:val="0"/>
        <w:autoSpaceDN w:val="0"/>
        <w:adjustRightInd w:val="0"/>
        <w:spacing w:line="420" w:lineRule="exact"/>
        <w:ind w:firstLine="420" w:firstLineChars="200"/>
        <w:jc w:val="left"/>
        <w:rPr>
          <w:rFonts w:ascii="宋体" w:cs="Times New Roman"/>
          <w:color w:val="auto"/>
          <w:kern w:val="0"/>
          <w:highlight w:val="none"/>
        </w:rPr>
      </w:pPr>
      <w:r>
        <w:rPr>
          <w:rFonts w:ascii="宋体" w:hAnsi="宋体" w:cs="宋体"/>
          <w:color w:val="auto"/>
          <w:kern w:val="0"/>
          <w:highlight w:val="none"/>
        </w:rPr>
        <w:t>7</w:t>
      </w:r>
      <w:r>
        <w:rPr>
          <w:rFonts w:ascii="宋体" w:hAnsi="宋体" w:cs="宋体"/>
          <w:b/>
          <w:bCs/>
          <w:color w:val="auto"/>
          <w:kern w:val="0"/>
          <w:highlight w:val="none"/>
        </w:rPr>
        <w:t xml:space="preserve">.1 </w:t>
      </w:r>
      <w:r>
        <w:rPr>
          <w:rFonts w:hint="eastAsia" w:ascii="宋体" w:hAnsi="宋体" w:cs="宋体"/>
          <w:b/>
          <w:bCs/>
          <w:color w:val="auto"/>
          <w:kern w:val="0"/>
          <w:highlight w:val="none"/>
        </w:rPr>
        <w:t>中标通知</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在本章第</w:t>
      </w:r>
      <w:r>
        <w:rPr>
          <w:rFonts w:ascii="宋体" w:hAnsi="宋体" w:cs="宋体"/>
          <w:color w:val="auto"/>
          <w:kern w:val="0"/>
          <w:highlight w:val="none"/>
        </w:rPr>
        <w:t>3.4</w:t>
      </w:r>
      <w:r>
        <w:rPr>
          <w:rFonts w:hint="eastAsia" w:ascii="宋体" w:hAnsi="宋体" w:cs="宋体"/>
          <w:color w:val="auto"/>
          <w:kern w:val="0"/>
          <w:highlight w:val="none"/>
        </w:rPr>
        <w:t>款规定的投标有效期内，采购人在指定的政府采购网公布中标结果，并以书面形式向中标人发出中标通知书，同时将中标结果通知未中标的投标人。</w:t>
      </w:r>
    </w:p>
    <w:p>
      <w:pPr>
        <w:autoSpaceDE w:val="0"/>
        <w:autoSpaceDN w:val="0"/>
        <w:adjustRightInd w:val="0"/>
        <w:spacing w:line="42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 xml:space="preserve">7.2 </w:t>
      </w:r>
      <w:r>
        <w:rPr>
          <w:rFonts w:hint="eastAsia" w:ascii="宋体" w:hAnsi="宋体" w:cs="宋体"/>
          <w:b/>
          <w:bCs/>
          <w:color w:val="auto"/>
          <w:kern w:val="0"/>
          <w:highlight w:val="none"/>
        </w:rPr>
        <w:t>签订合同</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ascii="宋体" w:hAnsi="宋体" w:cs="宋体"/>
          <w:color w:val="auto"/>
          <w:kern w:val="0"/>
          <w:highlight w:val="none"/>
        </w:rPr>
        <w:t xml:space="preserve">7.2.1 </w:t>
      </w:r>
      <w:r>
        <w:rPr>
          <w:rFonts w:hint="eastAsia" w:ascii="宋体" w:hAnsi="宋体" w:cs="宋体"/>
          <w:color w:val="auto"/>
          <w:kern w:val="0"/>
          <w:highlight w:val="none"/>
        </w:rPr>
        <w:t>采购人和中标人应当自中标通知书发出之日起</w:t>
      </w:r>
      <w:r>
        <w:rPr>
          <w:rFonts w:ascii="宋体" w:hAnsi="宋体" w:cs="宋体"/>
          <w:color w:val="auto"/>
          <w:kern w:val="0"/>
          <w:highlight w:val="none"/>
        </w:rPr>
        <w:t>30</w:t>
      </w:r>
      <w:r>
        <w:rPr>
          <w:rFonts w:hint="eastAsia" w:ascii="宋体" w:hAnsi="宋体" w:cs="宋体"/>
          <w:color w:val="auto"/>
          <w:kern w:val="0"/>
          <w:highlight w:val="none"/>
        </w:rPr>
        <w:t>天内，根据招标文件和中标人的投标文件订立书面合同。中标人无正当理由拒签合同的，采购人取消其中标资格。给采购人造成损失的，应当对采购人的损失予以赔偿。</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ascii="宋体" w:hAnsi="宋体" w:cs="宋体"/>
          <w:color w:val="auto"/>
          <w:kern w:val="0"/>
          <w:highlight w:val="none"/>
        </w:rPr>
        <w:t>7.2.2</w:t>
      </w:r>
      <w:r>
        <w:rPr>
          <w:rFonts w:hint="eastAsia" w:ascii="宋体" w:hAnsi="宋体" w:cs="宋体"/>
          <w:color w:val="auto"/>
          <w:kern w:val="0"/>
          <w:highlight w:val="none"/>
        </w:rPr>
        <w:t>发出中标通知书后，采购人无正当理由拒签合同，给中标人造成损失的，还应当赔偿损失。</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ascii="宋体" w:hAnsi="宋体" w:cs="宋体"/>
          <w:b/>
          <w:bCs/>
          <w:color w:val="auto"/>
          <w:kern w:val="0"/>
          <w:highlight w:val="none"/>
        </w:rPr>
        <w:t xml:space="preserve">7.3 </w:t>
      </w:r>
      <w:r>
        <w:rPr>
          <w:rFonts w:hint="eastAsia" w:ascii="宋体" w:hAnsi="宋体" w:cs="宋体"/>
          <w:b/>
          <w:bCs/>
          <w:color w:val="auto"/>
          <w:kern w:val="0"/>
          <w:highlight w:val="none"/>
        </w:rPr>
        <w:t>付款方式：</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付款办法按第五章“合同条款”约定执行。</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ascii="宋体" w:hAnsi="宋体" w:cs="宋体"/>
          <w:color w:val="auto"/>
          <w:kern w:val="0"/>
          <w:highlight w:val="none"/>
        </w:rPr>
        <w:t>8.</w:t>
      </w:r>
      <w:r>
        <w:rPr>
          <w:rFonts w:hint="eastAsia" w:ascii="宋体" w:hAnsi="宋体" w:cs="宋体"/>
          <w:color w:val="auto"/>
          <w:kern w:val="0"/>
          <w:highlight w:val="none"/>
        </w:rPr>
        <w:t>需要落实的政府采购政策</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ascii="宋体" w:hAnsi="宋体" w:cs="宋体"/>
          <w:color w:val="auto"/>
          <w:kern w:val="0"/>
          <w:highlight w:val="none"/>
        </w:rPr>
        <w:t>8.1</w:t>
      </w:r>
      <w:r>
        <w:rPr>
          <w:rFonts w:hint="eastAsia" w:ascii="宋体" w:hAnsi="宋体" w:cs="宋体"/>
          <w:color w:val="auto"/>
          <w:kern w:val="0"/>
          <w:highlight w:val="none"/>
        </w:rPr>
        <w:t>促进中小型企业发展，必须执行财政部、工信部印发的《政府采购促进中小型企业发展暂行办法》，对小型和微型企业的报价给予</w:t>
      </w:r>
      <w:r>
        <w:rPr>
          <w:rFonts w:ascii="宋体" w:hAnsi="宋体" w:cs="宋体"/>
          <w:color w:val="auto"/>
          <w:kern w:val="0"/>
          <w:highlight w:val="none"/>
        </w:rPr>
        <w:t>6%-10%</w:t>
      </w:r>
      <w:r>
        <w:rPr>
          <w:rFonts w:hint="eastAsia" w:ascii="宋体" w:hAnsi="宋体" w:cs="宋体"/>
          <w:color w:val="auto"/>
          <w:kern w:val="0"/>
          <w:highlight w:val="none"/>
        </w:rPr>
        <w:t>的扣除（监狱企业、残疾人福利性企业视同小型、微型企业），用扣除后的价格参与评审，参加政府采购活动的中小企业应当提供《中小企业声明函》、残疾人福利性企业应提供残疾人福利性单位声明函，未填写中小企业声明函的在评标过程中不予认可。中标人如为小型和微型企业的，并在投标时填写了中小企业声明函，则需要在领取中标通知书时提供由相关政府部门出具的企业划型认定材料，若不能提供或提供的材料与谈判时做出的声明不符，采购人有权取消该中标人的中标资格，并对因其造成的损失进行追责。</w:t>
      </w:r>
    </w:p>
    <w:p>
      <w:pPr>
        <w:autoSpaceDE w:val="0"/>
        <w:autoSpaceDN w:val="0"/>
        <w:adjustRightInd w:val="0"/>
        <w:spacing w:line="420" w:lineRule="exact"/>
        <w:ind w:firstLine="420" w:firstLineChars="200"/>
        <w:jc w:val="left"/>
        <w:rPr>
          <w:rFonts w:ascii="宋体" w:cs="Times New Roman"/>
          <w:color w:val="auto"/>
          <w:kern w:val="0"/>
          <w:highlight w:val="none"/>
        </w:rPr>
      </w:pPr>
      <w:r>
        <w:rPr>
          <w:rFonts w:ascii="宋体" w:hAnsi="宋体" w:cs="宋体"/>
          <w:color w:val="auto"/>
          <w:kern w:val="0"/>
          <w:highlight w:val="none"/>
        </w:rPr>
        <w:t>8.2</w:t>
      </w:r>
      <w:r>
        <w:rPr>
          <w:rFonts w:hint="eastAsia" w:ascii="宋体" w:hAnsi="宋体" w:cs="宋体"/>
          <w:color w:val="auto"/>
          <w:kern w:val="0"/>
          <w:highlight w:val="none"/>
        </w:rPr>
        <w:t>开源节流，执行低价优先的采购政策规定。</w:t>
      </w:r>
    </w:p>
    <w:p>
      <w:pPr>
        <w:numPr>
          <w:ilvl w:val="0"/>
          <w:numId w:val="7"/>
        </w:numPr>
        <w:autoSpaceDE w:val="0"/>
        <w:autoSpaceDN w:val="0"/>
        <w:adjustRightInd w:val="0"/>
        <w:spacing w:line="420" w:lineRule="exact"/>
        <w:ind w:firstLine="420" w:firstLineChars="200"/>
        <w:outlineLvl w:val="1"/>
        <w:rPr>
          <w:rFonts w:ascii="宋体" w:cs="Times New Roman"/>
          <w:b/>
          <w:bCs/>
          <w:color w:val="auto"/>
          <w:kern w:val="0"/>
          <w:highlight w:val="none"/>
        </w:rPr>
      </w:pPr>
      <w:bookmarkStart w:id="23" w:name="_Toc733"/>
      <w:r>
        <w:rPr>
          <w:rFonts w:hint="eastAsia" w:ascii="宋体" w:hAnsi="宋体" w:cs="宋体"/>
          <w:b/>
          <w:bCs/>
          <w:color w:val="auto"/>
          <w:kern w:val="0"/>
          <w:highlight w:val="none"/>
        </w:rPr>
        <w:t>需要补充的其他内容</w:t>
      </w:r>
      <w:bookmarkEnd w:id="23"/>
    </w:p>
    <w:p>
      <w:pPr>
        <w:autoSpaceDE w:val="0"/>
        <w:autoSpaceDN w:val="0"/>
        <w:adjustRightInd w:val="0"/>
        <w:spacing w:line="420" w:lineRule="exact"/>
        <w:ind w:firstLine="420" w:firstLineChars="200"/>
        <w:rPr>
          <w:rFonts w:ascii="宋体" w:cs="Times New Roman"/>
          <w:color w:val="auto"/>
          <w:kern w:val="0"/>
          <w:highlight w:val="none"/>
        </w:rPr>
      </w:pPr>
      <w:r>
        <w:rPr>
          <w:rFonts w:ascii="宋体" w:hAnsi="宋体" w:cs="宋体"/>
          <w:b/>
          <w:bCs/>
          <w:color w:val="auto"/>
          <w:kern w:val="0"/>
          <w:highlight w:val="none"/>
        </w:rPr>
        <w:t>9.1</w:t>
      </w:r>
      <w:r>
        <w:rPr>
          <w:rFonts w:hint="eastAsia" w:ascii="宋体" w:hAnsi="宋体" w:cs="宋体"/>
          <w:b/>
          <w:bCs/>
          <w:color w:val="auto"/>
          <w:kern w:val="0"/>
          <w:highlight w:val="none"/>
        </w:rPr>
        <w:t>费用承担</w:t>
      </w:r>
    </w:p>
    <w:p>
      <w:pPr>
        <w:autoSpaceDE w:val="0"/>
        <w:autoSpaceDN w:val="0"/>
        <w:adjustRightInd w:val="0"/>
        <w:spacing w:line="460" w:lineRule="exact"/>
        <w:ind w:firstLine="420" w:firstLineChars="200"/>
        <w:jc w:val="left"/>
        <w:rPr>
          <w:rFonts w:ascii="宋体" w:cs="Times New Roman"/>
          <w:color w:val="auto"/>
          <w:highlight w:val="none"/>
        </w:rPr>
      </w:pPr>
      <w:r>
        <w:rPr>
          <w:rFonts w:hint="eastAsia" w:ascii="宋体" w:hAnsi="宋体" w:cs="宋体"/>
          <w:color w:val="auto"/>
          <w:highlight w:val="none"/>
        </w:rPr>
        <w:t>无论投标过程中的作法和结果如何，投标人应自行承担所有参与投标有关的全部费用，采购人和招标代理机构在任何情况下均无义务和责任承担上述费用。</w:t>
      </w:r>
    </w:p>
    <w:p>
      <w:pPr>
        <w:autoSpaceDE w:val="0"/>
        <w:autoSpaceDN w:val="0"/>
        <w:adjustRightInd w:val="0"/>
        <w:spacing w:line="460" w:lineRule="exact"/>
        <w:ind w:firstLine="420" w:firstLineChars="200"/>
        <w:jc w:val="left"/>
        <w:rPr>
          <w:rFonts w:ascii="宋体" w:cs="Times New Roman"/>
          <w:color w:val="auto"/>
          <w:highlight w:val="none"/>
        </w:rPr>
      </w:pPr>
      <w:r>
        <w:rPr>
          <w:rFonts w:hint="eastAsia" w:ascii="宋体" w:hAnsi="宋体" w:cs="宋体"/>
          <w:color w:val="auto"/>
          <w:highlight w:val="none"/>
        </w:rPr>
        <w:t>招标代理服务费由中标人支付</w:t>
      </w:r>
    </w:p>
    <w:p>
      <w:pPr>
        <w:spacing w:line="460" w:lineRule="exact"/>
        <w:ind w:firstLine="420" w:firstLineChars="200"/>
        <w:jc w:val="left"/>
        <w:rPr>
          <w:rFonts w:ascii="宋体" w:cs="Times New Roman"/>
          <w:b/>
          <w:bCs/>
          <w:color w:val="auto"/>
          <w:kern w:val="0"/>
          <w:highlight w:val="none"/>
        </w:rPr>
      </w:pPr>
      <w:r>
        <w:rPr>
          <w:rFonts w:ascii="宋体" w:hAnsi="宋体" w:cs="宋体"/>
          <w:b/>
          <w:bCs/>
          <w:color w:val="auto"/>
          <w:kern w:val="0"/>
          <w:highlight w:val="none"/>
        </w:rPr>
        <w:t>9.2</w:t>
      </w:r>
      <w:r>
        <w:rPr>
          <w:rFonts w:hint="eastAsia" w:ascii="宋体" w:hAnsi="宋体" w:cs="宋体"/>
          <w:b/>
          <w:bCs/>
          <w:color w:val="auto"/>
          <w:kern w:val="0"/>
          <w:highlight w:val="none"/>
        </w:rPr>
        <w:t>解释权</w:t>
      </w:r>
    </w:p>
    <w:p>
      <w:pPr>
        <w:autoSpaceDE w:val="0"/>
        <w:autoSpaceDN w:val="0"/>
        <w:adjustRightInd w:val="0"/>
        <w:spacing w:line="460" w:lineRule="exact"/>
        <w:ind w:firstLine="420" w:firstLineChars="200"/>
        <w:jc w:val="left"/>
        <w:rPr>
          <w:rFonts w:ascii="宋体" w:cs="Times New Roman"/>
          <w:color w:val="auto"/>
          <w:kern w:val="0"/>
          <w:highlight w:val="none"/>
        </w:rPr>
      </w:pPr>
      <w:r>
        <w:rPr>
          <w:rFonts w:hint="eastAsia" w:ascii="宋体" w:hAnsi="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autoSpaceDE w:val="0"/>
        <w:autoSpaceDN w:val="0"/>
        <w:adjustRightInd w:val="0"/>
        <w:spacing w:line="460" w:lineRule="exact"/>
        <w:ind w:firstLine="420" w:firstLineChars="200"/>
        <w:rPr>
          <w:rFonts w:ascii="宋体" w:cs="Times New Roman"/>
          <w:b/>
          <w:bCs/>
          <w:color w:val="auto"/>
          <w:kern w:val="0"/>
          <w:highlight w:val="none"/>
        </w:rPr>
      </w:pPr>
      <w:r>
        <w:rPr>
          <w:rFonts w:ascii="宋体" w:hAnsi="宋体" w:cs="宋体"/>
          <w:b/>
          <w:bCs/>
          <w:color w:val="auto"/>
          <w:kern w:val="0"/>
          <w:highlight w:val="none"/>
        </w:rPr>
        <w:t>9.3</w:t>
      </w:r>
      <w:r>
        <w:rPr>
          <w:rFonts w:hint="eastAsia" w:ascii="宋体" w:hAnsi="宋体" w:cs="宋体"/>
          <w:b/>
          <w:bCs/>
          <w:color w:val="auto"/>
          <w:kern w:val="0"/>
          <w:highlight w:val="none"/>
        </w:rPr>
        <w:t>本招标文件未尽事宜，按《中华人民共和国政府采购法》等法律法规的有关规定执行。</w:t>
      </w:r>
    </w:p>
    <w:p>
      <w:pPr>
        <w:pStyle w:val="3"/>
        <w:spacing w:line="440" w:lineRule="exact"/>
        <w:jc w:val="both"/>
        <w:rPr>
          <w:rFonts w:ascii="宋体" w:eastAsia="宋体" w:cs="Times New Roman"/>
          <w:color w:val="auto"/>
          <w:highlight w:val="none"/>
        </w:rPr>
      </w:pPr>
      <w:bookmarkStart w:id="24" w:name="_Toc26480"/>
    </w:p>
    <w:p>
      <w:pPr>
        <w:pStyle w:val="3"/>
        <w:spacing w:line="440" w:lineRule="exact"/>
        <w:rPr>
          <w:rFonts w:ascii="宋体" w:eastAsia="宋体" w:cs="Times New Roman"/>
          <w:color w:val="auto"/>
          <w:highlight w:val="none"/>
        </w:rPr>
      </w:pPr>
    </w:p>
    <w:p>
      <w:pPr>
        <w:pStyle w:val="3"/>
        <w:spacing w:line="440" w:lineRule="exact"/>
        <w:rPr>
          <w:rFonts w:ascii="宋体" w:eastAsia="宋体" w:cs="Times New Roman"/>
          <w:color w:val="auto"/>
          <w:highlight w:val="none"/>
        </w:rPr>
      </w:pPr>
    </w:p>
    <w:p>
      <w:pPr>
        <w:pStyle w:val="3"/>
        <w:spacing w:line="440" w:lineRule="exact"/>
        <w:rPr>
          <w:rFonts w:ascii="宋体" w:eastAsia="宋体" w:cs="Times New Roman"/>
          <w:color w:val="auto"/>
          <w:highlight w:val="none"/>
        </w:rPr>
      </w:pPr>
    </w:p>
    <w:p>
      <w:pPr>
        <w:pStyle w:val="3"/>
        <w:spacing w:line="440" w:lineRule="exact"/>
        <w:rPr>
          <w:rFonts w:ascii="宋体" w:eastAsia="宋体" w:cs="Times New Roman"/>
          <w:color w:val="auto"/>
          <w:highlight w:val="none"/>
        </w:rPr>
      </w:pPr>
    </w:p>
    <w:p>
      <w:pPr>
        <w:rPr>
          <w:rFonts w:cs="Times New Roman"/>
          <w:color w:val="auto"/>
          <w:highlight w:val="none"/>
        </w:rPr>
      </w:pPr>
    </w:p>
    <w:p>
      <w:pPr>
        <w:rPr>
          <w:rFonts w:cs="Times New Roman"/>
          <w:color w:val="auto"/>
          <w:highlight w:val="none"/>
        </w:rPr>
      </w:pPr>
    </w:p>
    <w:p>
      <w:pPr>
        <w:pStyle w:val="3"/>
        <w:spacing w:line="440" w:lineRule="exact"/>
        <w:jc w:val="both"/>
        <w:rPr>
          <w:rFonts w:ascii="宋体" w:eastAsia="宋体" w:cs="Times New Roman"/>
          <w:color w:val="auto"/>
          <w:highlight w:val="none"/>
        </w:rPr>
      </w:pPr>
    </w:p>
    <w:p>
      <w:pPr>
        <w:pStyle w:val="3"/>
        <w:spacing w:line="440" w:lineRule="exact"/>
        <w:rPr>
          <w:rFonts w:ascii="宋体" w:eastAsia="宋体" w:cs="Times New Roman"/>
          <w:color w:val="auto"/>
          <w:sz w:val="32"/>
          <w:szCs w:val="32"/>
          <w:highlight w:val="none"/>
        </w:rPr>
      </w:pPr>
      <w:bookmarkStart w:id="25" w:name="_Toc25996"/>
      <w:r>
        <w:rPr>
          <w:rFonts w:hint="eastAsia" w:ascii="宋体" w:hAnsi="宋体"/>
          <w:color w:val="auto"/>
          <w:sz w:val="32"/>
          <w:szCs w:val="32"/>
          <w:highlight w:val="none"/>
        </w:rPr>
        <w:t>第三章评标方法</w:t>
      </w:r>
      <w:bookmarkEnd w:id="24"/>
      <w:bookmarkEnd w:id="25"/>
    </w:p>
    <w:p>
      <w:pPr>
        <w:pStyle w:val="4"/>
        <w:spacing w:line="440" w:lineRule="exact"/>
        <w:jc w:val="both"/>
        <w:rPr>
          <w:rFonts w:ascii="宋体" w:cs="Times New Roman"/>
          <w:color w:val="auto"/>
          <w:sz w:val="28"/>
          <w:szCs w:val="28"/>
          <w:highlight w:val="none"/>
        </w:rPr>
      </w:pPr>
      <w:bookmarkStart w:id="26" w:name="_Toc388541206"/>
      <w:bookmarkStart w:id="27" w:name="_Toc14734"/>
      <w:bookmarkStart w:id="28" w:name="_Toc13193"/>
      <w:bookmarkStart w:id="29" w:name="_Toc19710"/>
      <w:bookmarkStart w:id="30" w:name="_Toc5192"/>
      <w:r>
        <w:rPr>
          <w:rFonts w:ascii="宋体" w:cs="宋体"/>
          <w:color w:val="auto"/>
          <w:sz w:val="28"/>
          <w:szCs w:val="28"/>
          <w:highlight w:val="none"/>
        </w:rPr>
        <w:t>1.</w:t>
      </w:r>
      <w:r>
        <w:rPr>
          <w:rFonts w:hint="eastAsia" w:ascii="宋体" w:cs="宋体"/>
          <w:color w:val="auto"/>
          <w:sz w:val="28"/>
          <w:szCs w:val="28"/>
          <w:highlight w:val="none"/>
        </w:rPr>
        <w:t>评标准则和评标方法</w:t>
      </w:r>
      <w:bookmarkEnd w:id="26"/>
      <w:bookmarkEnd w:id="27"/>
      <w:bookmarkEnd w:id="28"/>
      <w:bookmarkEnd w:id="29"/>
    </w:p>
    <w:p>
      <w:pPr>
        <w:autoSpaceDE w:val="0"/>
        <w:autoSpaceDN w:val="0"/>
        <w:adjustRightInd w:val="0"/>
        <w:spacing w:line="360" w:lineRule="exact"/>
        <w:ind w:firstLine="420" w:firstLineChars="200"/>
        <w:rPr>
          <w:rFonts w:ascii="宋体" w:cs="Times New Roman"/>
          <w:color w:val="auto"/>
          <w:highlight w:val="none"/>
        </w:rPr>
      </w:pPr>
      <w:bookmarkStart w:id="31" w:name="_Toc4231"/>
      <w:bookmarkStart w:id="32" w:name="_Toc9035"/>
      <w:bookmarkStart w:id="33" w:name="_Toc27273"/>
      <w:bookmarkStart w:id="34" w:name="_Toc28161"/>
      <w:bookmarkStart w:id="35" w:name="_Toc380581853"/>
      <w:bookmarkStart w:id="36" w:name="_Toc388541207"/>
      <w:bookmarkStart w:id="37" w:name="_Toc371425843"/>
      <w:bookmarkStart w:id="38" w:name="_Toc371423272"/>
      <w:r>
        <w:rPr>
          <w:rFonts w:ascii="宋体" w:hAnsi="宋体" w:cs="宋体"/>
          <w:color w:val="auto"/>
          <w:highlight w:val="none"/>
        </w:rPr>
        <w:t xml:space="preserve">1.1  </w:t>
      </w:r>
      <w:r>
        <w:rPr>
          <w:rFonts w:hint="eastAsia" w:ascii="宋体" w:hAnsi="宋体" w:cs="宋体"/>
          <w:color w:val="auto"/>
          <w:highlight w:val="none"/>
        </w:rPr>
        <w:t>评标过程将遵循“公平、公正、科学、择优”的原则进行。</w:t>
      </w:r>
    </w:p>
    <w:p>
      <w:pPr>
        <w:autoSpaceDE w:val="0"/>
        <w:autoSpaceDN w:val="0"/>
        <w:adjustRightInd w:val="0"/>
        <w:spacing w:line="360" w:lineRule="exact"/>
        <w:ind w:firstLine="420" w:firstLineChars="200"/>
        <w:rPr>
          <w:rFonts w:ascii="宋体" w:cs="Times New Roman"/>
          <w:color w:val="auto"/>
          <w:kern w:val="0"/>
          <w:highlight w:val="none"/>
        </w:rPr>
      </w:pPr>
      <w:r>
        <w:rPr>
          <w:rFonts w:ascii="宋体" w:hAnsi="宋体" w:cs="宋体"/>
          <w:color w:val="auto"/>
          <w:highlight w:val="none"/>
        </w:rPr>
        <w:t xml:space="preserve">1.2  </w:t>
      </w:r>
      <w:r>
        <w:rPr>
          <w:rFonts w:hint="eastAsia" w:ascii="宋体" w:hAnsi="宋体" w:cs="宋体"/>
          <w:color w:val="auto"/>
          <w:highlight w:val="none"/>
        </w:rPr>
        <w:t>评标将严格按照招标文</w:t>
      </w:r>
      <w:r>
        <w:rPr>
          <w:rFonts w:hint="eastAsia" w:ascii="宋体" w:hAnsi="宋体" w:cs="宋体"/>
          <w:color w:val="auto"/>
          <w:kern w:val="0"/>
          <w:highlight w:val="none"/>
        </w:rPr>
        <w:t>件的要求和条件进行。</w:t>
      </w:r>
    </w:p>
    <w:p>
      <w:pPr>
        <w:autoSpaceDE w:val="0"/>
        <w:autoSpaceDN w:val="0"/>
        <w:adjustRightInd w:val="0"/>
        <w:spacing w:line="360" w:lineRule="exact"/>
        <w:ind w:firstLine="420" w:firstLineChars="200"/>
        <w:rPr>
          <w:rFonts w:ascii="宋体" w:cs="Times New Roman"/>
          <w:b/>
          <w:bCs/>
          <w:color w:val="auto"/>
          <w:highlight w:val="none"/>
        </w:rPr>
      </w:pPr>
      <w:r>
        <w:rPr>
          <w:rFonts w:ascii="宋体" w:hAnsi="宋体" w:cs="宋体"/>
          <w:color w:val="auto"/>
          <w:highlight w:val="none"/>
        </w:rPr>
        <w:t xml:space="preserve">1.3  </w:t>
      </w:r>
      <w:r>
        <w:rPr>
          <w:rFonts w:hint="eastAsia" w:ascii="宋体" w:hAnsi="宋体" w:cs="宋体"/>
          <w:color w:val="auto"/>
          <w:highlight w:val="none"/>
        </w:rPr>
        <w:t>本次评标采用综合评分法。</w:t>
      </w:r>
    </w:p>
    <w:p>
      <w:pPr>
        <w:pStyle w:val="4"/>
        <w:spacing w:line="440" w:lineRule="exact"/>
        <w:jc w:val="both"/>
        <w:rPr>
          <w:rFonts w:ascii="宋体" w:cs="Times New Roman"/>
          <w:color w:val="auto"/>
          <w:sz w:val="28"/>
          <w:szCs w:val="28"/>
          <w:highlight w:val="none"/>
        </w:rPr>
      </w:pPr>
      <w:bookmarkStart w:id="39" w:name="_Toc21348"/>
      <w:bookmarkStart w:id="40" w:name="_Toc25670"/>
      <w:r>
        <w:rPr>
          <w:rFonts w:ascii="宋体" w:cs="宋体"/>
          <w:color w:val="auto"/>
          <w:sz w:val="28"/>
          <w:szCs w:val="28"/>
          <w:highlight w:val="none"/>
        </w:rPr>
        <w:t>2.</w:t>
      </w:r>
      <w:r>
        <w:rPr>
          <w:rFonts w:hint="eastAsia" w:ascii="宋体" w:cs="宋体"/>
          <w:color w:val="auto"/>
          <w:sz w:val="28"/>
          <w:szCs w:val="28"/>
          <w:highlight w:val="none"/>
        </w:rPr>
        <w:t>评审标准</w:t>
      </w:r>
      <w:bookmarkEnd w:id="31"/>
      <w:bookmarkEnd w:id="32"/>
      <w:bookmarkEnd w:id="33"/>
      <w:bookmarkEnd w:id="34"/>
      <w:bookmarkEnd w:id="35"/>
      <w:bookmarkEnd w:id="36"/>
      <w:bookmarkEnd w:id="37"/>
      <w:bookmarkEnd w:id="38"/>
      <w:bookmarkEnd w:id="39"/>
      <w:bookmarkEnd w:id="40"/>
    </w:p>
    <w:tbl>
      <w:tblPr>
        <w:tblStyle w:val="23"/>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632"/>
        <w:gridCol w:w="1924"/>
        <w:gridCol w:w="1134"/>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139" w:type="dxa"/>
            <w:vAlign w:val="center"/>
          </w:tcPr>
          <w:p>
            <w:pPr>
              <w:spacing w:line="440" w:lineRule="exact"/>
              <w:jc w:val="center"/>
              <w:rPr>
                <w:rFonts w:ascii="宋体" w:cs="Times New Roman"/>
                <w:b/>
                <w:bCs/>
                <w:color w:val="auto"/>
                <w:highlight w:val="none"/>
              </w:rPr>
            </w:pPr>
            <w:r>
              <w:rPr>
                <w:rFonts w:hint="eastAsia" w:ascii="宋体" w:hAnsi="宋体" w:cs="宋体"/>
                <w:b/>
                <w:bCs/>
                <w:color w:val="auto"/>
                <w:kern w:val="0"/>
                <w:highlight w:val="none"/>
              </w:rPr>
              <w:t>审查主体</w:t>
            </w:r>
          </w:p>
        </w:tc>
        <w:tc>
          <w:tcPr>
            <w:tcW w:w="3690" w:type="dxa"/>
            <w:gridSpan w:val="3"/>
            <w:vAlign w:val="center"/>
          </w:tcPr>
          <w:p>
            <w:pPr>
              <w:spacing w:line="440" w:lineRule="exact"/>
              <w:jc w:val="center"/>
              <w:rPr>
                <w:rFonts w:ascii="宋体" w:cs="Times New Roman"/>
                <w:b/>
                <w:bCs/>
                <w:color w:val="auto"/>
                <w:highlight w:val="none"/>
              </w:rPr>
            </w:pPr>
            <w:r>
              <w:rPr>
                <w:rFonts w:hint="eastAsia" w:ascii="宋体" w:hAnsi="宋体" w:cs="宋体"/>
                <w:b/>
                <w:bCs/>
                <w:color w:val="auto"/>
                <w:highlight w:val="none"/>
              </w:rPr>
              <w:t>评审因素</w:t>
            </w:r>
          </w:p>
        </w:tc>
        <w:tc>
          <w:tcPr>
            <w:tcW w:w="5111" w:type="dxa"/>
            <w:vAlign w:val="center"/>
          </w:tcPr>
          <w:p>
            <w:pPr>
              <w:spacing w:line="440" w:lineRule="exact"/>
              <w:jc w:val="center"/>
              <w:rPr>
                <w:rFonts w:ascii="宋体" w:cs="Times New Roman"/>
                <w:b/>
                <w:bCs/>
                <w:color w:val="auto"/>
                <w:highlight w:val="none"/>
              </w:rPr>
            </w:pPr>
            <w:r>
              <w:rPr>
                <w:rFonts w:hint="eastAsia" w:ascii="宋体" w:hAnsi="宋体" w:cs="宋体"/>
                <w:b/>
                <w:bCs/>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exact"/>
          <w:jc w:val="center"/>
        </w:trPr>
        <w:tc>
          <w:tcPr>
            <w:tcW w:w="1139" w:type="dxa"/>
            <w:vMerge w:val="restart"/>
            <w:vAlign w:val="center"/>
          </w:tcPr>
          <w:p>
            <w:pPr>
              <w:spacing w:line="440" w:lineRule="exact"/>
              <w:jc w:val="center"/>
              <w:rPr>
                <w:rFonts w:ascii="宋体" w:cs="Times New Roman"/>
                <w:color w:val="auto"/>
                <w:highlight w:val="none"/>
              </w:rPr>
            </w:pPr>
            <w:r>
              <w:rPr>
                <w:rFonts w:hint="eastAsia" w:ascii="宋体" w:hAnsi="宋体" w:cs="宋体"/>
                <w:color w:val="auto"/>
                <w:highlight w:val="none"/>
              </w:rPr>
              <w:t>资格审查小组</w:t>
            </w:r>
          </w:p>
        </w:tc>
        <w:tc>
          <w:tcPr>
            <w:tcW w:w="632" w:type="dxa"/>
            <w:vMerge w:val="restart"/>
            <w:vAlign w:val="center"/>
          </w:tcPr>
          <w:p>
            <w:pPr>
              <w:spacing w:line="440" w:lineRule="exact"/>
              <w:rPr>
                <w:rFonts w:ascii="宋体" w:cs="Times New Roman"/>
                <w:color w:val="auto"/>
                <w:highlight w:val="none"/>
              </w:rPr>
            </w:pPr>
            <w:r>
              <w:rPr>
                <w:rFonts w:hint="eastAsia" w:ascii="宋体" w:hAnsi="宋体" w:cs="宋体"/>
                <w:color w:val="auto"/>
                <w:highlight w:val="none"/>
              </w:rPr>
              <w:t>资格</w:t>
            </w:r>
          </w:p>
          <w:p>
            <w:pPr>
              <w:spacing w:line="440" w:lineRule="exact"/>
              <w:rPr>
                <w:rFonts w:ascii="宋体" w:cs="Times New Roman"/>
                <w:color w:val="auto"/>
                <w:highlight w:val="none"/>
              </w:rPr>
            </w:pPr>
            <w:r>
              <w:rPr>
                <w:rFonts w:hint="eastAsia" w:ascii="宋体" w:hAnsi="宋体" w:cs="宋体"/>
                <w:color w:val="auto"/>
                <w:highlight w:val="none"/>
              </w:rPr>
              <w:t>评审</w:t>
            </w:r>
          </w:p>
          <w:p>
            <w:pPr>
              <w:spacing w:line="440" w:lineRule="exact"/>
              <w:rPr>
                <w:rFonts w:ascii="宋体" w:cs="Times New Roman"/>
                <w:color w:val="auto"/>
                <w:highlight w:val="none"/>
              </w:rPr>
            </w:pPr>
            <w:r>
              <w:rPr>
                <w:rFonts w:hint="eastAsia" w:ascii="宋体" w:hAnsi="宋体" w:cs="宋体"/>
                <w:color w:val="auto"/>
                <w:highlight w:val="none"/>
              </w:rPr>
              <w:t>标准</w:t>
            </w:r>
          </w:p>
          <w:p>
            <w:pPr>
              <w:spacing w:line="440" w:lineRule="exact"/>
              <w:jc w:val="center"/>
              <w:rPr>
                <w:rFonts w:ascii="宋体" w:cs="Times New Roman"/>
                <w:color w:val="auto"/>
                <w:highlight w:val="none"/>
              </w:rPr>
            </w:pPr>
          </w:p>
        </w:tc>
        <w:tc>
          <w:tcPr>
            <w:tcW w:w="3058" w:type="dxa"/>
            <w:gridSpan w:val="2"/>
            <w:vAlign w:val="center"/>
          </w:tcPr>
          <w:p>
            <w:pPr>
              <w:spacing w:line="400" w:lineRule="exact"/>
              <w:jc w:val="center"/>
              <w:rPr>
                <w:rFonts w:ascii="宋体" w:cs="Times New Roman"/>
                <w:color w:val="auto"/>
                <w:highlight w:val="none"/>
              </w:rPr>
            </w:pPr>
            <w:r>
              <w:rPr>
                <w:rFonts w:hint="eastAsia" w:ascii="宋体" w:hAnsi="宋体" w:cs="宋体"/>
                <w:b/>
                <w:bCs/>
                <w:color w:val="auto"/>
                <w:highlight w:val="none"/>
              </w:rPr>
              <w:t>《</w:t>
            </w:r>
            <w:r>
              <w:rPr>
                <w:rFonts w:hint="eastAsia" w:ascii="宋体" w:hAnsi="宋体" w:cs="宋体"/>
                <w:color w:val="auto"/>
                <w:highlight w:val="none"/>
              </w:rPr>
              <w:t>政府采购法》</w:t>
            </w:r>
          </w:p>
          <w:p>
            <w:pPr>
              <w:spacing w:line="400" w:lineRule="exact"/>
              <w:jc w:val="center"/>
              <w:rPr>
                <w:rFonts w:ascii="宋体" w:cs="Times New Roman"/>
                <w:b/>
                <w:bCs/>
                <w:color w:val="auto"/>
                <w:highlight w:val="none"/>
              </w:rPr>
            </w:pPr>
            <w:r>
              <w:rPr>
                <w:rFonts w:hint="eastAsia" w:ascii="宋体" w:hAnsi="宋体" w:cs="宋体"/>
                <w:color w:val="auto"/>
                <w:highlight w:val="none"/>
              </w:rPr>
              <w:t>第二十二条规定的条件</w:t>
            </w:r>
          </w:p>
        </w:tc>
        <w:tc>
          <w:tcPr>
            <w:tcW w:w="5111" w:type="dxa"/>
            <w:vAlign w:val="center"/>
          </w:tcPr>
          <w:p>
            <w:pPr>
              <w:spacing w:line="300" w:lineRule="exact"/>
              <w:rPr>
                <w:rFonts w:ascii="宋体" w:cs="Times New Roman"/>
                <w:b/>
                <w:bCs/>
                <w:color w:val="auto"/>
                <w:highlight w:val="none"/>
              </w:rPr>
            </w:pPr>
            <w:r>
              <w:rPr>
                <w:rFonts w:hint="eastAsia" w:ascii="宋体" w:hAnsi="宋体" w:cs="宋体"/>
                <w:color w:val="auto"/>
                <w:highlight w:val="none"/>
              </w:rPr>
              <w:t>（一）具有独立承担民事责任的能力；</w:t>
            </w:r>
            <w:r>
              <w:rPr>
                <w:rFonts w:ascii="宋体" w:cs="Times New Roman"/>
                <w:color w:val="auto"/>
                <w:highlight w:val="none"/>
              </w:rPr>
              <w:br w:type="textWrapping"/>
            </w:r>
            <w:r>
              <w:rPr>
                <w:rFonts w:hint="eastAsia" w:ascii="宋体" w:hAnsi="宋体" w:cs="宋体"/>
                <w:color w:val="auto"/>
                <w:highlight w:val="none"/>
              </w:rPr>
              <w:t>（二）具有良好的商业信誉和健全的</w:t>
            </w:r>
            <w:r>
              <w:rPr>
                <w:color w:val="auto"/>
                <w:highlight w:val="none"/>
              </w:rPr>
              <w:fldChar w:fldCharType="begin"/>
            </w:r>
            <w:r>
              <w:rPr>
                <w:color w:val="auto"/>
                <w:highlight w:val="none"/>
              </w:rP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rPr>
                <w:color w:val="auto"/>
                <w:highlight w:val="none"/>
              </w:rPr>
              <w:fldChar w:fldCharType="separate"/>
            </w:r>
            <w:r>
              <w:rPr>
                <w:rFonts w:hint="eastAsia" w:ascii="宋体" w:hAnsi="宋体" w:cs="宋体"/>
                <w:color w:val="auto"/>
                <w:highlight w:val="none"/>
              </w:rPr>
              <w:t>财务会计制度</w:t>
            </w:r>
            <w:r>
              <w:rPr>
                <w:rFonts w:hint="eastAsia" w:ascii="宋体" w:hAnsi="宋体" w:cs="宋体"/>
                <w:color w:val="auto"/>
                <w:highlight w:val="none"/>
              </w:rPr>
              <w:fldChar w:fldCharType="end"/>
            </w:r>
            <w:r>
              <w:rPr>
                <w:rFonts w:hint="eastAsia" w:ascii="宋体" w:hAnsi="宋体" w:cs="宋体"/>
                <w:color w:val="auto"/>
                <w:highlight w:val="none"/>
              </w:rPr>
              <w:t>；</w:t>
            </w:r>
            <w:r>
              <w:rPr>
                <w:rFonts w:ascii="宋体" w:cs="Times New Roman"/>
                <w:color w:val="auto"/>
                <w:highlight w:val="none"/>
              </w:rPr>
              <w:br w:type="textWrapping"/>
            </w:r>
            <w:r>
              <w:rPr>
                <w:rFonts w:hint="eastAsia" w:ascii="宋体" w:hAnsi="宋体" w:cs="宋体"/>
                <w:color w:val="auto"/>
                <w:highlight w:val="none"/>
              </w:rPr>
              <w:t>（三）具有履行合同所必需的设备和专业技术能力；</w:t>
            </w:r>
            <w:r>
              <w:rPr>
                <w:rFonts w:ascii="宋体" w:cs="Times New Roman"/>
                <w:color w:val="auto"/>
                <w:highlight w:val="none"/>
              </w:rPr>
              <w:br w:type="textWrapping"/>
            </w:r>
            <w:r>
              <w:rPr>
                <w:rFonts w:hint="eastAsia" w:ascii="宋体" w:hAnsi="宋体" w:cs="宋体"/>
                <w:color w:val="auto"/>
                <w:highlight w:val="none"/>
              </w:rPr>
              <w:t>（四）有依法缴纳税收和</w:t>
            </w:r>
            <w:r>
              <w:rPr>
                <w:color w:val="auto"/>
                <w:highlight w:val="none"/>
              </w:rPr>
              <w:fldChar w:fldCharType="begin"/>
            </w:r>
            <w:r>
              <w:rPr>
                <w:color w:val="auto"/>
                <w:highlight w:val="none"/>
              </w:rP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rPr>
                <w:color w:val="auto"/>
                <w:highlight w:val="none"/>
              </w:rPr>
              <w:fldChar w:fldCharType="separate"/>
            </w:r>
            <w:r>
              <w:rPr>
                <w:rFonts w:hint="eastAsia" w:ascii="宋体" w:hAnsi="宋体" w:cs="宋体"/>
                <w:color w:val="auto"/>
                <w:highlight w:val="none"/>
              </w:rPr>
              <w:t>社会保障资金</w:t>
            </w:r>
            <w:r>
              <w:rPr>
                <w:rFonts w:hint="eastAsia" w:ascii="宋体" w:hAnsi="宋体" w:cs="宋体"/>
                <w:color w:val="auto"/>
                <w:highlight w:val="none"/>
              </w:rPr>
              <w:fldChar w:fldCharType="end"/>
            </w:r>
            <w:r>
              <w:rPr>
                <w:rFonts w:hint="eastAsia" w:ascii="宋体" w:hAnsi="宋体" w:cs="宋体"/>
                <w:color w:val="auto"/>
                <w:highlight w:val="none"/>
              </w:rPr>
              <w:t>的良好记录；</w:t>
            </w:r>
            <w:r>
              <w:rPr>
                <w:rFonts w:ascii="宋体" w:cs="Times New Roman"/>
                <w:color w:val="auto"/>
                <w:highlight w:val="none"/>
              </w:rPr>
              <w:br w:type="textWrapping"/>
            </w:r>
            <w:r>
              <w:rPr>
                <w:rFonts w:hint="eastAsia" w:ascii="宋体" w:hAnsi="宋体" w:cs="宋体"/>
                <w:color w:val="auto"/>
                <w:highlight w:val="none"/>
              </w:rPr>
              <w:t>（五）参加政府采购活动前三年内，在经营活动中没有重大违法记录；</w:t>
            </w:r>
            <w:r>
              <w:rPr>
                <w:rFonts w:ascii="宋体" w:cs="Times New Roman"/>
                <w:color w:val="auto"/>
                <w:highlight w:val="none"/>
              </w:rPr>
              <w:br w:type="textWrapping"/>
            </w:r>
            <w:r>
              <w:rPr>
                <w:rFonts w:hint="eastAsia" w:ascii="宋体" w:hAnsi="宋体" w:cs="宋体"/>
                <w:color w:val="auto"/>
                <w:highlight w:val="none"/>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139" w:type="dxa"/>
            <w:vMerge w:val="continue"/>
            <w:vAlign w:val="center"/>
          </w:tcPr>
          <w:p>
            <w:pPr>
              <w:spacing w:line="440" w:lineRule="exact"/>
              <w:jc w:val="center"/>
              <w:rPr>
                <w:rFonts w:ascii="宋体" w:cs="Times New Roman"/>
                <w:color w:val="auto"/>
                <w:highlight w:val="none"/>
              </w:rPr>
            </w:pPr>
          </w:p>
        </w:tc>
        <w:tc>
          <w:tcPr>
            <w:tcW w:w="632" w:type="dxa"/>
            <w:vMerge w:val="continue"/>
            <w:vAlign w:val="center"/>
          </w:tcPr>
          <w:p>
            <w:pPr>
              <w:spacing w:line="440" w:lineRule="exact"/>
              <w:jc w:val="center"/>
              <w:rPr>
                <w:rFonts w:ascii="宋体" w:cs="Times New Roman"/>
                <w:color w:val="auto"/>
                <w:highlight w:val="none"/>
              </w:rPr>
            </w:pPr>
          </w:p>
        </w:tc>
        <w:tc>
          <w:tcPr>
            <w:tcW w:w="1924" w:type="dxa"/>
            <w:vAlign w:val="center"/>
          </w:tcPr>
          <w:p>
            <w:pPr>
              <w:spacing w:line="400" w:lineRule="exact"/>
              <w:jc w:val="center"/>
              <w:rPr>
                <w:rFonts w:ascii="宋体" w:cs="Times New Roman"/>
                <w:color w:val="auto"/>
                <w:highlight w:val="none"/>
              </w:rPr>
            </w:pPr>
            <w:r>
              <w:rPr>
                <w:rFonts w:hint="eastAsia" w:ascii="宋体" w:hAnsi="宋体" w:cs="宋体"/>
                <w:color w:val="auto"/>
                <w:highlight w:val="none"/>
              </w:rPr>
              <w:t>营业执照（副本）</w:t>
            </w:r>
          </w:p>
        </w:tc>
        <w:tc>
          <w:tcPr>
            <w:tcW w:w="1134" w:type="dxa"/>
            <w:vMerge w:val="restart"/>
            <w:vAlign w:val="center"/>
          </w:tcPr>
          <w:p>
            <w:pPr>
              <w:spacing w:line="400" w:lineRule="exact"/>
              <w:jc w:val="center"/>
              <w:rPr>
                <w:rFonts w:ascii="宋体" w:cs="Times New Roman"/>
                <w:color w:val="auto"/>
                <w:highlight w:val="none"/>
              </w:rPr>
            </w:pPr>
            <w:r>
              <w:rPr>
                <w:rFonts w:hint="eastAsia" w:ascii="宋体" w:hAnsi="宋体" w:cs="宋体"/>
                <w:color w:val="auto"/>
                <w:kern w:val="0"/>
                <w:highlight w:val="none"/>
              </w:rPr>
              <w:t>（或三证合一的营业执照）</w:t>
            </w:r>
          </w:p>
        </w:tc>
        <w:tc>
          <w:tcPr>
            <w:tcW w:w="5111" w:type="dxa"/>
            <w:vAlign w:val="center"/>
          </w:tcPr>
          <w:p>
            <w:pPr>
              <w:spacing w:line="400" w:lineRule="exact"/>
              <w:rPr>
                <w:rFonts w:ascii="宋体" w:cs="Times New Roman"/>
                <w:color w:val="auto"/>
                <w:highlight w:val="none"/>
              </w:rPr>
            </w:pPr>
            <w:r>
              <w:rPr>
                <w:rFonts w:hint="eastAsia" w:ascii="宋体" w:hAnsi="宋体" w:cs="宋体"/>
                <w:color w:val="auto"/>
                <w:highlight w:val="none"/>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1924" w:type="dxa"/>
            <w:vAlign w:val="center"/>
          </w:tcPr>
          <w:p>
            <w:pPr>
              <w:spacing w:line="400" w:lineRule="exact"/>
              <w:jc w:val="center"/>
              <w:rPr>
                <w:rFonts w:ascii="宋体" w:cs="Times New Roman"/>
                <w:color w:val="auto"/>
                <w:highlight w:val="none"/>
              </w:rPr>
            </w:pPr>
            <w:r>
              <w:rPr>
                <w:rFonts w:hint="eastAsia" w:ascii="宋体" w:hAnsi="宋体" w:cs="宋体"/>
                <w:color w:val="auto"/>
                <w:highlight w:val="none"/>
              </w:rPr>
              <w:t>税务登记证（副本）</w:t>
            </w:r>
          </w:p>
        </w:tc>
        <w:tc>
          <w:tcPr>
            <w:tcW w:w="1134" w:type="dxa"/>
            <w:vMerge w:val="continue"/>
            <w:vAlign w:val="center"/>
          </w:tcPr>
          <w:p>
            <w:pPr>
              <w:spacing w:line="400" w:lineRule="exact"/>
              <w:jc w:val="center"/>
              <w:rPr>
                <w:rFonts w:ascii="宋体" w:cs="Times New Roman"/>
                <w:color w:val="auto"/>
                <w:highlight w:val="none"/>
              </w:rPr>
            </w:pPr>
          </w:p>
        </w:tc>
        <w:tc>
          <w:tcPr>
            <w:tcW w:w="5111" w:type="dxa"/>
            <w:vAlign w:val="center"/>
          </w:tcPr>
          <w:p>
            <w:pPr>
              <w:spacing w:line="400" w:lineRule="exact"/>
              <w:rPr>
                <w:rFonts w:ascii="宋体" w:cs="Times New Roman"/>
                <w:color w:val="auto"/>
                <w:highlight w:val="none"/>
              </w:rPr>
            </w:pPr>
            <w:r>
              <w:rPr>
                <w:rFonts w:hint="eastAsia" w:ascii="宋体" w:hAnsi="宋体" w:cs="宋体"/>
                <w:color w:val="auto"/>
                <w:highlight w:val="none"/>
              </w:rPr>
              <w:t>具备有效的税务登记证（原件）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1924" w:type="dxa"/>
            <w:vAlign w:val="center"/>
          </w:tcPr>
          <w:p>
            <w:pPr>
              <w:spacing w:line="300" w:lineRule="exact"/>
              <w:jc w:val="center"/>
              <w:rPr>
                <w:rFonts w:ascii="宋体" w:cs="Times New Roman"/>
                <w:color w:val="auto"/>
                <w:highlight w:val="none"/>
              </w:rPr>
            </w:pPr>
            <w:r>
              <w:rPr>
                <w:rFonts w:hint="eastAsia" w:ascii="宋体" w:hAnsi="宋体" w:cs="宋体"/>
                <w:color w:val="auto"/>
                <w:highlight w:val="none"/>
              </w:rPr>
              <w:t>组织机构代码证（副本）</w:t>
            </w:r>
          </w:p>
        </w:tc>
        <w:tc>
          <w:tcPr>
            <w:tcW w:w="1134" w:type="dxa"/>
            <w:vMerge w:val="continue"/>
            <w:vAlign w:val="center"/>
          </w:tcPr>
          <w:p>
            <w:pPr>
              <w:spacing w:line="400" w:lineRule="exact"/>
              <w:jc w:val="center"/>
              <w:rPr>
                <w:rFonts w:ascii="宋体" w:cs="Times New Roman"/>
                <w:color w:val="auto"/>
                <w:highlight w:val="none"/>
              </w:rPr>
            </w:pPr>
          </w:p>
        </w:tc>
        <w:tc>
          <w:tcPr>
            <w:tcW w:w="5111" w:type="dxa"/>
            <w:vAlign w:val="center"/>
          </w:tcPr>
          <w:p>
            <w:pPr>
              <w:spacing w:line="400" w:lineRule="exact"/>
              <w:rPr>
                <w:rFonts w:ascii="宋体" w:cs="Times New Roman"/>
                <w:color w:val="auto"/>
                <w:highlight w:val="none"/>
              </w:rPr>
            </w:pPr>
            <w:r>
              <w:rPr>
                <w:rFonts w:hint="eastAsia" w:ascii="宋体" w:hAnsi="宋体" w:cs="宋体"/>
                <w:color w:val="auto"/>
                <w:highlight w:val="none"/>
              </w:rPr>
              <w:t>具备有效的组织机构代码证（原件）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3058" w:type="dxa"/>
            <w:gridSpan w:val="2"/>
            <w:vAlign w:val="center"/>
          </w:tcPr>
          <w:p>
            <w:pPr>
              <w:spacing w:line="400" w:lineRule="exact"/>
              <w:jc w:val="center"/>
              <w:rPr>
                <w:rFonts w:ascii="宋体" w:cs="Times New Roman"/>
                <w:color w:val="auto"/>
                <w:highlight w:val="none"/>
              </w:rPr>
            </w:pPr>
            <w:r>
              <w:rPr>
                <w:rFonts w:hint="eastAsia" w:ascii="宋体" w:hAnsi="宋体" w:cs="宋体"/>
                <w:color w:val="auto"/>
                <w:highlight w:val="none"/>
              </w:rPr>
              <w:t>资质要求</w:t>
            </w:r>
          </w:p>
        </w:tc>
        <w:tc>
          <w:tcPr>
            <w:tcW w:w="5111" w:type="dxa"/>
            <w:vAlign w:val="center"/>
          </w:tcPr>
          <w:p>
            <w:pPr>
              <w:spacing w:line="400" w:lineRule="exact"/>
              <w:jc w:val="left"/>
              <w:rPr>
                <w:rFonts w:ascii="宋体" w:cs="Times New Roman"/>
                <w:color w:val="auto"/>
                <w:highlight w:val="none"/>
              </w:rPr>
            </w:pPr>
            <w:r>
              <w:rPr>
                <w:rFonts w:hint="eastAsia" w:ascii="宋体" w:hAnsi="宋体" w:cs="宋体"/>
                <w:color w:val="auto"/>
                <w:highlight w:val="none"/>
              </w:rPr>
              <w:t>符合第二章投标人须知前附表</w:t>
            </w:r>
            <w:r>
              <w:rPr>
                <w:rFonts w:ascii="宋体" w:hAnsi="宋体" w:cs="宋体"/>
                <w:color w:val="auto"/>
                <w:highlight w:val="none"/>
              </w:rPr>
              <w:t>1.4.1</w:t>
            </w:r>
            <w:r>
              <w:rPr>
                <w:rFonts w:hint="eastAsia" w:ascii="宋体" w:hAnsi="宋体" w:cs="宋体"/>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3058" w:type="dxa"/>
            <w:gridSpan w:val="2"/>
            <w:vAlign w:val="center"/>
          </w:tcPr>
          <w:p>
            <w:pPr>
              <w:spacing w:line="400" w:lineRule="exact"/>
              <w:jc w:val="center"/>
              <w:rPr>
                <w:rFonts w:ascii="宋体" w:cs="Times New Roman"/>
                <w:color w:val="auto"/>
                <w:highlight w:val="none"/>
              </w:rPr>
            </w:pPr>
            <w:r>
              <w:rPr>
                <w:rFonts w:hint="eastAsia" w:ascii="宋体" w:hAnsi="宋体" w:cs="宋体"/>
                <w:color w:val="auto"/>
                <w:highlight w:val="none"/>
              </w:rPr>
              <w:t>信誉要求</w:t>
            </w:r>
          </w:p>
        </w:tc>
        <w:tc>
          <w:tcPr>
            <w:tcW w:w="5111" w:type="dxa"/>
            <w:vAlign w:val="center"/>
          </w:tcPr>
          <w:p>
            <w:pPr>
              <w:spacing w:line="400" w:lineRule="exact"/>
              <w:jc w:val="left"/>
              <w:rPr>
                <w:rFonts w:ascii="宋体" w:cs="Times New Roman"/>
                <w:color w:val="auto"/>
                <w:highlight w:val="none"/>
              </w:rPr>
            </w:pPr>
            <w:r>
              <w:rPr>
                <w:rFonts w:hint="eastAsia" w:ascii="宋体" w:hAnsi="宋体" w:cs="宋体"/>
                <w:color w:val="auto"/>
                <w:highlight w:val="none"/>
              </w:rPr>
              <w:t>符合第二章投标人须知前附表</w:t>
            </w:r>
            <w:r>
              <w:rPr>
                <w:rFonts w:ascii="宋体" w:hAnsi="宋体" w:cs="宋体"/>
                <w:color w:val="auto"/>
                <w:highlight w:val="none"/>
              </w:rPr>
              <w:t>1.4.1</w:t>
            </w:r>
            <w:r>
              <w:rPr>
                <w:rFonts w:hint="eastAsia" w:ascii="宋体" w:hAnsi="宋体" w:cs="宋体"/>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3058" w:type="dxa"/>
            <w:gridSpan w:val="2"/>
            <w:vAlign w:val="center"/>
          </w:tcPr>
          <w:p>
            <w:pPr>
              <w:spacing w:line="300" w:lineRule="exact"/>
              <w:jc w:val="center"/>
              <w:rPr>
                <w:rFonts w:ascii="宋体" w:cs="Times New Roman"/>
                <w:color w:val="auto"/>
                <w:highlight w:val="none"/>
              </w:rPr>
            </w:pPr>
            <w:r>
              <w:rPr>
                <w:rFonts w:hint="eastAsia" w:ascii="宋体" w:hAnsi="宋体" w:cs="宋体"/>
                <w:color w:val="auto"/>
                <w:highlight w:val="none"/>
              </w:rPr>
              <w:t>法定代表人身份证明或授权委托书及本人身份证</w:t>
            </w:r>
          </w:p>
        </w:tc>
        <w:tc>
          <w:tcPr>
            <w:tcW w:w="5111" w:type="dxa"/>
            <w:vAlign w:val="center"/>
          </w:tcPr>
          <w:p>
            <w:pPr>
              <w:spacing w:line="400" w:lineRule="exact"/>
              <w:jc w:val="left"/>
              <w:rPr>
                <w:rFonts w:ascii="宋体" w:cs="Times New Roman"/>
                <w:color w:val="auto"/>
                <w:highlight w:val="none"/>
              </w:rPr>
            </w:pPr>
            <w:r>
              <w:rPr>
                <w:rFonts w:hint="eastAsia" w:ascii="宋体" w:hAnsi="宋体" w:cs="宋体"/>
                <w:color w:val="auto"/>
                <w:highlight w:val="none"/>
              </w:rPr>
              <w:t>符合第二章投标人须知前附表</w:t>
            </w:r>
            <w:r>
              <w:rPr>
                <w:rFonts w:ascii="宋体" w:hAnsi="宋体" w:cs="宋体"/>
                <w:color w:val="auto"/>
                <w:highlight w:val="none"/>
              </w:rPr>
              <w:t>1.4.1</w:t>
            </w:r>
            <w:r>
              <w:rPr>
                <w:rFonts w:hint="eastAsia" w:ascii="宋体" w:hAnsi="宋体" w:cs="宋体"/>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3058" w:type="dxa"/>
            <w:gridSpan w:val="2"/>
            <w:vAlign w:val="center"/>
          </w:tcPr>
          <w:p>
            <w:pPr>
              <w:spacing w:line="400" w:lineRule="exact"/>
              <w:jc w:val="center"/>
              <w:rPr>
                <w:rFonts w:ascii="宋体" w:cs="Times New Roman"/>
                <w:b/>
                <w:bCs/>
                <w:color w:val="auto"/>
                <w:highlight w:val="none"/>
              </w:rPr>
            </w:pPr>
            <w:r>
              <w:rPr>
                <w:rFonts w:hint="eastAsia" w:ascii="宋体" w:hAnsi="宋体" w:cs="宋体"/>
                <w:color w:val="auto"/>
                <w:highlight w:val="none"/>
              </w:rPr>
              <w:t>依法纳税凭证（完税证明）</w:t>
            </w:r>
          </w:p>
        </w:tc>
        <w:tc>
          <w:tcPr>
            <w:tcW w:w="5111" w:type="dxa"/>
            <w:vAlign w:val="center"/>
          </w:tcPr>
          <w:p>
            <w:pPr>
              <w:spacing w:line="400" w:lineRule="exact"/>
              <w:jc w:val="left"/>
              <w:rPr>
                <w:rFonts w:ascii="宋体" w:cs="Times New Roman"/>
                <w:color w:val="auto"/>
                <w:highlight w:val="none"/>
              </w:rPr>
            </w:pPr>
            <w:r>
              <w:rPr>
                <w:rFonts w:hint="eastAsia" w:ascii="宋体" w:hAnsi="宋体" w:cs="宋体"/>
                <w:color w:val="auto"/>
                <w:highlight w:val="none"/>
              </w:rPr>
              <w:t>符合第二章投标人须知前附表</w:t>
            </w:r>
            <w:r>
              <w:rPr>
                <w:rFonts w:ascii="宋体" w:hAnsi="宋体" w:cs="宋体"/>
                <w:color w:val="auto"/>
                <w:highlight w:val="none"/>
              </w:rPr>
              <w:t>1.4.1</w:t>
            </w:r>
            <w:r>
              <w:rPr>
                <w:rFonts w:hint="eastAsia" w:ascii="宋体" w:hAnsi="宋体" w:cs="宋体"/>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3058" w:type="dxa"/>
            <w:gridSpan w:val="2"/>
            <w:vAlign w:val="center"/>
          </w:tcPr>
          <w:p>
            <w:pPr>
              <w:spacing w:line="400" w:lineRule="exact"/>
              <w:jc w:val="center"/>
              <w:rPr>
                <w:rFonts w:ascii="宋体" w:cs="Times New Roman"/>
                <w:color w:val="auto"/>
                <w:highlight w:val="none"/>
              </w:rPr>
            </w:pPr>
            <w:r>
              <w:rPr>
                <w:rFonts w:hint="eastAsia" w:ascii="宋体" w:hAnsi="宋体" w:cs="宋体"/>
                <w:color w:val="auto"/>
                <w:highlight w:val="none"/>
              </w:rPr>
              <w:t>财务状况报告</w:t>
            </w:r>
          </w:p>
        </w:tc>
        <w:tc>
          <w:tcPr>
            <w:tcW w:w="5111" w:type="dxa"/>
            <w:vAlign w:val="center"/>
          </w:tcPr>
          <w:p>
            <w:pPr>
              <w:spacing w:line="400" w:lineRule="exact"/>
              <w:jc w:val="left"/>
              <w:rPr>
                <w:rFonts w:ascii="宋体" w:cs="Times New Roman"/>
                <w:color w:val="auto"/>
                <w:highlight w:val="none"/>
              </w:rPr>
            </w:pPr>
            <w:r>
              <w:rPr>
                <w:rFonts w:hint="eastAsia" w:ascii="宋体" w:hAnsi="宋体" w:cs="宋体"/>
                <w:color w:val="auto"/>
                <w:highlight w:val="none"/>
              </w:rPr>
              <w:t>符合第二章投标人须知前附表</w:t>
            </w:r>
            <w:r>
              <w:rPr>
                <w:rFonts w:ascii="宋体" w:hAnsi="宋体" w:cs="宋体"/>
                <w:color w:val="auto"/>
                <w:highlight w:val="none"/>
              </w:rPr>
              <w:t>1.4.1</w:t>
            </w:r>
            <w:r>
              <w:rPr>
                <w:rFonts w:hint="eastAsia" w:ascii="宋体" w:hAnsi="宋体" w:cs="宋体"/>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139" w:type="dxa"/>
            <w:vMerge w:val="continue"/>
            <w:vAlign w:val="center"/>
          </w:tcPr>
          <w:p>
            <w:pPr>
              <w:widowControl/>
              <w:spacing w:line="440" w:lineRule="exact"/>
              <w:jc w:val="left"/>
              <w:rPr>
                <w:rFonts w:ascii="宋体" w:cs="Times New Roman"/>
                <w:color w:val="auto"/>
                <w:highlight w:val="none"/>
              </w:rPr>
            </w:pPr>
          </w:p>
        </w:tc>
        <w:tc>
          <w:tcPr>
            <w:tcW w:w="632" w:type="dxa"/>
            <w:vMerge w:val="continue"/>
            <w:vAlign w:val="center"/>
          </w:tcPr>
          <w:p>
            <w:pPr>
              <w:widowControl/>
              <w:spacing w:line="440" w:lineRule="exact"/>
              <w:jc w:val="left"/>
              <w:rPr>
                <w:rFonts w:ascii="宋体" w:cs="Times New Roman"/>
                <w:color w:val="auto"/>
                <w:highlight w:val="none"/>
              </w:rPr>
            </w:pPr>
          </w:p>
        </w:tc>
        <w:tc>
          <w:tcPr>
            <w:tcW w:w="3058" w:type="dxa"/>
            <w:gridSpan w:val="2"/>
            <w:vAlign w:val="center"/>
          </w:tcPr>
          <w:p>
            <w:pPr>
              <w:spacing w:line="400" w:lineRule="exact"/>
              <w:jc w:val="center"/>
              <w:rPr>
                <w:rFonts w:ascii="宋体" w:cs="Times New Roman"/>
                <w:color w:val="auto"/>
                <w:highlight w:val="none"/>
              </w:rPr>
            </w:pPr>
            <w:r>
              <w:rPr>
                <w:rFonts w:hint="eastAsia" w:cs="宋体"/>
                <w:color w:val="auto"/>
                <w:highlight w:val="none"/>
              </w:rPr>
              <w:t>无行贿犯罪记录承诺书</w:t>
            </w:r>
          </w:p>
        </w:tc>
        <w:tc>
          <w:tcPr>
            <w:tcW w:w="5111" w:type="dxa"/>
            <w:vAlign w:val="center"/>
          </w:tcPr>
          <w:p>
            <w:pPr>
              <w:spacing w:line="400" w:lineRule="exact"/>
              <w:jc w:val="left"/>
              <w:rPr>
                <w:rFonts w:ascii="宋体" w:cs="Times New Roman"/>
                <w:color w:val="auto"/>
                <w:highlight w:val="none"/>
              </w:rPr>
            </w:pPr>
            <w:r>
              <w:rPr>
                <w:rFonts w:hint="eastAsia" w:ascii="宋体" w:hAnsi="宋体" w:cs="宋体"/>
                <w:color w:val="auto"/>
                <w:highlight w:val="none"/>
              </w:rPr>
              <w:t>符合第二章投标人须知前附表</w:t>
            </w:r>
            <w:r>
              <w:rPr>
                <w:rFonts w:ascii="宋体" w:hAnsi="宋体" w:cs="宋体"/>
                <w:color w:val="auto"/>
                <w:highlight w:val="none"/>
              </w:rPr>
              <w:t>1.4.1</w:t>
            </w:r>
            <w:r>
              <w:rPr>
                <w:rFonts w:hint="eastAsia" w:ascii="宋体" w:hAnsi="宋体" w:cs="宋体"/>
                <w:color w:val="auto"/>
                <w:highlight w:val="none"/>
              </w:rPr>
              <w:t>规定</w:t>
            </w:r>
          </w:p>
        </w:tc>
      </w:tr>
    </w:tbl>
    <w:p>
      <w:pPr>
        <w:pStyle w:val="22"/>
        <w:ind w:left="0" w:leftChars="0" w:firstLine="0" w:firstLineChars="0"/>
        <w:rPr>
          <w:rFonts w:cs="Times New Roman"/>
          <w:color w:val="auto"/>
          <w:highlight w:val="none"/>
        </w:rPr>
      </w:pPr>
    </w:p>
    <w:tbl>
      <w:tblPr>
        <w:tblStyle w:val="23"/>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96"/>
        <w:gridCol w:w="2987"/>
        <w:gridCol w:w="5564"/>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891" w:type="dxa"/>
            <w:vMerge w:val="restart"/>
            <w:vAlign w:val="center"/>
          </w:tcPr>
          <w:p>
            <w:pPr>
              <w:spacing w:line="360" w:lineRule="exact"/>
              <w:jc w:val="center"/>
              <w:rPr>
                <w:rFonts w:ascii="宋体" w:cs="Times New Roman"/>
                <w:color w:val="auto"/>
                <w:highlight w:val="none"/>
              </w:rPr>
            </w:pPr>
            <w:r>
              <w:rPr>
                <w:rFonts w:hint="eastAsia" w:ascii="宋体" w:cs="宋体"/>
                <w:color w:val="auto"/>
                <w:highlight w:val="none"/>
              </w:rPr>
              <w:t>评标委员会</w:t>
            </w:r>
          </w:p>
        </w:tc>
        <w:tc>
          <w:tcPr>
            <w:tcW w:w="396" w:type="dxa"/>
            <w:vMerge w:val="restart"/>
            <w:vAlign w:val="center"/>
          </w:tcPr>
          <w:p>
            <w:pPr>
              <w:spacing w:line="360" w:lineRule="exact"/>
              <w:jc w:val="center"/>
              <w:rPr>
                <w:rFonts w:ascii="宋体" w:cs="Times New Roman"/>
                <w:color w:val="auto"/>
                <w:highlight w:val="none"/>
              </w:rPr>
            </w:pPr>
            <w:r>
              <w:rPr>
                <w:rFonts w:hint="eastAsia" w:ascii="宋体" w:cs="宋体"/>
                <w:color w:val="auto"/>
                <w:highlight w:val="none"/>
              </w:rPr>
              <w:t>符合性评审标准</w:t>
            </w:r>
          </w:p>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投标人名称</w:t>
            </w:r>
          </w:p>
        </w:tc>
        <w:tc>
          <w:tcPr>
            <w:tcW w:w="5591" w:type="dxa"/>
            <w:gridSpan w:val="2"/>
            <w:vAlign w:val="center"/>
          </w:tcPr>
          <w:p>
            <w:pPr>
              <w:spacing w:line="360" w:lineRule="exact"/>
              <w:rPr>
                <w:rFonts w:ascii="宋体" w:cs="Times New Roman"/>
                <w:color w:val="auto"/>
                <w:highlight w:val="none"/>
              </w:rPr>
            </w:pPr>
            <w:r>
              <w:rPr>
                <w:rFonts w:hint="eastAsia" w:ascii="宋体" w:hAnsi="宋体" w:cs="宋体"/>
                <w:color w:val="auto"/>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投标函签字盖章</w:t>
            </w:r>
          </w:p>
        </w:tc>
        <w:tc>
          <w:tcPr>
            <w:tcW w:w="5591" w:type="dxa"/>
            <w:gridSpan w:val="2"/>
            <w:vAlign w:val="center"/>
          </w:tcPr>
          <w:p>
            <w:pPr>
              <w:spacing w:line="360" w:lineRule="exact"/>
              <w:rPr>
                <w:rFonts w:ascii="宋体" w:cs="Times New Roman"/>
                <w:color w:val="auto"/>
                <w:highlight w:val="none"/>
              </w:rPr>
            </w:pPr>
            <w:r>
              <w:rPr>
                <w:rFonts w:hint="eastAsia" w:ascii="宋体" w:hAnsi="宋体" w:cs="宋体"/>
                <w:color w:val="auto"/>
                <w:highlight w:val="none"/>
              </w:rPr>
              <w:t>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17"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投标文件格式</w:t>
            </w:r>
          </w:p>
        </w:tc>
        <w:tc>
          <w:tcPr>
            <w:tcW w:w="5564" w:type="dxa"/>
            <w:vAlign w:val="center"/>
          </w:tcPr>
          <w:p>
            <w:pPr>
              <w:spacing w:line="360" w:lineRule="exact"/>
              <w:rPr>
                <w:rFonts w:ascii="宋体" w:cs="Times New Roman"/>
                <w:color w:val="auto"/>
                <w:highlight w:val="none"/>
              </w:rPr>
            </w:pPr>
            <w:r>
              <w:rPr>
                <w:rFonts w:hint="eastAsia" w:ascii="宋体" w:hAnsi="宋体" w:cs="宋体"/>
                <w:color w:val="auto"/>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37"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ind w:firstLine="105" w:firstLineChars="50"/>
              <w:jc w:val="center"/>
              <w:rPr>
                <w:rFonts w:ascii="宋体" w:cs="Times New Roman"/>
                <w:color w:val="auto"/>
                <w:highlight w:val="none"/>
              </w:rPr>
            </w:pPr>
            <w:r>
              <w:rPr>
                <w:rFonts w:hint="eastAsia" w:ascii="宋体" w:hAnsi="宋体" w:cs="宋体"/>
                <w:color w:val="auto"/>
                <w:highlight w:val="none"/>
              </w:rPr>
              <w:t>采购内容</w:t>
            </w:r>
          </w:p>
        </w:tc>
        <w:tc>
          <w:tcPr>
            <w:tcW w:w="5564" w:type="dxa"/>
            <w:vAlign w:val="center"/>
          </w:tcPr>
          <w:p>
            <w:pPr>
              <w:spacing w:line="360" w:lineRule="exact"/>
              <w:rPr>
                <w:rFonts w:ascii="宋体" w:cs="Times New Roman"/>
                <w:color w:val="auto"/>
                <w:highlight w:val="none"/>
              </w:rPr>
            </w:pPr>
            <w:r>
              <w:rPr>
                <w:rFonts w:hint="eastAsia" w:ascii="宋体" w:hAnsi="宋体" w:cs="宋体"/>
                <w:color w:val="auto"/>
                <w:highlight w:val="none"/>
              </w:rPr>
              <w:t>符合投标人须知前附表</w:t>
            </w:r>
            <w:r>
              <w:rPr>
                <w:rFonts w:ascii="宋体" w:hAnsi="宋体" w:cs="宋体"/>
                <w:color w:val="auto"/>
                <w:highlight w:val="none"/>
              </w:rPr>
              <w:t>1.3.1</w:t>
            </w:r>
            <w:r>
              <w:rPr>
                <w:rFonts w:hint="eastAsia" w:ascii="宋体" w:hAnsi="宋体" w:cs="宋体"/>
                <w:color w:val="auto"/>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14"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cs="宋体"/>
                <w:color w:val="auto"/>
                <w:highlight w:val="none"/>
              </w:rPr>
              <w:t>供货期</w:t>
            </w:r>
          </w:p>
        </w:tc>
        <w:tc>
          <w:tcPr>
            <w:tcW w:w="5564" w:type="dxa"/>
            <w:vAlign w:val="center"/>
          </w:tcPr>
          <w:p>
            <w:pPr>
              <w:spacing w:line="360" w:lineRule="exact"/>
              <w:rPr>
                <w:rFonts w:ascii="宋体" w:cs="Times New Roman"/>
                <w:color w:val="auto"/>
                <w:highlight w:val="none"/>
              </w:rPr>
            </w:pPr>
            <w:r>
              <w:rPr>
                <w:rFonts w:hint="eastAsia" w:ascii="宋体" w:hAnsi="宋体" w:cs="宋体"/>
                <w:color w:val="auto"/>
                <w:highlight w:val="none"/>
              </w:rPr>
              <w:t>符合投标人须知前附表</w:t>
            </w:r>
            <w:r>
              <w:rPr>
                <w:rFonts w:ascii="宋体" w:hAnsi="宋体" w:cs="宋体"/>
                <w:color w:val="auto"/>
                <w:highlight w:val="none"/>
              </w:rPr>
              <w:t>1.3.2</w:t>
            </w:r>
            <w:r>
              <w:rPr>
                <w:rFonts w:hint="eastAsia" w:ascii="宋体" w:hAnsi="宋体" w:cs="宋体"/>
                <w:color w:val="auto"/>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33"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质量标准</w:t>
            </w:r>
          </w:p>
        </w:tc>
        <w:tc>
          <w:tcPr>
            <w:tcW w:w="5564" w:type="dxa"/>
            <w:vAlign w:val="center"/>
          </w:tcPr>
          <w:p>
            <w:pPr>
              <w:spacing w:line="360" w:lineRule="exact"/>
              <w:rPr>
                <w:rFonts w:ascii="宋体" w:cs="Times New Roman"/>
                <w:color w:val="auto"/>
                <w:highlight w:val="none"/>
              </w:rPr>
            </w:pPr>
            <w:r>
              <w:rPr>
                <w:rFonts w:hint="eastAsia" w:ascii="宋体" w:hAnsi="宋体" w:cs="宋体"/>
                <w:color w:val="auto"/>
                <w:highlight w:val="none"/>
              </w:rPr>
              <w:t>符合投标人须知前附表</w:t>
            </w:r>
            <w:r>
              <w:rPr>
                <w:rFonts w:ascii="宋体" w:hAnsi="宋体" w:cs="宋体"/>
                <w:color w:val="auto"/>
                <w:highlight w:val="none"/>
              </w:rPr>
              <w:t>1.3.3</w:t>
            </w:r>
            <w:r>
              <w:rPr>
                <w:rFonts w:hint="eastAsia" w:ascii="宋体" w:hAnsi="宋体" w:cs="宋体"/>
                <w:color w:val="auto"/>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33"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质保期</w:t>
            </w:r>
          </w:p>
        </w:tc>
        <w:tc>
          <w:tcPr>
            <w:tcW w:w="5564" w:type="dxa"/>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符合投标人须知前附表</w:t>
            </w:r>
            <w:r>
              <w:rPr>
                <w:rFonts w:ascii="宋体" w:hAnsi="宋体" w:cs="宋体"/>
                <w:color w:val="auto"/>
                <w:highlight w:val="none"/>
              </w:rPr>
              <w:t>1.3.</w:t>
            </w:r>
            <w:r>
              <w:rPr>
                <w:rFonts w:hint="eastAsia" w:ascii="宋体" w:hAnsi="宋体" w:cs="宋体"/>
                <w:color w:val="auto"/>
                <w:highlight w:val="none"/>
                <w:lang w:val="en-US" w:eastAsia="zh-CN"/>
              </w:rPr>
              <w:t>4</w:t>
            </w:r>
            <w:r>
              <w:rPr>
                <w:rFonts w:hint="eastAsia" w:ascii="宋体" w:hAnsi="宋体" w:cs="宋体"/>
                <w:color w:val="auto"/>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25"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投标报价</w:t>
            </w:r>
          </w:p>
        </w:tc>
        <w:tc>
          <w:tcPr>
            <w:tcW w:w="5564" w:type="dxa"/>
            <w:vAlign w:val="center"/>
          </w:tcPr>
          <w:p>
            <w:pPr>
              <w:spacing w:line="360" w:lineRule="exact"/>
              <w:rPr>
                <w:rFonts w:ascii="宋体" w:cs="Times New Roman"/>
                <w:color w:val="auto"/>
                <w:highlight w:val="none"/>
              </w:rPr>
            </w:pPr>
            <w:r>
              <w:rPr>
                <w:rFonts w:hint="eastAsia" w:ascii="宋体" w:hAnsi="宋体" w:cs="宋体"/>
                <w:color w:val="auto"/>
                <w:highlight w:val="none"/>
              </w:rPr>
              <w:t>只能有一个有效报价，且不能超过采购预算价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24"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投标有效期</w:t>
            </w:r>
          </w:p>
        </w:tc>
        <w:tc>
          <w:tcPr>
            <w:tcW w:w="5564" w:type="dxa"/>
            <w:vAlign w:val="center"/>
          </w:tcPr>
          <w:p>
            <w:pPr>
              <w:spacing w:line="360" w:lineRule="exact"/>
              <w:rPr>
                <w:rFonts w:ascii="宋体" w:cs="Times New Roman"/>
                <w:color w:val="auto"/>
                <w:highlight w:val="none"/>
              </w:rPr>
            </w:pPr>
            <w:r>
              <w:rPr>
                <w:rFonts w:hint="eastAsia" w:ascii="宋体" w:hAnsi="宋体" w:cs="宋体"/>
                <w:color w:val="auto"/>
                <w:highlight w:val="none"/>
              </w:rPr>
              <w:t>投标文件递交截止日起</w:t>
            </w:r>
            <w:r>
              <w:rPr>
                <w:rFonts w:ascii="宋体" w:hAnsi="宋体" w:cs="宋体"/>
                <w:color w:val="auto"/>
                <w:highlight w:val="none"/>
              </w:rPr>
              <w:t>60</w:t>
            </w:r>
            <w:r>
              <w:rPr>
                <w:rFonts w:hint="eastAsia" w:ascii="宋体" w:hAnsi="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86"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autoSpaceDE w:val="0"/>
              <w:autoSpaceDN w:val="0"/>
              <w:spacing w:line="500" w:lineRule="exact"/>
              <w:jc w:val="center"/>
              <w:rPr>
                <w:rFonts w:ascii="宋体" w:cs="Times New Roman"/>
                <w:color w:val="auto"/>
                <w:highlight w:val="none"/>
              </w:rPr>
            </w:pPr>
            <w:r>
              <w:rPr>
                <w:rFonts w:hint="eastAsia" w:ascii="宋体" w:hAnsi="宋体" w:cs="宋体"/>
                <w:color w:val="auto"/>
                <w:kern w:val="0"/>
                <w:highlight w:val="none"/>
              </w:rPr>
              <w:t>技术服务要求</w:t>
            </w:r>
          </w:p>
        </w:tc>
        <w:tc>
          <w:tcPr>
            <w:tcW w:w="5564" w:type="dxa"/>
            <w:vAlign w:val="center"/>
          </w:tcPr>
          <w:p>
            <w:pPr>
              <w:autoSpaceDE w:val="0"/>
              <w:autoSpaceDN w:val="0"/>
              <w:spacing w:line="500" w:lineRule="exact"/>
              <w:rPr>
                <w:rFonts w:ascii="宋体" w:cs="Times New Roman"/>
                <w:color w:val="auto"/>
                <w:highlight w:val="none"/>
              </w:rPr>
            </w:pPr>
            <w:r>
              <w:rPr>
                <w:rFonts w:hint="eastAsia" w:ascii="宋体" w:hAnsi="宋体" w:cs="宋体"/>
                <w:color w:val="auto"/>
                <w:kern w:val="0"/>
                <w:highlight w:val="none"/>
              </w:rPr>
              <w:t>符合第四章“招标项目概况及服务要求”规定。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93"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autoSpaceDE w:val="0"/>
              <w:autoSpaceDN w:val="0"/>
              <w:spacing w:line="500" w:lineRule="exact"/>
              <w:jc w:val="center"/>
              <w:rPr>
                <w:rFonts w:ascii="宋体" w:cs="Times New Roman"/>
                <w:color w:val="auto"/>
                <w:highlight w:val="none"/>
              </w:rPr>
            </w:pPr>
            <w:r>
              <w:rPr>
                <w:rFonts w:hint="eastAsia" w:ascii="宋体" w:hAnsi="宋体" w:cs="宋体"/>
                <w:color w:val="auto"/>
                <w:kern w:val="0"/>
                <w:highlight w:val="none"/>
              </w:rPr>
              <w:t>权利义务</w:t>
            </w:r>
          </w:p>
        </w:tc>
        <w:tc>
          <w:tcPr>
            <w:tcW w:w="5564" w:type="dxa"/>
            <w:vAlign w:val="center"/>
          </w:tcPr>
          <w:p>
            <w:pPr>
              <w:autoSpaceDE w:val="0"/>
              <w:autoSpaceDN w:val="0"/>
              <w:spacing w:line="500" w:lineRule="exact"/>
              <w:rPr>
                <w:rFonts w:ascii="宋体" w:cs="Times New Roman"/>
                <w:color w:val="auto"/>
                <w:highlight w:val="none"/>
              </w:rPr>
            </w:pPr>
            <w:r>
              <w:rPr>
                <w:rFonts w:hint="eastAsia" w:ascii="宋体" w:hAnsi="宋体" w:cs="宋体"/>
                <w:color w:val="auto"/>
                <w:kern w:val="0"/>
                <w:highlight w:val="none"/>
              </w:rPr>
              <w:t>符合第五章“合同签订及条款”规定。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97" w:hRule="exact"/>
          <w:jc w:val="center"/>
        </w:trPr>
        <w:tc>
          <w:tcPr>
            <w:tcW w:w="891" w:type="dxa"/>
            <w:vMerge w:val="continue"/>
            <w:vAlign w:val="center"/>
          </w:tcPr>
          <w:p>
            <w:pPr>
              <w:spacing w:line="360" w:lineRule="exact"/>
              <w:jc w:val="center"/>
              <w:rPr>
                <w:rFonts w:ascii="宋体" w:cs="Times New Roman"/>
                <w:color w:val="auto"/>
                <w:highlight w:val="none"/>
              </w:rPr>
            </w:pPr>
          </w:p>
        </w:tc>
        <w:tc>
          <w:tcPr>
            <w:tcW w:w="396" w:type="dxa"/>
            <w:vMerge w:val="continue"/>
            <w:vAlign w:val="center"/>
          </w:tcPr>
          <w:p>
            <w:pPr>
              <w:spacing w:line="360" w:lineRule="exact"/>
              <w:jc w:val="center"/>
              <w:rPr>
                <w:rFonts w:ascii="宋体" w:cs="Times New Roman"/>
                <w:color w:val="auto"/>
                <w:highlight w:val="none"/>
              </w:rPr>
            </w:pPr>
          </w:p>
        </w:tc>
        <w:tc>
          <w:tcPr>
            <w:tcW w:w="2987"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其他要求</w:t>
            </w:r>
          </w:p>
        </w:tc>
        <w:tc>
          <w:tcPr>
            <w:tcW w:w="5564" w:type="dxa"/>
            <w:vAlign w:val="center"/>
          </w:tcPr>
          <w:p>
            <w:pPr>
              <w:spacing w:line="360" w:lineRule="exact"/>
              <w:rPr>
                <w:rFonts w:ascii="宋体" w:cs="Times New Roman"/>
                <w:color w:val="auto"/>
                <w:highlight w:val="none"/>
              </w:rPr>
            </w:pPr>
            <w:r>
              <w:rPr>
                <w:rFonts w:hint="eastAsia" w:ascii="宋体" w:hAnsi="宋体" w:cs="宋体"/>
                <w:color w:val="auto"/>
                <w:highlight w:val="none"/>
              </w:rPr>
              <w:t>符合法律、法规和招标文件中规定的其他实质性要求的。</w:t>
            </w:r>
          </w:p>
        </w:tc>
      </w:tr>
    </w:tbl>
    <w:p>
      <w:pPr>
        <w:spacing w:line="420" w:lineRule="exact"/>
        <w:rPr>
          <w:rFonts w:ascii="宋体" w:cs="Times New Roman"/>
          <w:b/>
          <w:bCs/>
          <w:color w:val="auto"/>
          <w:kern w:val="0"/>
          <w:sz w:val="24"/>
          <w:szCs w:val="24"/>
          <w:highlight w:val="none"/>
        </w:rPr>
      </w:pPr>
      <w:r>
        <w:rPr>
          <w:rFonts w:ascii="宋体" w:hAnsi="宋体" w:cs="宋体"/>
          <w:b/>
          <w:bCs/>
          <w:color w:val="auto"/>
          <w:kern w:val="0"/>
          <w:sz w:val="24"/>
          <w:szCs w:val="24"/>
          <w:highlight w:val="none"/>
        </w:rPr>
        <w:t>2.2</w:t>
      </w:r>
      <w:r>
        <w:rPr>
          <w:rFonts w:hint="eastAsia" w:ascii="宋体" w:hAnsi="宋体" w:cs="宋体"/>
          <w:b/>
          <w:bCs/>
          <w:color w:val="auto"/>
          <w:kern w:val="0"/>
          <w:sz w:val="24"/>
          <w:szCs w:val="24"/>
          <w:highlight w:val="none"/>
        </w:rPr>
        <w:t>评分标准</w:t>
      </w:r>
    </w:p>
    <w:tbl>
      <w:tblPr>
        <w:tblStyle w:val="23"/>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984"/>
        <w:gridCol w:w="1437"/>
        <w:gridCol w:w="6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3280" w:type="dxa"/>
            <w:gridSpan w:val="3"/>
            <w:tcBorders>
              <w:top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cs="Times New Roman"/>
                <w:color w:val="auto"/>
                <w:highlight w:val="none"/>
                <w:shd w:val="clear" w:color="auto" w:fill="FFFFFF"/>
              </w:rPr>
            </w:pPr>
            <w:r>
              <w:rPr>
                <w:rFonts w:hint="eastAsia" w:ascii="宋体" w:hAnsi="宋体" w:cs="宋体"/>
                <w:color w:val="auto"/>
                <w:highlight w:val="none"/>
                <w:shd w:val="clear" w:color="auto" w:fill="FFFFFF"/>
              </w:rPr>
              <w:t>条款号</w:t>
            </w:r>
          </w:p>
        </w:tc>
        <w:tc>
          <w:tcPr>
            <w:tcW w:w="6359" w:type="dxa"/>
            <w:tcBorders>
              <w:top w:val="single" w:color="auto" w:sz="4" w:space="0"/>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cs="Times New Roman"/>
                <w:color w:val="auto"/>
                <w:highlight w:val="none"/>
                <w:shd w:val="clear" w:color="auto" w:fill="FFFFFF"/>
              </w:rPr>
            </w:pPr>
            <w:r>
              <w:rPr>
                <w:rFonts w:hint="eastAsia" w:ascii="宋体" w:hAnsi="宋体" w:cs="宋体"/>
                <w:color w:val="auto"/>
                <w:highlight w:val="none"/>
                <w:shd w:val="clear" w:color="auto" w:fill="FFFFFF"/>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9" w:type="dxa"/>
            <w:tcBorders>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cs="Times New Roman"/>
                <w:color w:val="auto"/>
                <w:highlight w:val="none"/>
                <w:shd w:val="clear" w:color="auto" w:fill="FFFFFF"/>
              </w:rPr>
            </w:pPr>
            <w:r>
              <w:rPr>
                <w:rFonts w:ascii="宋体" w:hAnsi="宋体" w:cs="宋体"/>
                <w:color w:val="auto"/>
                <w:highlight w:val="none"/>
                <w:shd w:val="clear" w:color="auto" w:fill="FFFFFF"/>
              </w:rPr>
              <w:t>1</w:t>
            </w:r>
          </w:p>
        </w:tc>
        <w:tc>
          <w:tcPr>
            <w:tcW w:w="2421" w:type="dxa"/>
            <w:gridSpan w:val="2"/>
            <w:tcBorders>
              <w:lef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cs="Times New Roman"/>
                <w:color w:val="auto"/>
                <w:highlight w:val="none"/>
                <w:shd w:val="clear" w:color="auto" w:fill="FFFFFF"/>
              </w:rPr>
            </w:pPr>
            <w:r>
              <w:rPr>
                <w:rFonts w:hint="eastAsia" w:ascii="宋体" w:hAnsi="宋体" w:cs="宋体"/>
                <w:color w:val="auto"/>
                <w:highlight w:val="none"/>
                <w:shd w:val="clear" w:color="auto" w:fill="FFFFFF"/>
              </w:rPr>
              <w:t>商务标（</w:t>
            </w:r>
            <w:r>
              <w:rPr>
                <w:rFonts w:ascii="宋体" w:hAnsi="宋体" w:cs="宋体"/>
                <w:color w:val="auto"/>
                <w:highlight w:val="none"/>
                <w:shd w:val="clear" w:color="auto" w:fill="FFFFFF"/>
              </w:rPr>
              <w:t>30</w:t>
            </w:r>
            <w:r>
              <w:rPr>
                <w:rFonts w:hint="eastAsia" w:ascii="宋体" w:hAnsi="宋体" w:cs="宋体"/>
                <w:color w:val="auto"/>
                <w:highlight w:val="none"/>
                <w:shd w:val="clear" w:color="auto" w:fill="FFFFFF"/>
              </w:rPr>
              <w:t>分）</w:t>
            </w:r>
          </w:p>
        </w:tc>
        <w:tc>
          <w:tcPr>
            <w:tcW w:w="6359" w:type="dxa"/>
            <w:tcBorders>
              <w:right w:val="single" w:color="auto" w:sz="4" w:space="0"/>
            </w:tcBorders>
            <w:shd w:val="solid" w:color="FFFFFF" w:fill="auto"/>
            <w:tcMar>
              <w:top w:w="0" w:type="dxa"/>
              <w:left w:w="108" w:type="dxa"/>
              <w:bottom w:w="0" w:type="dxa"/>
              <w:right w:w="108" w:type="dxa"/>
            </w:tcMar>
            <w:vAlign w:val="center"/>
          </w:tcPr>
          <w:p>
            <w:pPr>
              <w:spacing w:line="400" w:lineRule="exact"/>
              <w:rPr>
                <w:rFonts w:ascii="宋体" w:cs="Times New Roman"/>
                <w:color w:val="auto"/>
                <w:highlight w:val="none"/>
              </w:rPr>
            </w:pPr>
            <w:r>
              <w:rPr>
                <w:rFonts w:hint="eastAsia" w:ascii="宋体" w:cs="宋体"/>
                <w:color w:val="auto"/>
                <w:highlight w:val="none"/>
              </w:rPr>
              <w:t>价格分统一采用低价优先法计算，即满足招标文件要求且投标价格最低的投标报价为评标基准价，其价格分为满分</w:t>
            </w:r>
            <w:r>
              <w:rPr>
                <w:rFonts w:ascii="宋体" w:cs="宋体"/>
                <w:color w:val="auto"/>
                <w:highlight w:val="none"/>
              </w:rPr>
              <w:t>30</w:t>
            </w:r>
            <w:r>
              <w:rPr>
                <w:rFonts w:hint="eastAsia" w:ascii="宋体" w:cs="宋体"/>
                <w:color w:val="auto"/>
                <w:highlight w:val="none"/>
              </w:rPr>
              <w:t>分。其他投标人的价格分统一按照下列公式计算：</w:t>
            </w:r>
          </w:p>
          <w:p>
            <w:pPr>
              <w:spacing w:line="400" w:lineRule="exact"/>
              <w:rPr>
                <w:rFonts w:hint="eastAsia" w:ascii="宋体" w:eastAsia="宋体" w:cs="宋体"/>
                <w:color w:val="auto"/>
                <w:highlight w:val="none"/>
                <w:lang w:eastAsia="zh-CN"/>
              </w:rPr>
            </w:pPr>
            <w:r>
              <w:rPr>
                <w:rFonts w:hint="eastAsia" w:ascii="宋体" w:cs="宋体"/>
                <w:color w:val="auto"/>
                <w:highlight w:val="none"/>
              </w:rPr>
              <w:t>投标报价得分</w:t>
            </w:r>
            <w:r>
              <w:rPr>
                <w:rFonts w:ascii="宋体" w:cs="宋体"/>
                <w:color w:val="auto"/>
                <w:highlight w:val="none"/>
              </w:rPr>
              <w:t>=</w:t>
            </w:r>
            <w:r>
              <w:rPr>
                <w:rFonts w:hint="eastAsia" w:ascii="宋体" w:cs="宋体"/>
                <w:color w:val="auto"/>
                <w:highlight w:val="none"/>
              </w:rPr>
              <w:t>（评标基准价</w:t>
            </w:r>
            <w:r>
              <w:rPr>
                <w:rFonts w:ascii="宋体" w:cs="宋体"/>
                <w:color w:val="auto"/>
                <w:highlight w:val="none"/>
              </w:rPr>
              <w:t>/</w:t>
            </w:r>
            <w:r>
              <w:rPr>
                <w:rFonts w:hint="eastAsia" w:ascii="宋体" w:cs="宋体"/>
                <w:color w:val="auto"/>
                <w:highlight w:val="none"/>
              </w:rPr>
              <w:t>投标报价）×</w:t>
            </w:r>
            <w:r>
              <w:rPr>
                <w:rFonts w:ascii="宋体" w:cs="宋体"/>
                <w:color w:val="auto"/>
                <w:highlight w:val="none"/>
              </w:rPr>
              <w:t>30</w:t>
            </w:r>
            <w:r>
              <w:rPr>
                <w:rFonts w:hint="eastAsia" w:ascii="宋体" w:cs="宋体"/>
                <w:color w:val="auto"/>
                <w:highlight w:val="none"/>
                <w:lang w:eastAsia="zh-CN"/>
              </w:rPr>
              <w:t>，最终得分保留小数点两位。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jc w:val="center"/>
        </w:trPr>
        <w:tc>
          <w:tcPr>
            <w:tcW w:w="859" w:type="dxa"/>
            <w:tcBorders>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cs="Times New Roman"/>
                <w:color w:val="auto"/>
                <w:highlight w:val="none"/>
                <w:shd w:val="clear" w:color="auto" w:fill="FFFFFF"/>
              </w:rPr>
            </w:pPr>
            <w:r>
              <w:rPr>
                <w:rFonts w:ascii="宋体" w:hAnsi="宋体" w:cs="宋体"/>
                <w:color w:val="auto"/>
                <w:highlight w:val="none"/>
                <w:shd w:val="clear" w:color="auto" w:fill="FFFFFF"/>
              </w:rPr>
              <w:t>2</w:t>
            </w:r>
          </w:p>
        </w:tc>
        <w:tc>
          <w:tcPr>
            <w:tcW w:w="984" w:type="dxa"/>
            <w:tcBorders>
              <w:lef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cs="Times New Roman"/>
                <w:color w:val="auto"/>
                <w:highlight w:val="none"/>
                <w:shd w:val="clear" w:color="auto" w:fill="FFFFFF"/>
              </w:rPr>
            </w:pPr>
            <w:r>
              <w:rPr>
                <w:rFonts w:hint="eastAsia" w:ascii="宋体" w:hAnsi="宋体" w:cs="宋体"/>
                <w:color w:val="auto"/>
                <w:highlight w:val="none"/>
                <w:shd w:val="clear" w:color="auto" w:fill="FFFFFF"/>
              </w:rPr>
              <w:t>技术标（</w:t>
            </w:r>
            <w:r>
              <w:rPr>
                <w:rFonts w:hint="eastAsia" w:ascii="宋体" w:hAnsi="宋体" w:cs="宋体"/>
                <w:color w:val="auto"/>
                <w:highlight w:val="none"/>
                <w:shd w:val="clear" w:color="auto" w:fill="FFFFFF"/>
                <w:lang w:val="en-US" w:eastAsia="zh-CN"/>
              </w:rPr>
              <w:t>25</w:t>
            </w:r>
            <w:r>
              <w:rPr>
                <w:rFonts w:hint="eastAsia" w:ascii="宋体" w:hAnsi="宋体" w:cs="宋体"/>
                <w:color w:val="auto"/>
                <w:highlight w:val="none"/>
                <w:shd w:val="clear" w:color="auto" w:fill="FFFFFF"/>
              </w:rPr>
              <w:t>分）</w:t>
            </w:r>
          </w:p>
        </w:tc>
        <w:tc>
          <w:tcPr>
            <w:tcW w:w="1437" w:type="dxa"/>
            <w:tcBorders>
              <w:left w:val="single" w:color="auto" w:sz="4" w:space="0"/>
              <w:bottom w:val="single" w:color="auto" w:sz="4" w:space="0"/>
            </w:tcBorders>
            <w:shd w:val="solid" w:color="FFFFFF" w:fill="auto"/>
            <w:vAlign w:val="center"/>
          </w:tcPr>
          <w:p>
            <w:pPr>
              <w:jc w:val="center"/>
              <w:rPr>
                <w:rFonts w:cs="Times New Roman"/>
                <w:color w:val="auto"/>
                <w:highlight w:val="none"/>
              </w:rPr>
            </w:pPr>
            <w:r>
              <w:rPr>
                <w:rFonts w:hint="eastAsia"/>
                <w:color w:val="auto"/>
                <w:highlight w:val="none"/>
                <w:lang w:val="en-US" w:eastAsia="zh-CN"/>
              </w:rPr>
              <w:t>25</w:t>
            </w:r>
            <w:r>
              <w:rPr>
                <w:rFonts w:hint="eastAsia" w:cs="宋体"/>
                <w:color w:val="auto"/>
                <w:highlight w:val="none"/>
              </w:rPr>
              <w:t>分</w:t>
            </w:r>
          </w:p>
        </w:tc>
        <w:tc>
          <w:tcPr>
            <w:tcW w:w="6359" w:type="dxa"/>
            <w:tcBorders>
              <w:right w:val="single" w:color="auto" w:sz="4" w:space="0"/>
            </w:tcBorders>
            <w:shd w:val="solid" w:color="FFFFFF" w:fill="auto"/>
            <w:tcMar>
              <w:top w:w="0" w:type="dxa"/>
              <w:left w:w="108" w:type="dxa"/>
              <w:bottom w:w="0" w:type="dxa"/>
              <w:right w:w="108" w:type="dxa"/>
            </w:tcMar>
            <w:vAlign w:val="center"/>
          </w:tcPr>
          <w:p>
            <w:pPr>
              <w:spacing w:line="400" w:lineRule="exact"/>
              <w:rPr>
                <w:rFonts w:ascii="宋体" w:cs="Times New Roman"/>
                <w:color w:val="auto"/>
                <w:kern w:val="0"/>
                <w:highlight w:val="none"/>
              </w:rPr>
            </w:pPr>
            <w:r>
              <w:rPr>
                <w:rFonts w:hint="eastAsia" w:ascii="宋体" w:cs="宋体"/>
                <w:color w:val="auto"/>
                <w:kern w:val="0"/>
                <w:highlight w:val="none"/>
                <w:lang w:val="en-US" w:eastAsia="zh-CN"/>
              </w:rPr>
              <w:t>2、</w:t>
            </w:r>
            <w:r>
              <w:rPr>
                <w:rFonts w:hint="eastAsia" w:ascii="宋体" w:cs="宋体"/>
                <w:color w:val="auto"/>
                <w:kern w:val="0"/>
                <w:highlight w:val="none"/>
              </w:rPr>
              <w:t>投标设备技术参数满足招标文件要求，得基础分</w:t>
            </w:r>
            <w:r>
              <w:rPr>
                <w:rFonts w:hint="eastAsia" w:ascii="宋体" w:cs="宋体"/>
                <w:color w:val="auto"/>
                <w:kern w:val="0"/>
                <w:highlight w:val="none"/>
                <w:lang w:val="en-US" w:eastAsia="zh-CN"/>
              </w:rPr>
              <w:t>15</w:t>
            </w:r>
            <w:r>
              <w:rPr>
                <w:rFonts w:hint="eastAsia" w:ascii="宋体" w:cs="宋体"/>
                <w:color w:val="auto"/>
                <w:kern w:val="0"/>
                <w:highlight w:val="none"/>
              </w:rPr>
              <w:t>分：与招标文件要求相比有细微偏差的，评委根据投标文件内容分析打分，低于招标文件技术要求，每一项负偏差在基本分的基础上扣</w:t>
            </w:r>
            <w:r>
              <w:rPr>
                <w:rFonts w:ascii="宋体" w:cs="宋体"/>
                <w:color w:val="auto"/>
                <w:kern w:val="0"/>
                <w:highlight w:val="none"/>
              </w:rPr>
              <w:t>1</w:t>
            </w:r>
            <w:r>
              <w:rPr>
                <w:rFonts w:hint="eastAsia" w:ascii="宋体" w:cs="宋体"/>
                <w:color w:val="auto"/>
                <w:kern w:val="0"/>
                <w:highlight w:val="none"/>
              </w:rPr>
              <w:t>分，加星号参数有负偏差的扣</w:t>
            </w:r>
            <w:r>
              <w:rPr>
                <w:rFonts w:ascii="宋体" w:cs="宋体"/>
                <w:color w:val="auto"/>
                <w:kern w:val="0"/>
                <w:highlight w:val="none"/>
              </w:rPr>
              <w:t>5</w:t>
            </w:r>
            <w:r>
              <w:rPr>
                <w:rFonts w:hint="eastAsia" w:ascii="宋体" w:cs="宋体"/>
                <w:color w:val="auto"/>
                <w:kern w:val="0"/>
                <w:highlight w:val="none"/>
              </w:rPr>
              <w:t>分，扣完为止；高于招标文件要求，每一项正偏离在基础分的基础上加</w:t>
            </w:r>
            <w:r>
              <w:rPr>
                <w:rFonts w:ascii="宋体" w:cs="宋体"/>
                <w:color w:val="auto"/>
                <w:kern w:val="0"/>
                <w:highlight w:val="none"/>
              </w:rPr>
              <w:t>1</w:t>
            </w:r>
            <w:r>
              <w:rPr>
                <w:rFonts w:hint="eastAsia" w:ascii="宋体" w:cs="宋体"/>
                <w:color w:val="auto"/>
                <w:kern w:val="0"/>
                <w:highlight w:val="none"/>
              </w:rPr>
              <w:t>分，最高加</w:t>
            </w:r>
            <w:r>
              <w:rPr>
                <w:rFonts w:ascii="宋体" w:cs="宋体"/>
                <w:color w:val="auto"/>
                <w:kern w:val="0"/>
                <w:highlight w:val="none"/>
              </w:rPr>
              <w:t>10</w:t>
            </w:r>
            <w:r>
              <w:rPr>
                <w:rFonts w:hint="eastAsia" w:ascii="宋体" w:cs="宋体"/>
                <w:color w:val="auto"/>
                <w:kern w:val="0"/>
                <w:highlight w:val="none"/>
              </w:rPr>
              <w:t>分。加星号参数有负偏差的所有正偏差不得加分。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6" w:hRule="atLeast"/>
          <w:jc w:val="center"/>
        </w:trPr>
        <w:tc>
          <w:tcPr>
            <w:tcW w:w="859" w:type="dxa"/>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8780" w:type="dxa"/>
            <w:gridSpan w:val="3"/>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20" w:lineRule="exact"/>
              <w:jc w:val="center"/>
              <w:rPr>
                <w:rFonts w:ascii="宋体" w:cs="Times New Roman"/>
                <w:b/>
                <w:bCs/>
                <w:color w:val="auto"/>
                <w:kern w:val="0"/>
                <w:highlight w:val="none"/>
                <w:shd w:val="clear" w:color="auto" w:fill="FFFFFF"/>
              </w:rPr>
            </w:pPr>
            <w:r>
              <w:rPr>
                <w:rFonts w:hint="eastAsia" w:ascii="宋体" w:hAnsi="宋体" w:cs="宋体"/>
                <w:b/>
                <w:bCs/>
                <w:color w:val="auto"/>
                <w:kern w:val="0"/>
                <w:highlight w:val="none"/>
                <w:shd w:val="clear" w:color="auto" w:fill="FFFFFF"/>
              </w:rPr>
              <w:t>以上评审项目缺项得</w:t>
            </w:r>
            <w:r>
              <w:rPr>
                <w:rFonts w:ascii="宋体" w:cs="宋体"/>
                <w:b/>
                <w:bCs/>
                <w:color w:val="auto"/>
                <w:kern w:val="0"/>
                <w:highlight w:val="none"/>
                <w:shd w:val="clear" w:color="auto" w:fill="FFFFFF"/>
              </w:rPr>
              <w:t>0</w:t>
            </w:r>
            <w:r>
              <w:rPr>
                <w:rFonts w:hint="eastAsia" w:ascii="宋体" w:hAnsi="宋体" w:cs="宋体"/>
                <w:b/>
                <w:bCs/>
                <w:color w:val="auto"/>
                <w:kern w:val="0"/>
                <w:highlight w:val="none"/>
                <w:shd w:val="clear" w:color="auto" w:fill="FFFFFF"/>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21" w:hRule="atLeast"/>
          <w:jc w:val="center"/>
        </w:trPr>
        <w:tc>
          <w:tcPr>
            <w:tcW w:w="859" w:type="dxa"/>
            <w:vMerge w:val="restart"/>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r>
              <w:rPr>
                <w:rFonts w:ascii="宋体" w:hAnsi="宋体" w:cs="宋体"/>
                <w:color w:val="auto"/>
                <w:highlight w:val="none"/>
                <w:shd w:val="clear" w:color="auto" w:fill="FFFFFF"/>
              </w:rPr>
              <w:t>3</w:t>
            </w:r>
          </w:p>
        </w:tc>
        <w:tc>
          <w:tcPr>
            <w:tcW w:w="984" w:type="dxa"/>
            <w:vMerge w:val="restart"/>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r>
              <w:rPr>
                <w:rFonts w:hint="eastAsia" w:ascii="宋体" w:hAnsi="宋体" w:cs="宋体"/>
                <w:color w:val="auto"/>
                <w:highlight w:val="none"/>
                <w:shd w:val="clear" w:color="auto" w:fill="FFFFFF"/>
              </w:rPr>
              <w:t>综合标（</w:t>
            </w:r>
            <w:r>
              <w:rPr>
                <w:rFonts w:ascii="宋体" w:hAnsi="宋体" w:cs="宋体"/>
                <w:color w:val="auto"/>
                <w:highlight w:val="none"/>
                <w:shd w:val="clear" w:color="auto" w:fill="FFFFFF"/>
              </w:rPr>
              <w:t>4</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分）</w:t>
            </w:r>
          </w:p>
        </w:tc>
        <w:tc>
          <w:tcPr>
            <w:tcW w:w="7796" w:type="dxa"/>
            <w:gridSpan w:val="2"/>
            <w:tcBorders>
              <w:left w:val="single" w:color="auto" w:sz="4" w:space="0"/>
              <w:right w:val="single" w:color="auto" w:sz="4" w:space="0"/>
            </w:tcBorders>
            <w:shd w:val="solid" w:color="FFFFFF" w:fill="auto"/>
            <w:vAlign w:val="center"/>
          </w:tcPr>
          <w:p>
            <w:pPr>
              <w:autoSpaceDE w:val="0"/>
              <w:autoSpaceDN w:val="0"/>
              <w:adjustRightInd w:val="0"/>
              <w:spacing w:line="300" w:lineRule="exact"/>
              <w:jc w:val="left"/>
              <w:rPr>
                <w:rFonts w:hint="eastAsia" w:ascii="宋体" w:eastAsia="宋体" w:cs="宋体"/>
                <w:color w:val="auto"/>
                <w:kern w:val="0"/>
                <w:highlight w:val="none"/>
                <w:lang w:eastAsia="zh-CN"/>
              </w:rPr>
            </w:pPr>
            <w:r>
              <w:rPr>
                <w:rFonts w:hint="eastAsia" w:ascii="宋体" w:hAnsi="宋体" w:cs="宋体"/>
                <w:kern w:val="0"/>
                <w:lang w:val="en-US" w:eastAsia="zh-CN"/>
              </w:rPr>
              <w:t>1、</w:t>
            </w:r>
            <w:r>
              <w:rPr>
                <w:rFonts w:hint="eastAsia" w:ascii="宋体" w:hAnsi="宋体" w:cs="宋体"/>
                <w:kern w:val="0"/>
              </w:rPr>
              <w:t>业绩要求：投标单位</w:t>
            </w:r>
            <w:r>
              <w:rPr>
                <w:rFonts w:ascii="宋体" w:hAnsi="宋体" w:cs="宋体"/>
                <w:kern w:val="0"/>
              </w:rPr>
              <w:t>2016</w:t>
            </w:r>
            <w:r>
              <w:rPr>
                <w:rFonts w:hint="eastAsia" w:ascii="宋体" w:hAnsi="宋体" w:cs="宋体"/>
                <w:kern w:val="0"/>
              </w:rPr>
              <w:t>年</w:t>
            </w:r>
            <w:r>
              <w:rPr>
                <w:rFonts w:hint="eastAsia" w:ascii="宋体" w:hAnsi="宋体" w:cs="宋体"/>
                <w:kern w:val="0"/>
                <w:lang w:val="en-US" w:eastAsia="zh-CN"/>
              </w:rPr>
              <w:t>11</w:t>
            </w:r>
            <w:r>
              <w:rPr>
                <w:rFonts w:hint="eastAsia" w:ascii="宋体" w:hAnsi="宋体" w:cs="宋体"/>
                <w:kern w:val="0"/>
              </w:rPr>
              <w:t>月</w:t>
            </w:r>
            <w:r>
              <w:rPr>
                <w:rFonts w:ascii="宋体" w:hAnsi="宋体" w:cs="宋体"/>
                <w:kern w:val="0"/>
              </w:rPr>
              <w:t>1</w:t>
            </w:r>
            <w:r>
              <w:rPr>
                <w:rFonts w:hint="eastAsia" w:ascii="宋体" w:hAnsi="宋体" w:cs="宋体"/>
                <w:kern w:val="0"/>
              </w:rPr>
              <w:t>日至今，至少拥有</w:t>
            </w:r>
            <w:r>
              <w:rPr>
                <w:rFonts w:ascii="宋体" w:hAnsi="宋体" w:cs="宋体"/>
                <w:kern w:val="0"/>
              </w:rPr>
              <w:t>1</w:t>
            </w:r>
            <w:r>
              <w:rPr>
                <w:rFonts w:hint="eastAsia" w:ascii="宋体" w:hAnsi="宋体" w:cs="宋体"/>
                <w:kern w:val="0"/>
              </w:rPr>
              <w:t>个县级以上医院的</w:t>
            </w:r>
            <w:r>
              <w:rPr>
                <w:rFonts w:hint="eastAsia" w:ascii="宋体" w:hAnsi="宋体" w:cs="宋体"/>
                <w:kern w:val="0"/>
                <w:lang w:eastAsia="zh-CN"/>
              </w:rPr>
              <w:t>机房建设网络安全方</w:t>
            </w:r>
            <w:r>
              <w:rPr>
                <w:rFonts w:hint="eastAsia" w:ascii="宋体" w:hAnsi="宋体" w:cs="宋体"/>
                <w:kern w:val="0"/>
              </w:rPr>
              <w:t>面的类似业绩（包括合同、中标通知书、合同公示网页截图（截图加盖企业公章））；每提供一项符合的业绩得</w:t>
            </w:r>
            <w:r>
              <w:rPr>
                <w:rFonts w:hint="eastAsia" w:ascii="宋体" w:hAnsi="宋体" w:cs="宋体"/>
                <w:kern w:val="0"/>
                <w:lang w:val="en-US" w:eastAsia="zh-CN"/>
              </w:rPr>
              <w:t>1</w:t>
            </w:r>
            <w:r>
              <w:rPr>
                <w:rFonts w:hint="eastAsia" w:ascii="宋体" w:hAnsi="宋体" w:cs="宋体"/>
                <w:kern w:val="0"/>
              </w:rPr>
              <w:t>分，最多得</w:t>
            </w:r>
            <w:r>
              <w:rPr>
                <w:rFonts w:hint="eastAsia" w:ascii="宋体" w:hAnsi="宋体" w:cs="宋体"/>
                <w:kern w:val="0"/>
                <w:lang w:val="en-US" w:eastAsia="zh-CN"/>
              </w:rPr>
              <w:t>3</w:t>
            </w:r>
            <w:r>
              <w:rPr>
                <w:rFonts w:hint="eastAsia" w:ascii="宋体" w:hAnsi="宋体" w:cs="宋体"/>
                <w:kern w:val="0"/>
              </w:rPr>
              <w:t>分</w:t>
            </w:r>
            <w:r>
              <w:rPr>
                <w:rFonts w:hint="eastAsia" w:ascii="宋体" w:hAnsi="宋体" w:cs="宋体"/>
                <w:kern w:val="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2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hint="eastAsia" w:ascii="宋体" w:hAnsi="宋体" w:cs="宋体"/>
                <w:color w:val="auto"/>
                <w:highlight w:val="none"/>
                <w:shd w:val="clear" w:color="auto" w:fill="FFFFFF"/>
              </w:rPr>
            </w:pPr>
          </w:p>
        </w:tc>
        <w:tc>
          <w:tcPr>
            <w:tcW w:w="7796" w:type="dxa"/>
            <w:gridSpan w:val="2"/>
            <w:tcBorders>
              <w:left w:val="single" w:color="auto" w:sz="4" w:space="0"/>
              <w:right w:val="single" w:color="auto" w:sz="4" w:space="0"/>
            </w:tcBorders>
            <w:shd w:val="solid" w:color="FFFFFF" w:fill="auto"/>
            <w:vAlign w:val="center"/>
          </w:tcPr>
          <w:p>
            <w:pPr>
              <w:autoSpaceDE w:val="0"/>
              <w:autoSpaceDN w:val="0"/>
              <w:adjustRightInd w:val="0"/>
              <w:spacing w:line="300" w:lineRule="exact"/>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实施方案：根据各投标人的项目组织计划的内容及安装施工进度计划安排的科学性、合理性、有序性，在施工的过程中采用的新设备，降低成本、缩短工期所采用的新工艺，安装调试检测设备齐全，人员安排合理、管理机构健全性等进行打分。</w:t>
            </w:r>
            <w:r>
              <w:rPr>
                <w:rFonts w:ascii="宋体" w:hAnsi="宋体" w:cs="宋体"/>
                <w:kern w:val="0"/>
              </w:rPr>
              <w:t>0-</w:t>
            </w:r>
            <w:r>
              <w:rPr>
                <w:rFonts w:hint="eastAsia" w:ascii="宋体" w:hAnsi="宋体" w:cs="宋体"/>
                <w:kern w:val="0"/>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2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3</w:t>
            </w:r>
            <w:r>
              <w:rPr>
                <w:rFonts w:hint="eastAsia" w:ascii="宋体" w:cs="宋体"/>
                <w:color w:val="auto"/>
                <w:kern w:val="0"/>
                <w:highlight w:val="none"/>
              </w:rPr>
              <w:t>、模块化机房产品为业内排名前列的品牌，提供厂家最近三个年度（</w:t>
            </w:r>
            <w:r>
              <w:rPr>
                <w:rFonts w:ascii="宋体" w:cs="宋体"/>
                <w:color w:val="auto"/>
                <w:kern w:val="0"/>
                <w:highlight w:val="none"/>
              </w:rPr>
              <w:t>2016~2017</w:t>
            </w:r>
            <w:r>
              <w:rPr>
                <w:rFonts w:hint="eastAsia" w:ascii="宋体" w:cs="宋体"/>
                <w:color w:val="auto"/>
                <w:kern w:val="0"/>
                <w:highlight w:val="none"/>
              </w:rPr>
              <w:t>年度、</w:t>
            </w:r>
            <w:r>
              <w:rPr>
                <w:rFonts w:ascii="宋体" w:cs="宋体"/>
                <w:color w:val="auto"/>
                <w:kern w:val="0"/>
                <w:highlight w:val="none"/>
              </w:rPr>
              <w:t xml:space="preserve"> 2017~2018</w:t>
            </w:r>
            <w:r>
              <w:rPr>
                <w:rFonts w:hint="eastAsia" w:ascii="宋体" w:cs="宋体"/>
                <w:color w:val="auto"/>
                <w:kern w:val="0"/>
                <w:highlight w:val="none"/>
              </w:rPr>
              <w:t>年度、</w:t>
            </w:r>
            <w:r>
              <w:rPr>
                <w:rFonts w:ascii="宋体" w:cs="宋体"/>
                <w:color w:val="auto"/>
                <w:kern w:val="0"/>
                <w:highlight w:val="none"/>
              </w:rPr>
              <w:t>2018~2019</w:t>
            </w:r>
            <w:r>
              <w:rPr>
                <w:rFonts w:hint="eastAsia" w:ascii="宋体" w:cs="宋体"/>
                <w:color w:val="auto"/>
                <w:kern w:val="0"/>
                <w:highlight w:val="none"/>
              </w:rPr>
              <w:t>年度）</w:t>
            </w:r>
            <w:r>
              <w:rPr>
                <w:rFonts w:ascii="宋体" w:cs="宋体"/>
                <w:color w:val="auto"/>
                <w:kern w:val="0"/>
                <w:highlight w:val="none"/>
              </w:rPr>
              <w:t xml:space="preserve"> </w:t>
            </w:r>
            <w:r>
              <w:rPr>
                <w:rFonts w:hint="eastAsia" w:ascii="宋体" w:cs="宋体"/>
                <w:color w:val="auto"/>
                <w:kern w:val="0"/>
                <w:highlight w:val="none"/>
              </w:rPr>
              <w:t>的</w:t>
            </w:r>
            <w:r>
              <w:rPr>
                <w:rFonts w:ascii="宋体" w:cs="宋体"/>
                <w:color w:val="auto"/>
                <w:kern w:val="0"/>
                <w:highlight w:val="none"/>
              </w:rPr>
              <w:t>ICTresearch</w:t>
            </w:r>
            <w:r>
              <w:rPr>
                <w:rFonts w:hint="eastAsia" w:ascii="宋体" w:cs="宋体"/>
                <w:color w:val="auto"/>
                <w:kern w:val="0"/>
                <w:highlight w:val="none"/>
              </w:rPr>
              <w:t>调查数据引用证明并加盖原厂商公章的复印件；至少两个年度排名在前五名得</w:t>
            </w:r>
            <w:r>
              <w:rPr>
                <w:rFonts w:ascii="宋体" w:cs="宋体"/>
                <w:color w:val="auto"/>
                <w:kern w:val="0"/>
                <w:highlight w:val="none"/>
              </w:rPr>
              <w:t>2</w:t>
            </w:r>
            <w:r>
              <w:rPr>
                <w:rFonts w:hint="eastAsia" w:ascii="宋体" w:cs="宋体"/>
                <w:color w:val="auto"/>
                <w:kern w:val="0"/>
                <w:highlight w:val="none"/>
              </w:rPr>
              <w:t>分，至少两个年度排名前三者，得</w:t>
            </w:r>
            <w:r>
              <w:rPr>
                <w:rFonts w:hint="eastAsia" w:ascii="宋体" w:cs="宋体"/>
                <w:color w:val="auto"/>
                <w:kern w:val="0"/>
                <w:highlight w:val="none"/>
                <w:lang w:val="en-US" w:eastAsia="zh-CN"/>
              </w:rPr>
              <w:t>4</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35"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4</w:t>
            </w:r>
            <w:r>
              <w:rPr>
                <w:rFonts w:hint="eastAsia" w:ascii="宋体" w:cs="宋体"/>
                <w:color w:val="auto"/>
                <w:kern w:val="0"/>
                <w:highlight w:val="none"/>
              </w:rPr>
              <w:t>、模块化机房厂家能提供优质的原厂本地化服务，应有经河南省工商部门注册的省级分公司，提供河南分公司营业执照复印件并加盖原厂商公章，至少</w:t>
            </w:r>
            <w:r>
              <w:rPr>
                <w:rFonts w:ascii="宋体" w:cs="宋体"/>
                <w:color w:val="auto"/>
                <w:kern w:val="0"/>
                <w:highlight w:val="none"/>
              </w:rPr>
              <w:t>3</w:t>
            </w:r>
            <w:r>
              <w:rPr>
                <w:rFonts w:hint="eastAsia" w:ascii="宋体" w:cs="宋体"/>
                <w:color w:val="auto"/>
                <w:kern w:val="0"/>
                <w:highlight w:val="none"/>
              </w:rPr>
              <w:t>名原厂工程师在河南本地缴纳社保的证明材料的复印件并加盖原厂商公章；满足得</w:t>
            </w:r>
            <w:r>
              <w:rPr>
                <w:rFonts w:hint="eastAsia" w:ascii="宋体" w:cs="宋体"/>
                <w:color w:val="auto"/>
                <w:kern w:val="0"/>
                <w:highlight w:val="none"/>
                <w:lang w:val="en-US" w:eastAsia="zh-CN"/>
              </w:rPr>
              <w:t>3</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05"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cs="宋体"/>
                <w:color w:val="auto"/>
                <w:highlight w:val="none"/>
                <w:lang w:val="en-US" w:eastAsia="zh-CN"/>
              </w:rPr>
              <w:t>5</w:t>
            </w:r>
            <w:r>
              <w:rPr>
                <w:rFonts w:hint="eastAsia" w:cs="宋体"/>
                <w:color w:val="auto"/>
                <w:highlight w:val="none"/>
              </w:rPr>
              <w:t>、日志审计产品厂家具备工信部颁发的</w:t>
            </w:r>
            <w:r>
              <w:rPr>
                <w:color w:val="auto"/>
                <w:highlight w:val="none"/>
              </w:rPr>
              <w:t>ITSS</w:t>
            </w:r>
            <w:r>
              <w:rPr>
                <w:rFonts w:hint="eastAsia" w:cs="宋体"/>
                <w:color w:val="auto"/>
                <w:highlight w:val="none"/>
              </w:rPr>
              <w:t>云计算服务能力标准符合性证书，提供复印件并加盖原厂商公章，满足得</w:t>
            </w:r>
            <w:r>
              <w:rPr>
                <w:color w:val="auto"/>
                <w:highlight w:val="none"/>
              </w:rPr>
              <w:t>2</w:t>
            </w:r>
            <w:r>
              <w:rPr>
                <w:rFonts w:hint="eastAsia" w:cs="宋体"/>
                <w:color w:val="auto"/>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6</w:t>
            </w:r>
            <w:r>
              <w:rPr>
                <w:rFonts w:hint="eastAsia" w:ascii="宋体" w:cs="宋体"/>
                <w:color w:val="auto"/>
                <w:kern w:val="0"/>
                <w:highlight w:val="none"/>
              </w:rPr>
              <w:t>、防火墙产品厂家参与信息安全等级保护关键技术国家工程实验室建设，并提供共建协议证明文件并加盖原厂商公章，满足得</w:t>
            </w:r>
            <w:r>
              <w:rPr>
                <w:rFonts w:hint="eastAsia" w:ascii="宋体" w:cs="宋体"/>
                <w:color w:val="auto"/>
                <w:kern w:val="0"/>
                <w:highlight w:val="none"/>
                <w:lang w:val="en-US" w:eastAsia="zh-CN"/>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color w:val="auto"/>
                <w:highlight w:val="none"/>
                <w:lang w:val="en-US" w:eastAsia="zh-CN"/>
              </w:rPr>
              <w:t>7</w:t>
            </w:r>
            <w:r>
              <w:rPr>
                <w:rFonts w:hint="eastAsia" w:cs="宋体"/>
                <w:color w:val="auto"/>
                <w:highlight w:val="none"/>
              </w:rPr>
              <w:t>、</w:t>
            </w:r>
            <w:r>
              <w:rPr>
                <w:rFonts w:hint="eastAsia" w:cs="宋体"/>
                <w:color w:val="auto"/>
                <w:sz w:val="20"/>
                <w:szCs w:val="20"/>
                <w:highlight w:val="none"/>
              </w:rPr>
              <w:t>防火墙产品厂家</w:t>
            </w:r>
            <w:r>
              <w:rPr>
                <w:rFonts w:hint="eastAsia" w:cs="宋体"/>
                <w:color w:val="auto"/>
                <w:highlight w:val="none"/>
              </w:rPr>
              <w:t>具备信息系统安全运维服务资质一级资质，提供复印件并加盖原厂商公章。满足得</w:t>
            </w:r>
            <w:r>
              <w:rPr>
                <w:color w:val="auto"/>
                <w:highlight w:val="none"/>
              </w:rPr>
              <w:t>2</w:t>
            </w:r>
            <w:r>
              <w:rPr>
                <w:rFonts w:hint="eastAsia" w:cs="宋体"/>
                <w:color w:val="auto"/>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8</w:t>
            </w:r>
            <w:r>
              <w:rPr>
                <w:rFonts w:hint="eastAsia" w:ascii="宋体" w:cs="宋体"/>
                <w:color w:val="auto"/>
                <w:kern w:val="0"/>
                <w:highlight w:val="none"/>
              </w:rPr>
              <w:t>、防火墙产品厂家具备国家网络安全应急支撑单位（反网络诈骗领域）资质证书，提供复印件并加盖原厂商公章。满足得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9</w:t>
            </w:r>
            <w:r>
              <w:rPr>
                <w:rFonts w:hint="eastAsia" w:ascii="宋体" w:cs="宋体"/>
                <w:color w:val="auto"/>
                <w:kern w:val="0"/>
                <w:highlight w:val="none"/>
              </w:rPr>
              <w:t>、防火墙产品厂家具备中国信息安全测评中心颁发的信息安全服务资质证书（云计算安全类一级），提供复印件并加盖原厂商公章，满足得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10</w:t>
            </w:r>
            <w:r>
              <w:rPr>
                <w:rFonts w:hint="eastAsia" w:ascii="宋体" w:cs="宋体"/>
                <w:color w:val="auto"/>
                <w:kern w:val="0"/>
                <w:highlight w:val="none"/>
              </w:rPr>
              <w:t>、精密空调产品为业内排名前列的品牌，提供厂家最近三个年度（</w:t>
            </w:r>
            <w:r>
              <w:rPr>
                <w:rFonts w:ascii="宋体" w:cs="宋体"/>
                <w:color w:val="auto"/>
                <w:kern w:val="0"/>
                <w:highlight w:val="none"/>
              </w:rPr>
              <w:t>2016~2017</w:t>
            </w:r>
            <w:r>
              <w:rPr>
                <w:rFonts w:hint="eastAsia" w:ascii="宋体" w:cs="宋体"/>
                <w:color w:val="auto"/>
                <w:kern w:val="0"/>
                <w:highlight w:val="none"/>
              </w:rPr>
              <w:t>年度、</w:t>
            </w:r>
            <w:r>
              <w:rPr>
                <w:rFonts w:ascii="宋体" w:cs="宋体"/>
                <w:color w:val="auto"/>
                <w:kern w:val="0"/>
                <w:highlight w:val="none"/>
              </w:rPr>
              <w:t xml:space="preserve"> 2017~2018</w:t>
            </w:r>
            <w:r>
              <w:rPr>
                <w:rFonts w:hint="eastAsia" w:ascii="宋体" w:cs="宋体"/>
                <w:color w:val="auto"/>
                <w:kern w:val="0"/>
                <w:highlight w:val="none"/>
              </w:rPr>
              <w:t>年度、</w:t>
            </w:r>
            <w:r>
              <w:rPr>
                <w:rFonts w:ascii="宋体" w:cs="宋体"/>
                <w:color w:val="auto"/>
                <w:kern w:val="0"/>
                <w:highlight w:val="none"/>
              </w:rPr>
              <w:t>2018~2019</w:t>
            </w:r>
            <w:r>
              <w:rPr>
                <w:rFonts w:hint="eastAsia" w:ascii="宋体" w:cs="宋体"/>
                <w:color w:val="auto"/>
                <w:kern w:val="0"/>
                <w:highlight w:val="none"/>
              </w:rPr>
              <w:t>年度）</w:t>
            </w:r>
            <w:r>
              <w:rPr>
                <w:rFonts w:ascii="宋体" w:cs="宋体"/>
                <w:color w:val="auto"/>
                <w:kern w:val="0"/>
                <w:highlight w:val="none"/>
              </w:rPr>
              <w:t xml:space="preserve"> </w:t>
            </w:r>
            <w:r>
              <w:rPr>
                <w:rFonts w:hint="eastAsia" w:ascii="宋体" w:cs="宋体"/>
                <w:color w:val="auto"/>
                <w:kern w:val="0"/>
                <w:highlight w:val="none"/>
              </w:rPr>
              <w:t>的</w:t>
            </w:r>
            <w:r>
              <w:rPr>
                <w:rFonts w:ascii="宋体" w:cs="宋体"/>
                <w:color w:val="auto"/>
                <w:kern w:val="0"/>
                <w:highlight w:val="none"/>
              </w:rPr>
              <w:t>ICTresearch</w:t>
            </w:r>
            <w:r>
              <w:rPr>
                <w:rFonts w:hint="eastAsia" w:ascii="宋体" w:cs="宋体"/>
                <w:color w:val="auto"/>
                <w:kern w:val="0"/>
                <w:highlight w:val="none"/>
              </w:rPr>
              <w:t>调查数据引用证明并加盖原厂商公章的复印件；三个年度排名均在前五得</w:t>
            </w:r>
            <w:r>
              <w:rPr>
                <w:rFonts w:ascii="宋体" w:cs="宋体"/>
                <w:color w:val="auto"/>
                <w:kern w:val="0"/>
                <w:highlight w:val="none"/>
              </w:rPr>
              <w:t>1</w:t>
            </w:r>
            <w:r>
              <w:rPr>
                <w:rFonts w:hint="eastAsia" w:ascii="宋体" w:cs="宋体"/>
                <w:color w:val="auto"/>
                <w:kern w:val="0"/>
                <w:highlight w:val="none"/>
              </w:rPr>
              <w:t>分，三个年度排名均在前三得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11</w:t>
            </w:r>
            <w:r>
              <w:rPr>
                <w:rFonts w:hint="eastAsia" w:ascii="宋体" w:cs="宋体"/>
                <w:color w:val="auto"/>
                <w:kern w:val="0"/>
                <w:highlight w:val="none"/>
              </w:rPr>
              <w:t>、本次投标的</w:t>
            </w:r>
            <w:r>
              <w:rPr>
                <w:rFonts w:ascii="宋体" w:cs="宋体"/>
                <w:color w:val="auto"/>
                <w:kern w:val="0"/>
                <w:highlight w:val="none"/>
              </w:rPr>
              <w:t>UPS</w:t>
            </w:r>
            <w:r>
              <w:rPr>
                <w:rFonts w:hint="eastAsia" w:ascii="宋体" w:cs="宋体"/>
                <w:color w:val="auto"/>
                <w:kern w:val="0"/>
                <w:highlight w:val="none"/>
              </w:rPr>
              <w:t>产品要求输出功率因数为</w:t>
            </w:r>
            <w:r>
              <w:rPr>
                <w:rFonts w:ascii="宋体" w:cs="宋体"/>
                <w:color w:val="auto"/>
                <w:kern w:val="0"/>
                <w:highlight w:val="none"/>
              </w:rPr>
              <w:t>1</w:t>
            </w:r>
            <w:r>
              <w:rPr>
                <w:rFonts w:hint="eastAsia" w:ascii="宋体" w:cs="宋体"/>
                <w:color w:val="auto"/>
                <w:kern w:val="0"/>
                <w:highlight w:val="none"/>
              </w:rPr>
              <w:t>，提供同系列产品的泰尔测试报告复印件，并加盖厂商公章；满足得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12</w:t>
            </w:r>
            <w:r>
              <w:rPr>
                <w:rFonts w:hint="eastAsia" w:ascii="宋体" w:cs="宋体"/>
                <w:color w:val="auto"/>
                <w:kern w:val="0"/>
                <w:highlight w:val="none"/>
              </w:rPr>
              <w:t>、提供机柜产品的泰尔认证证书及泰尔测试报告，要求生产单位与申请单位均与本次投标品牌一致，提供复印件并加盖原厂商公章，满足得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lang w:val="en-US" w:eastAsia="zh-CN"/>
              </w:rPr>
              <w:t>13</w:t>
            </w:r>
            <w:r>
              <w:rPr>
                <w:rFonts w:hint="eastAsia" w:ascii="宋体" w:cs="宋体"/>
                <w:color w:val="auto"/>
                <w:kern w:val="0"/>
                <w:highlight w:val="none"/>
              </w:rPr>
              <w:t>、提供</w:t>
            </w:r>
            <w:r>
              <w:rPr>
                <w:rFonts w:ascii="宋体" w:cs="宋体"/>
                <w:color w:val="auto"/>
                <w:kern w:val="0"/>
                <w:highlight w:val="none"/>
              </w:rPr>
              <w:t>PDU</w:t>
            </w:r>
            <w:r>
              <w:rPr>
                <w:rFonts w:hint="eastAsia" w:ascii="宋体" w:cs="宋体"/>
                <w:color w:val="auto"/>
                <w:kern w:val="0"/>
                <w:highlight w:val="none"/>
              </w:rPr>
              <w:t>产品的</w:t>
            </w:r>
            <w:r>
              <w:rPr>
                <w:rFonts w:ascii="宋体" w:cs="宋体"/>
                <w:color w:val="auto"/>
                <w:kern w:val="0"/>
                <w:highlight w:val="none"/>
              </w:rPr>
              <w:t>CCC</w:t>
            </w:r>
            <w:r>
              <w:rPr>
                <w:rFonts w:hint="eastAsia" w:ascii="宋体" w:cs="宋体"/>
                <w:color w:val="auto"/>
                <w:kern w:val="0"/>
                <w:highlight w:val="none"/>
              </w:rPr>
              <w:t>证书复印件，并加盖原厂商公章（获证方应和模块化机房的品牌一致），满足得</w:t>
            </w:r>
            <w:r>
              <w:rPr>
                <w:rFonts w:hint="eastAsia" w:ascii="宋体" w:cs="宋体"/>
                <w:color w:val="auto"/>
                <w:kern w:val="0"/>
                <w:highlight w:val="none"/>
                <w:lang w:val="en-US" w:eastAsia="zh-CN"/>
              </w:rPr>
              <w:t>1</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ascii="宋体" w:cs="宋体"/>
                <w:color w:val="auto"/>
                <w:kern w:val="0"/>
                <w:highlight w:val="none"/>
              </w:rPr>
              <w:t>1</w:t>
            </w:r>
            <w:r>
              <w:rPr>
                <w:rFonts w:hint="eastAsia" w:ascii="宋体" w:cs="宋体"/>
                <w:color w:val="auto"/>
                <w:kern w:val="0"/>
                <w:highlight w:val="none"/>
                <w:lang w:val="en-US" w:eastAsia="zh-CN"/>
              </w:rPr>
              <w:t>4</w:t>
            </w:r>
            <w:r>
              <w:rPr>
                <w:rFonts w:hint="eastAsia" w:ascii="宋体" w:cs="宋体"/>
                <w:color w:val="auto"/>
                <w:kern w:val="0"/>
                <w:highlight w:val="none"/>
              </w:rPr>
              <w:t>、精密空调投标品牌厂商需具备《中国合格评定国家认可委员会实验室认可证书》，提供复印件并加盖公章，满足得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hint="eastAsia" w:ascii="宋体" w:cs="宋体"/>
                <w:color w:val="auto"/>
                <w:kern w:val="0"/>
                <w:highlight w:val="none"/>
              </w:rPr>
              <w:t>1</w:t>
            </w:r>
            <w:r>
              <w:rPr>
                <w:rFonts w:hint="eastAsia" w:ascii="宋体" w:cs="宋体"/>
                <w:color w:val="auto"/>
                <w:kern w:val="0"/>
                <w:highlight w:val="none"/>
                <w:lang w:val="en-US" w:eastAsia="zh-CN"/>
              </w:rPr>
              <w:t>5</w:t>
            </w:r>
            <w:r>
              <w:rPr>
                <w:rFonts w:hint="eastAsia" w:ascii="宋体" w:cs="宋体"/>
                <w:color w:val="auto"/>
                <w:kern w:val="0"/>
                <w:highlight w:val="none"/>
              </w:rPr>
              <w:t>、本次投标的精密空调及UPS系列产品应具备中国质量检验协会颁发的《全国质量检验稳定合格产品》证书，提供复印件并加盖原厂商公章；满足得2分，不满足不得分。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ascii="宋体" w:cs="宋体"/>
                <w:color w:val="auto"/>
                <w:kern w:val="0"/>
                <w:highlight w:val="none"/>
              </w:rPr>
              <w:t>1</w:t>
            </w:r>
            <w:r>
              <w:rPr>
                <w:rFonts w:hint="eastAsia" w:ascii="宋体" w:cs="宋体"/>
                <w:color w:val="auto"/>
                <w:kern w:val="0"/>
                <w:highlight w:val="none"/>
                <w:lang w:val="en-US" w:eastAsia="zh-CN"/>
              </w:rPr>
              <w:t>6</w:t>
            </w:r>
            <w:r>
              <w:rPr>
                <w:rFonts w:hint="eastAsia" w:ascii="宋体" w:cs="宋体"/>
                <w:color w:val="auto"/>
                <w:kern w:val="0"/>
                <w:highlight w:val="none"/>
              </w:rPr>
              <w:t>、上网行为管理产品需具备国家版权局颁发的《</w:t>
            </w:r>
            <w:r>
              <w:rPr>
                <w:rFonts w:ascii="宋体" w:cs="宋体"/>
                <w:color w:val="auto"/>
                <w:kern w:val="0"/>
                <w:highlight w:val="none"/>
              </w:rPr>
              <w:t>SSL</w:t>
            </w:r>
            <w:r>
              <w:rPr>
                <w:rFonts w:hint="eastAsia" w:ascii="宋体" w:cs="宋体"/>
                <w:color w:val="auto"/>
                <w:kern w:val="0"/>
                <w:highlight w:val="none"/>
              </w:rPr>
              <w:t>加密内容识别》著作权登记证书，提供复印件并加盖原厂商公章，满足得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ascii="宋体" w:cs="宋体"/>
                <w:color w:val="auto"/>
                <w:kern w:val="0"/>
                <w:highlight w:val="none"/>
              </w:rPr>
              <w:t>1</w:t>
            </w:r>
            <w:r>
              <w:rPr>
                <w:rFonts w:hint="eastAsia" w:ascii="宋体" w:cs="宋体"/>
                <w:color w:val="auto"/>
                <w:kern w:val="0"/>
                <w:highlight w:val="none"/>
                <w:lang w:val="en-US" w:eastAsia="zh-CN"/>
              </w:rPr>
              <w:t>7</w:t>
            </w:r>
            <w:r>
              <w:rPr>
                <w:rFonts w:hint="eastAsia" w:ascii="宋体" w:cs="宋体"/>
                <w:color w:val="auto"/>
                <w:kern w:val="0"/>
                <w:highlight w:val="none"/>
              </w:rPr>
              <w:t>、防火墙产品需具备国家信息安全测评中心颁发的《信息技术产品安全测评证书》（千兆</w:t>
            </w:r>
            <w:r>
              <w:rPr>
                <w:rFonts w:ascii="宋体" w:cs="宋体"/>
                <w:color w:val="auto"/>
                <w:kern w:val="0"/>
                <w:highlight w:val="none"/>
              </w:rPr>
              <w:t xml:space="preserve"> EAL4+</w:t>
            </w:r>
            <w:r>
              <w:rPr>
                <w:rFonts w:hint="eastAsia" w:ascii="宋体" w:cs="宋体"/>
                <w:color w:val="auto"/>
                <w:kern w:val="0"/>
                <w:highlight w:val="none"/>
              </w:rPr>
              <w:t>），提供复印件并加盖原厂商公章，满足得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Times New Roman"/>
                <w:color w:val="auto"/>
                <w:kern w:val="0"/>
                <w:highlight w:val="none"/>
              </w:rPr>
            </w:pPr>
            <w:r>
              <w:rPr>
                <w:rFonts w:ascii="宋体" w:cs="宋体"/>
                <w:color w:val="auto"/>
                <w:kern w:val="0"/>
                <w:highlight w:val="none"/>
              </w:rPr>
              <w:t>1</w:t>
            </w:r>
            <w:r>
              <w:rPr>
                <w:rFonts w:hint="eastAsia" w:ascii="宋体" w:cs="宋体"/>
                <w:color w:val="auto"/>
                <w:kern w:val="0"/>
                <w:highlight w:val="none"/>
                <w:lang w:val="en-US" w:eastAsia="zh-CN"/>
              </w:rPr>
              <w:t>8</w:t>
            </w:r>
            <w:r>
              <w:rPr>
                <w:rFonts w:hint="eastAsia" w:ascii="宋体" w:cs="宋体"/>
                <w:color w:val="auto"/>
                <w:kern w:val="0"/>
                <w:highlight w:val="none"/>
              </w:rPr>
              <w:t>、日志审计系统需具备国家信息安全测评中心颁发的《信息技术产品安全测试证书》</w:t>
            </w:r>
            <w:r>
              <w:rPr>
                <w:rFonts w:ascii="宋体" w:cs="宋体"/>
                <w:color w:val="auto"/>
                <w:kern w:val="0"/>
                <w:highlight w:val="none"/>
              </w:rPr>
              <w:t>EAL3+</w:t>
            </w:r>
            <w:r>
              <w:rPr>
                <w:rFonts w:hint="eastAsia" w:ascii="宋体" w:cs="宋体"/>
                <w:color w:val="auto"/>
                <w:kern w:val="0"/>
                <w:highlight w:val="none"/>
              </w:rPr>
              <w:t>，提供复印件并加盖原厂商公章，满足得</w:t>
            </w:r>
            <w:r>
              <w:rPr>
                <w:rFonts w:ascii="宋体" w:cs="宋体"/>
                <w:color w:val="auto"/>
                <w:kern w:val="0"/>
                <w:highlight w:val="none"/>
              </w:rPr>
              <w:t>2</w:t>
            </w:r>
            <w:r>
              <w:rPr>
                <w:rFonts w:hint="eastAsia" w:ascii="宋体" w:cs="宋体"/>
                <w:color w:val="auto"/>
                <w:kern w:val="0"/>
                <w:highlight w:val="none"/>
              </w:rPr>
              <w:t>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rFonts w:ascii="宋体" w:cs="宋体"/>
                <w:color w:val="auto"/>
                <w:kern w:val="0"/>
                <w:highlight w:val="none"/>
              </w:rPr>
            </w:pPr>
            <w:r>
              <w:rPr>
                <w:color w:val="auto"/>
                <w:highlight w:val="none"/>
              </w:rPr>
              <w:t>1</w:t>
            </w:r>
            <w:r>
              <w:rPr>
                <w:rFonts w:hint="eastAsia"/>
                <w:color w:val="auto"/>
                <w:highlight w:val="none"/>
                <w:lang w:val="en-US" w:eastAsia="zh-CN"/>
              </w:rPr>
              <w:t>9</w:t>
            </w:r>
            <w:r>
              <w:rPr>
                <w:rFonts w:hint="eastAsia" w:cs="宋体"/>
                <w:color w:val="auto"/>
                <w:highlight w:val="none"/>
              </w:rPr>
              <w:t>、安全隔离网闸产品需具备国家信息安全测评信息技术产品安全测评证书EAL3+；提供复印件并加盖原厂商公章，满足得2分，不满足不得分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shd w:val="clear" w:color="auto" w:fill="FFFFFF"/>
              </w:rPr>
            </w:pPr>
          </w:p>
        </w:tc>
        <w:tc>
          <w:tcPr>
            <w:tcW w:w="984"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cs="Times New Roman"/>
                <w:color w:val="auto"/>
                <w:highlight w:val="none"/>
              </w:rPr>
            </w:pPr>
          </w:p>
        </w:tc>
        <w:tc>
          <w:tcPr>
            <w:tcW w:w="7796" w:type="dxa"/>
            <w:gridSpan w:val="2"/>
            <w:tcBorders>
              <w:left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00" w:lineRule="exact"/>
              <w:jc w:val="left"/>
              <w:rPr>
                <w:color w:val="auto"/>
                <w:highlight w:val="none"/>
              </w:rPr>
            </w:pPr>
            <w:r>
              <w:rPr>
                <w:rFonts w:hint="eastAsia" w:ascii="宋体" w:cs="Times New Roman"/>
                <w:color w:val="auto"/>
                <w:kern w:val="0"/>
                <w:highlight w:val="none"/>
                <w:lang w:val="en-US" w:eastAsia="zh-CN"/>
              </w:rPr>
              <w:t>20、</w:t>
            </w:r>
            <w:r>
              <w:rPr>
                <w:rFonts w:hint="eastAsia" w:ascii="宋体" w:cs="Times New Roman"/>
                <w:color w:val="auto"/>
                <w:kern w:val="0"/>
                <w:highlight w:val="none"/>
              </w:rPr>
              <w:t>售后服务及培训：对招标人进行全方位免费技术培训承诺，并提供详细的培训计划，为招标人提供售后服务计划，质量保证期内、外的服务承诺等</w:t>
            </w:r>
            <w:r>
              <w:rPr>
                <w:rFonts w:hint="eastAsia" w:ascii="宋体" w:cs="Times New Roman"/>
                <w:color w:val="auto"/>
                <w:kern w:val="0"/>
                <w:highlight w:val="none"/>
                <w:lang w:eastAsia="zh-CN"/>
              </w:rPr>
              <w:t>。</w:t>
            </w:r>
            <w:r>
              <w:rPr>
                <w:rFonts w:hint="eastAsia" w:ascii="宋体" w:cs="Times New Roman"/>
                <w:color w:val="auto"/>
                <w:kern w:val="0"/>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9639" w:type="dxa"/>
            <w:gridSpan w:val="4"/>
            <w:vAlign w:val="center"/>
          </w:tcPr>
          <w:p>
            <w:pPr>
              <w:shd w:val="solid" w:color="FFFFFF" w:fill="auto"/>
              <w:autoSpaceDN w:val="0"/>
              <w:spacing w:line="360" w:lineRule="exact"/>
              <w:rPr>
                <w:rFonts w:ascii="宋体" w:cs="Times New Roman"/>
                <w:color w:val="auto"/>
                <w:highlight w:val="none"/>
                <w:shd w:val="clear" w:color="auto" w:fill="FFFFFF"/>
              </w:rPr>
            </w:pPr>
            <w:r>
              <w:rPr>
                <w:rFonts w:hint="eastAsia" w:ascii="宋体" w:hAnsi="宋体" w:cs="宋体"/>
                <w:color w:val="auto"/>
                <w:highlight w:val="none"/>
                <w:shd w:val="clear" w:color="auto" w:fill="FFFFFF"/>
              </w:rPr>
              <w:t>投标人综合得分</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商务标得分</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技术标得分</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综合标得分。</w:t>
            </w:r>
          </w:p>
          <w:p>
            <w:pPr>
              <w:shd w:val="solid" w:color="FFFFFF" w:fill="auto"/>
              <w:autoSpaceDN w:val="0"/>
              <w:spacing w:line="360" w:lineRule="exact"/>
              <w:rPr>
                <w:rFonts w:ascii="宋体" w:cs="Times New Roman"/>
                <w:color w:val="auto"/>
                <w:highlight w:val="none"/>
                <w:shd w:val="clear" w:color="auto" w:fill="FFFFFF"/>
              </w:rPr>
            </w:pPr>
            <w:r>
              <w:rPr>
                <w:rFonts w:hint="eastAsia" w:ascii="宋体" w:hAnsi="宋体" w:cs="宋体"/>
                <w:color w:val="auto"/>
                <w:highlight w:val="none"/>
                <w:shd w:val="clear" w:color="auto" w:fill="FFFFFF"/>
              </w:rPr>
              <w:t>最终得分为全部小组成员的评分结果取平均值后作为该供应商的最终得分。</w:t>
            </w:r>
          </w:p>
          <w:p>
            <w:pPr>
              <w:autoSpaceDE w:val="0"/>
              <w:autoSpaceDN w:val="0"/>
              <w:adjustRightInd w:val="0"/>
              <w:spacing w:line="360" w:lineRule="exact"/>
              <w:jc w:val="left"/>
              <w:rPr>
                <w:rFonts w:ascii="宋体" w:cs="Times New Roman"/>
                <w:color w:val="auto"/>
                <w:kern w:val="0"/>
                <w:highlight w:val="none"/>
                <w:lang w:val="zh-CN"/>
              </w:rPr>
            </w:pPr>
            <w:r>
              <w:rPr>
                <w:rFonts w:hint="eastAsia" w:ascii="宋体" w:hAnsi="宋体" w:cs="宋体"/>
                <w:color w:val="auto"/>
                <w:highlight w:val="none"/>
                <w:shd w:val="clear" w:color="auto" w:fill="FFFFFF"/>
              </w:rPr>
              <w:t>本评标办法在对百分比计算时，不足</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的按四舍五入计算保留两位小数。</w:t>
            </w:r>
          </w:p>
        </w:tc>
      </w:tr>
    </w:tbl>
    <w:p>
      <w:pPr>
        <w:pStyle w:val="4"/>
        <w:spacing w:line="380" w:lineRule="exact"/>
        <w:ind w:firstLine="420" w:firstLineChars="150"/>
        <w:jc w:val="left"/>
        <w:rPr>
          <w:rFonts w:ascii="宋体" w:cs="Times New Roman"/>
          <w:color w:val="auto"/>
          <w:sz w:val="28"/>
          <w:szCs w:val="28"/>
          <w:highlight w:val="none"/>
        </w:rPr>
      </w:pPr>
      <w:bookmarkStart w:id="41" w:name="_Toc18958"/>
      <w:bookmarkStart w:id="42" w:name="_Toc9415"/>
      <w:bookmarkStart w:id="43" w:name="_Toc29170"/>
      <w:bookmarkStart w:id="44" w:name="_Toc21135"/>
      <w:bookmarkStart w:id="45" w:name="_Toc19508"/>
      <w:r>
        <w:rPr>
          <w:rFonts w:ascii="宋体" w:cs="宋体"/>
          <w:color w:val="auto"/>
          <w:sz w:val="28"/>
          <w:szCs w:val="28"/>
          <w:highlight w:val="none"/>
        </w:rPr>
        <w:t xml:space="preserve">3. </w:t>
      </w:r>
      <w:r>
        <w:rPr>
          <w:rFonts w:hint="eastAsia" w:ascii="宋体" w:cs="宋体"/>
          <w:color w:val="auto"/>
          <w:sz w:val="28"/>
          <w:szCs w:val="28"/>
          <w:highlight w:val="none"/>
        </w:rPr>
        <w:t>评标方法</w:t>
      </w:r>
      <w:bookmarkEnd w:id="41"/>
      <w:bookmarkEnd w:id="42"/>
      <w:bookmarkEnd w:id="43"/>
      <w:bookmarkEnd w:id="44"/>
      <w:bookmarkEnd w:id="45"/>
    </w:p>
    <w:p>
      <w:pPr>
        <w:spacing w:line="380" w:lineRule="exact"/>
        <w:ind w:firstLine="420" w:firstLineChars="200"/>
        <w:rPr>
          <w:rFonts w:ascii="宋体" w:cs="Times New Roman"/>
          <w:color w:val="auto"/>
          <w:kern w:val="0"/>
          <w:highlight w:val="none"/>
        </w:rPr>
      </w:pPr>
      <w:bookmarkStart w:id="46" w:name="_Toc23103"/>
      <w:bookmarkStart w:id="47" w:name="_Toc7579"/>
      <w:bookmarkStart w:id="48" w:name="_Toc17450"/>
      <w:r>
        <w:rPr>
          <w:rFonts w:hint="eastAsia" w:ascii="宋体" w:hAnsi="宋体" w:cs="宋体"/>
          <w:color w:val="auto"/>
          <w:kern w:val="0"/>
          <w:highlight w:val="none"/>
        </w:rPr>
        <w:t>本次评标采用综合评估法。评标委员会对满足招标文件实质性要求的投标文件，按照本章第</w:t>
      </w:r>
      <w:r>
        <w:rPr>
          <w:rFonts w:ascii="宋体" w:hAnsi="宋体" w:cs="宋体"/>
          <w:color w:val="auto"/>
          <w:kern w:val="0"/>
          <w:highlight w:val="none"/>
        </w:rPr>
        <w:t>2.2</w:t>
      </w:r>
      <w:r>
        <w:rPr>
          <w:rFonts w:hint="eastAsia" w:ascii="宋体" w:hAnsi="宋体" w:cs="宋体"/>
          <w:color w:val="auto"/>
          <w:kern w:val="0"/>
          <w:highlight w:val="none"/>
        </w:rPr>
        <w:t>款规定的评分标准进行打分，并按得分由高到低顺序推荐</w:t>
      </w:r>
      <w:r>
        <w:rPr>
          <w:rFonts w:ascii="宋体" w:hAnsi="宋体" w:cs="宋体"/>
          <w:color w:val="auto"/>
          <w:kern w:val="0"/>
          <w:highlight w:val="none"/>
        </w:rPr>
        <w:t>1</w:t>
      </w:r>
      <w:r>
        <w:rPr>
          <w:rFonts w:hint="eastAsia" w:ascii="宋体" w:hAnsi="宋体" w:cs="宋体"/>
          <w:color w:val="auto"/>
          <w:kern w:val="0"/>
          <w:highlight w:val="none"/>
        </w:rPr>
        <w:t>名中标候选人，但投标报价低于其成本的除外。综合评分相等时，以投标报价低的优先；</w:t>
      </w:r>
      <w:bookmarkEnd w:id="46"/>
      <w:r>
        <w:rPr>
          <w:rFonts w:hint="eastAsia" w:ascii="宋体" w:hAnsi="宋体" w:cs="宋体"/>
          <w:color w:val="auto"/>
          <w:kern w:val="0"/>
          <w:highlight w:val="none"/>
        </w:rPr>
        <w:t>得分且投标报价都相等的，投标文件满足招标文件全部实质性要求，且按照评审因素的量化指标评审得分最高的投标人为排名第一的中标候选人。</w:t>
      </w:r>
      <w:bookmarkEnd w:id="47"/>
      <w:bookmarkEnd w:id="48"/>
    </w:p>
    <w:bookmarkEnd w:id="30"/>
    <w:p>
      <w:pPr>
        <w:pStyle w:val="4"/>
        <w:spacing w:line="380" w:lineRule="exact"/>
        <w:ind w:firstLine="411" w:firstLineChars="147"/>
        <w:jc w:val="left"/>
        <w:rPr>
          <w:rFonts w:ascii="宋体" w:cs="Times New Roman"/>
          <w:color w:val="auto"/>
          <w:sz w:val="28"/>
          <w:szCs w:val="28"/>
          <w:highlight w:val="none"/>
        </w:rPr>
      </w:pPr>
      <w:bookmarkStart w:id="49" w:name="_Toc1611"/>
      <w:bookmarkStart w:id="50" w:name="_Toc8429"/>
      <w:bookmarkStart w:id="51" w:name="_Toc1097"/>
      <w:bookmarkStart w:id="52" w:name="_Toc14406"/>
      <w:r>
        <w:rPr>
          <w:rFonts w:ascii="宋体" w:cs="宋体"/>
          <w:color w:val="auto"/>
          <w:sz w:val="28"/>
          <w:szCs w:val="28"/>
          <w:highlight w:val="none"/>
        </w:rPr>
        <w:t>4.</w:t>
      </w:r>
      <w:r>
        <w:rPr>
          <w:rFonts w:hint="eastAsia" w:ascii="宋体" w:cs="宋体"/>
          <w:color w:val="auto"/>
          <w:sz w:val="28"/>
          <w:szCs w:val="28"/>
          <w:highlight w:val="none"/>
        </w:rPr>
        <w:t>评标程序</w:t>
      </w:r>
      <w:bookmarkEnd w:id="49"/>
      <w:bookmarkEnd w:id="50"/>
      <w:bookmarkEnd w:id="51"/>
      <w:bookmarkEnd w:id="52"/>
    </w:p>
    <w:p>
      <w:pPr>
        <w:autoSpaceDE w:val="0"/>
        <w:autoSpaceDN w:val="0"/>
        <w:adjustRightInd w:val="0"/>
        <w:spacing w:line="380" w:lineRule="exact"/>
        <w:ind w:firstLine="420" w:firstLineChars="200"/>
        <w:rPr>
          <w:rFonts w:ascii="宋体" w:cs="Times New Roman"/>
          <w:b/>
          <w:bCs/>
          <w:color w:val="auto"/>
          <w:kern w:val="0"/>
          <w:highlight w:val="none"/>
        </w:rPr>
      </w:pPr>
      <w:r>
        <w:rPr>
          <w:rFonts w:ascii="宋体" w:hAnsi="宋体" w:cs="宋体"/>
          <w:b/>
          <w:bCs/>
          <w:color w:val="auto"/>
          <w:kern w:val="0"/>
          <w:highlight w:val="none"/>
        </w:rPr>
        <w:t>4.1.</w:t>
      </w:r>
      <w:r>
        <w:rPr>
          <w:rFonts w:hint="eastAsia" w:ascii="宋体" w:hAnsi="宋体" w:cs="宋体"/>
          <w:b/>
          <w:bCs/>
          <w:color w:val="auto"/>
          <w:kern w:val="0"/>
          <w:highlight w:val="none"/>
        </w:rPr>
        <w:t>资格性与符合性审查</w:t>
      </w:r>
    </w:p>
    <w:p>
      <w:pPr>
        <w:spacing w:line="380" w:lineRule="exact"/>
        <w:ind w:firstLine="420" w:firstLineChars="200"/>
        <w:rPr>
          <w:rFonts w:ascii="宋体" w:cs="Times New Roman"/>
          <w:color w:val="auto"/>
          <w:kern w:val="0"/>
          <w:highlight w:val="none"/>
        </w:rPr>
      </w:pPr>
      <w:r>
        <w:rPr>
          <w:rFonts w:ascii="宋体" w:hAnsi="宋体" w:cs="宋体"/>
          <w:color w:val="auto"/>
          <w:kern w:val="0"/>
          <w:highlight w:val="none"/>
        </w:rPr>
        <w:t xml:space="preserve">4.1.1 </w:t>
      </w:r>
      <w:r>
        <w:rPr>
          <w:rFonts w:hint="eastAsia" w:ascii="宋体" w:hAnsi="宋体" w:cs="宋体"/>
          <w:color w:val="auto"/>
          <w:kern w:val="0"/>
          <w:highlight w:val="none"/>
        </w:rPr>
        <w:t>资格审查小组，依据本章资格审查表规定的标准对投标文件进行资格审查，以确定投标人是否具备投标资格，有一项不符合评审标准的，资格审查小组应当认定其投标无效，合格投标人不足</w:t>
      </w:r>
      <w:r>
        <w:rPr>
          <w:rFonts w:ascii="宋体" w:hAnsi="宋体" w:cs="宋体"/>
          <w:color w:val="auto"/>
          <w:kern w:val="0"/>
          <w:highlight w:val="none"/>
        </w:rPr>
        <w:t>3</w:t>
      </w:r>
      <w:r>
        <w:rPr>
          <w:rFonts w:hint="eastAsia" w:ascii="宋体" w:hAnsi="宋体" w:cs="宋体"/>
          <w:color w:val="auto"/>
          <w:kern w:val="0"/>
          <w:highlight w:val="none"/>
        </w:rPr>
        <w:t>家的，不得评标。符合性审查，评标委员会依据本章符合性审查表规定的标准，对符合资格的投标人的投标文件进行符合性审查，以确定其是否满足招标文件的实质性要求，有一项不符合评审标准的，评标委员会应当认定其投标无效。</w:t>
      </w:r>
    </w:p>
    <w:p>
      <w:pPr>
        <w:spacing w:line="380" w:lineRule="exact"/>
        <w:ind w:firstLine="420" w:firstLineChars="200"/>
        <w:rPr>
          <w:rFonts w:ascii="宋体" w:cs="Times New Roman"/>
          <w:color w:val="auto"/>
          <w:kern w:val="0"/>
          <w:highlight w:val="none"/>
        </w:rPr>
      </w:pPr>
      <w:r>
        <w:rPr>
          <w:rFonts w:ascii="宋体" w:hAnsi="宋体" w:cs="宋体"/>
          <w:color w:val="auto"/>
          <w:kern w:val="0"/>
          <w:highlight w:val="none"/>
        </w:rPr>
        <w:t xml:space="preserve">4.1.2 </w:t>
      </w:r>
      <w:r>
        <w:rPr>
          <w:rFonts w:hint="eastAsia" w:ascii="宋体" w:hAnsi="宋体" w:cs="宋体"/>
          <w:color w:val="auto"/>
          <w:kern w:val="0"/>
          <w:highlight w:val="none"/>
        </w:rPr>
        <w:t>投标文件属下列情况之一的，应当在资格性、符合性检查时按照无效投标处理：</w:t>
      </w:r>
    </w:p>
    <w:p>
      <w:pPr>
        <w:widowControl/>
        <w:spacing w:line="38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）投标文件未按招标文件要求签署、盖章的；</w:t>
      </w:r>
    </w:p>
    <w:p>
      <w:pPr>
        <w:widowControl/>
        <w:spacing w:line="38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）不具备招标文件中规定的资格要求的；</w:t>
      </w:r>
    </w:p>
    <w:p>
      <w:pPr>
        <w:widowControl/>
        <w:spacing w:line="38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3</w:t>
      </w:r>
      <w:r>
        <w:rPr>
          <w:rFonts w:hint="eastAsia" w:ascii="宋体" w:hAnsi="宋体" w:cs="宋体"/>
          <w:color w:val="auto"/>
          <w:kern w:val="0"/>
          <w:highlight w:val="none"/>
        </w:rPr>
        <w:t>）报价超过招标文件中规定的预算金额或者最高限价的；</w:t>
      </w:r>
    </w:p>
    <w:p>
      <w:pPr>
        <w:widowControl/>
        <w:spacing w:line="38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4</w:t>
      </w:r>
      <w:r>
        <w:rPr>
          <w:rFonts w:hint="eastAsia" w:ascii="宋体" w:hAnsi="宋体" w:cs="宋体"/>
          <w:color w:val="auto"/>
          <w:kern w:val="0"/>
          <w:highlight w:val="none"/>
        </w:rPr>
        <w:t>）投标文件含有采购人不能接受的附加条件的；</w:t>
      </w:r>
    </w:p>
    <w:p>
      <w:pPr>
        <w:widowControl/>
        <w:spacing w:line="38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5</w:t>
      </w:r>
      <w:r>
        <w:rPr>
          <w:rFonts w:hint="eastAsia" w:ascii="宋体" w:hAnsi="宋体" w:cs="宋体"/>
          <w:color w:val="auto"/>
          <w:kern w:val="0"/>
          <w:highlight w:val="none"/>
        </w:rPr>
        <w:t>）不符合第四章招标项目内容和参数要求的；</w:t>
      </w:r>
    </w:p>
    <w:p>
      <w:pPr>
        <w:widowControl/>
        <w:spacing w:line="380" w:lineRule="exact"/>
        <w:ind w:firstLine="420" w:firstLineChars="200"/>
        <w:jc w:val="left"/>
        <w:rPr>
          <w:rFonts w:ascii="宋体" w:cs="Times New Roman"/>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6</w:t>
      </w:r>
      <w:r>
        <w:rPr>
          <w:rFonts w:hint="eastAsia" w:ascii="宋体" w:hAnsi="宋体" w:cs="宋体"/>
          <w:color w:val="auto"/>
          <w:kern w:val="0"/>
          <w:highlight w:val="none"/>
        </w:rPr>
        <w:t>）法律、法规和招标文件规定的其他无效情形。</w:t>
      </w:r>
    </w:p>
    <w:p>
      <w:pPr>
        <w:spacing w:line="380" w:lineRule="exact"/>
        <w:ind w:firstLine="420" w:firstLineChars="200"/>
        <w:rPr>
          <w:rFonts w:ascii="宋体" w:cs="Times New Roman"/>
          <w:color w:val="auto"/>
          <w:highlight w:val="none"/>
        </w:rPr>
      </w:pPr>
      <w:r>
        <w:rPr>
          <w:rFonts w:ascii="宋体" w:hAnsi="宋体" w:cs="宋体"/>
          <w:color w:val="auto"/>
          <w:highlight w:val="none"/>
        </w:rPr>
        <w:t>4.1.3</w:t>
      </w:r>
      <w:r>
        <w:rPr>
          <w:rFonts w:hint="eastAsia" w:ascii="宋体" w:hAnsi="宋体" w:cs="宋体"/>
          <w:color w:val="auto"/>
          <w:highlight w:val="none"/>
        </w:rPr>
        <w:t>投标报价有算数错误的，评标委员会按以下原则对投标报价进行修正，修正的价格经投标人书面确认后具有约束力。投标人不接受修正价格的，其投标作无效投标处理。</w:t>
      </w:r>
    </w:p>
    <w:p>
      <w:pPr>
        <w:spacing w:line="380" w:lineRule="exact"/>
        <w:ind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）投标文件中的大写金额与小写金额不一致的，以大写金额为准；</w:t>
      </w:r>
    </w:p>
    <w:p>
      <w:pPr>
        <w:spacing w:line="380" w:lineRule="exact"/>
        <w:ind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）投标文件中开标一览表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内容与投标文件中明细表内容不一致的，以开标一览表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为准。</w:t>
      </w:r>
    </w:p>
    <w:p>
      <w:pPr>
        <w:spacing w:line="380" w:lineRule="exact"/>
        <w:ind w:firstLine="420" w:firstLineChars="200"/>
        <w:rPr>
          <w:rFonts w:ascii="宋体" w:cs="Times New Roman"/>
          <w:color w:val="auto"/>
          <w:highlight w:val="none"/>
        </w:rPr>
      </w:pPr>
      <w:r>
        <w:rPr>
          <w:rFonts w:hint="eastAsia" w:ascii="宋体" w:hAnsi="宋体" w:cs="宋体"/>
          <w:color w:val="auto"/>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80" w:lineRule="exact"/>
        <w:ind w:firstLine="420" w:firstLineChars="200"/>
        <w:rPr>
          <w:rFonts w:ascii="宋体" w:cs="Times New Roman"/>
          <w:b/>
          <w:bCs/>
          <w:color w:val="auto"/>
          <w:highlight w:val="none"/>
        </w:rPr>
      </w:pPr>
      <w:r>
        <w:rPr>
          <w:rFonts w:ascii="宋体" w:hAnsi="宋体" w:cs="宋体"/>
          <w:b/>
          <w:bCs/>
          <w:color w:val="auto"/>
          <w:highlight w:val="none"/>
        </w:rPr>
        <w:t>4.2</w:t>
      </w:r>
      <w:r>
        <w:rPr>
          <w:rFonts w:hint="eastAsia" w:ascii="宋体" w:hAnsi="宋体" w:cs="宋体"/>
          <w:b/>
          <w:bCs/>
          <w:color w:val="auto"/>
          <w:highlight w:val="none"/>
        </w:rPr>
        <w:t>详细评审</w:t>
      </w:r>
    </w:p>
    <w:p>
      <w:pPr>
        <w:spacing w:line="380" w:lineRule="exact"/>
        <w:ind w:firstLine="420" w:firstLineChars="200"/>
        <w:rPr>
          <w:rFonts w:ascii="宋体" w:cs="Times New Roman"/>
          <w:color w:val="auto"/>
          <w:highlight w:val="none"/>
        </w:rPr>
      </w:pPr>
      <w:r>
        <w:rPr>
          <w:rFonts w:ascii="宋体" w:hAnsi="宋体" w:cs="宋体"/>
          <w:color w:val="auto"/>
          <w:highlight w:val="none"/>
        </w:rPr>
        <w:t xml:space="preserve">4.2.1 </w:t>
      </w:r>
      <w:r>
        <w:rPr>
          <w:rFonts w:hint="eastAsia" w:ascii="宋体" w:hAnsi="宋体" w:cs="宋体"/>
          <w:color w:val="auto"/>
          <w:highlight w:val="none"/>
        </w:rPr>
        <w:t>评标委员会按综合评分法进行评审，在全部满足招标文件实质性要求的前提下，依据综合得分最高的投标人作为中标候选人。</w:t>
      </w:r>
    </w:p>
    <w:p>
      <w:pPr>
        <w:spacing w:line="380" w:lineRule="exact"/>
        <w:ind w:firstLine="420" w:firstLineChars="200"/>
        <w:rPr>
          <w:rFonts w:ascii="宋体" w:cs="Times New Roman"/>
          <w:color w:val="auto"/>
          <w:highlight w:val="none"/>
        </w:rPr>
      </w:pPr>
      <w:r>
        <w:rPr>
          <w:rFonts w:ascii="宋体" w:hAnsi="宋体" w:cs="宋体"/>
          <w:color w:val="auto"/>
          <w:highlight w:val="none"/>
        </w:rPr>
        <w:t xml:space="preserve">4.2.2 </w:t>
      </w:r>
      <w:r>
        <w:rPr>
          <w:rFonts w:hint="eastAsia" w:ascii="宋体" w:hAnsi="宋体" w:cs="宋体"/>
          <w:color w:val="auto"/>
          <w:highlight w:val="none"/>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autoSpaceDE w:val="0"/>
        <w:autoSpaceDN w:val="0"/>
        <w:adjustRightInd w:val="0"/>
        <w:spacing w:line="380" w:lineRule="exact"/>
        <w:ind w:firstLine="420" w:firstLineChars="200"/>
        <w:jc w:val="left"/>
        <w:rPr>
          <w:rFonts w:ascii="宋体" w:cs="Times New Roman"/>
          <w:b/>
          <w:bCs/>
          <w:color w:val="auto"/>
          <w:highlight w:val="none"/>
        </w:rPr>
      </w:pPr>
      <w:r>
        <w:rPr>
          <w:rFonts w:ascii="宋体" w:hAnsi="宋体" w:cs="宋体"/>
          <w:b/>
          <w:bCs/>
          <w:color w:val="auto"/>
          <w:highlight w:val="none"/>
        </w:rPr>
        <w:t>4.3</w:t>
      </w:r>
      <w:r>
        <w:rPr>
          <w:rFonts w:hint="eastAsia" w:ascii="宋体" w:hAnsi="宋体" w:cs="宋体"/>
          <w:b/>
          <w:bCs/>
          <w:color w:val="auto"/>
          <w:highlight w:val="none"/>
        </w:rPr>
        <w:t>投标文件的澄清和补正</w:t>
      </w:r>
    </w:p>
    <w:p>
      <w:pPr>
        <w:autoSpaceDE w:val="0"/>
        <w:autoSpaceDN w:val="0"/>
        <w:adjustRightInd w:val="0"/>
        <w:spacing w:line="380" w:lineRule="exact"/>
        <w:ind w:firstLine="420" w:firstLineChars="200"/>
        <w:jc w:val="left"/>
        <w:rPr>
          <w:rFonts w:ascii="宋体" w:cs="Times New Roman"/>
          <w:color w:val="auto"/>
          <w:highlight w:val="none"/>
        </w:rPr>
      </w:pPr>
      <w:r>
        <w:rPr>
          <w:rFonts w:ascii="宋体" w:hAnsi="宋体" w:cs="宋体"/>
          <w:color w:val="auto"/>
          <w:highlight w:val="none"/>
        </w:rPr>
        <w:t>4.3.1</w:t>
      </w:r>
      <w:r>
        <w:rPr>
          <w:rFonts w:hint="eastAsia" w:ascii="宋体" w:hAnsi="宋体" w:cs="宋体"/>
          <w:color w:val="auto"/>
          <w:highlight w:val="none"/>
        </w:rPr>
        <w:t>在评标过程中，评标委员会可以书面形式要求投标人对所提交投标文件中不明确的内容进行书面澄清或说明，或者对细微偏差进行补正。</w:t>
      </w:r>
    </w:p>
    <w:p>
      <w:pPr>
        <w:autoSpaceDE w:val="0"/>
        <w:autoSpaceDN w:val="0"/>
        <w:adjustRightInd w:val="0"/>
        <w:spacing w:line="380" w:lineRule="exact"/>
        <w:ind w:firstLine="420" w:firstLineChars="200"/>
        <w:jc w:val="left"/>
        <w:rPr>
          <w:rFonts w:ascii="宋体" w:cs="Times New Roman"/>
          <w:color w:val="auto"/>
          <w:highlight w:val="none"/>
        </w:rPr>
      </w:pPr>
      <w:r>
        <w:rPr>
          <w:rFonts w:ascii="宋体" w:hAnsi="宋体" w:cs="宋体"/>
          <w:color w:val="auto"/>
          <w:highlight w:val="none"/>
        </w:rPr>
        <w:t>4.3.2</w:t>
      </w:r>
      <w:r>
        <w:rPr>
          <w:rFonts w:hint="eastAsia" w:ascii="宋体" w:hAnsi="宋体" w:cs="宋体"/>
          <w:color w:val="auto"/>
          <w:highlight w:val="none"/>
        </w:rPr>
        <w:t>澄清、说明和补正不得改变投标文件的实质性内容（算术性错误修正的除外）。投标人的书面澄清、说明和补正属于投标文件的组成部分。</w:t>
      </w:r>
    </w:p>
    <w:p>
      <w:pPr>
        <w:autoSpaceDE w:val="0"/>
        <w:autoSpaceDN w:val="0"/>
        <w:adjustRightInd w:val="0"/>
        <w:spacing w:line="380" w:lineRule="exact"/>
        <w:ind w:firstLine="420" w:firstLineChars="200"/>
        <w:jc w:val="left"/>
        <w:rPr>
          <w:rFonts w:ascii="宋体" w:cs="Times New Roman"/>
          <w:b/>
          <w:bCs/>
          <w:color w:val="auto"/>
          <w:highlight w:val="none"/>
        </w:rPr>
      </w:pPr>
      <w:r>
        <w:rPr>
          <w:rFonts w:ascii="宋体" w:hAnsi="宋体" w:cs="宋体"/>
          <w:b/>
          <w:bCs/>
          <w:color w:val="auto"/>
          <w:highlight w:val="none"/>
        </w:rPr>
        <w:t xml:space="preserve">4.4 </w:t>
      </w:r>
      <w:r>
        <w:rPr>
          <w:rFonts w:hint="eastAsia" w:ascii="宋体" w:hAnsi="宋体" w:cs="宋体"/>
          <w:b/>
          <w:bCs/>
          <w:color w:val="auto"/>
          <w:highlight w:val="none"/>
        </w:rPr>
        <w:t>评标结果</w:t>
      </w:r>
    </w:p>
    <w:p>
      <w:pPr>
        <w:autoSpaceDE w:val="0"/>
        <w:autoSpaceDN w:val="0"/>
        <w:adjustRightInd w:val="0"/>
        <w:spacing w:line="380" w:lineRule="exact"/>
        <w:ind w:firstLine="420" w:firstLineChars="200"/>
        <w:rPr>
          <w:rFonts w:ascii="宋体" w:cs="Times New Roman"/>
          <w:color w:val="auto"/>
          <w:highlight w:val="none"/>
        </w:rPr>
      </w:pPr>
      <w:r>
        <w:rPr>
          <w:rFonts w:ascii="宋体" w:hAnsi="宋体" w:cs="宋体"/>
          <w:color w:val="auto"/>
          <w:highlight w:val="none"/>
        </w:rPr>
        <w:t xml:space="preserve">4.4.1 </w:t>
      </w:r>
      <w:r>
        <w:rPr>
          <w:rFonts w:hint="eastAsia" w:ascii="宋体" w:hAnsi="宋体" w:cs="宋体"/>
          <w:color w:val="auto"/>
          <w:highlight w:val="none"/>
        </w:rPr>
        <w:t>投标人的排名按得分从高到低顺序排列，评标委员会写出评标报告并向招标人推荐</w:t>
      </w:r>
      <w:r>
        <w:rPr>
          <w:rFonts w:ascii="宋体" w:hAnsi="宋体" w:cs="宋体"/>
          <w:color w:val="auto"/>
          <w:highlight w:val="none"/>
        </w:rPr>
        <w:t>1</w:t>
      </w:r>
      <w:r>
        <w:rPr>
          <w:rFonts w:hint="eastAsia" w:ascii="宋体" w:hAnsi="宋体" w:cs="宋体"/>
          <w:color w:val="auto"/>
          <w:highlight w:val="none"/>
        </w:rPr>
        <w:t>名中标候选人。由招标人根据评委会推荐的中标候选人顺序确定中标人。综合评分相等时，以投标报价低的优先；得分且投标报价都相等的，投标文件满足招标文件全部实质性要求，且按照评审因素的量化指标评审得分最高的投标人为排名第一的中标候选人。</w:t>
      </w:r>
    </w:p>
    <w:p>
      <w:pPr>
        <w:autoSpaceDE w:val="0"/>
        <w:autoSpaceDN w:val="0"/>
        <w:adjustRightInd w:val="0"/>
        <w:spacing w:line="380" w:lineRule="exact"/>
        <w:ind w:firstLine="420" w:firstLineChars="200"/>
        <w:rPr>
          <w:rFonts w:ascii="宋体" w:cs="Times New Roman"/>
          <w:color w:val="auto"/>
          <w:highlight w:val="none"/>
        </w:rPr>
      </w:pPr>
      <w:r>
        <w:rPr>
          <w:rFonts w:ascii="宋体" w:hAnsi="宋体" w:cs="宋体"/>
          <w:color w:val="auto"/>
          <w:highlight w:val="none"/>
        </w:rPr>
        <w:t xml:space="preserve">4.4.2 </w:t>
      </w:r>
      <w:r>
        <w:rPr>
          <w:rFonts w:hint="eastAsia" w:ascii="宋体" w:hAnsi="宋体" w:cs="宋体"/>
          <w:color w:val="auto"/>
          <w:highlight w:val="none"/>
        </w:rPr>
        <w:t>评标委员会完成评标后，应当向采购人提交书面评标报告。</w:t>
      </w:r>
    </w:p>
    <w:p>
      <w:pPr>
        <w:autoSpaceDE w:val="0"/>
        <w:autoSpaceDN w:val="0"/>
        <w:adjustRightInd w:val="0"/>
        <w:spacing w:line="380" w:lineRule="exact"/>
        <w:ind w:firstLine="420" w:firstLineChars="200"/>
        <w:rPr>
          <w:rFonts w:ascii="宋体" w:cs="Times New Roman"/>
          <w:b/>
          <w:bCs/>
          <w:color w:val="auto"/>
          <w:kern w:val="0"/>
          <w:highlight w:val="none"/>
        </w:rPr>
      </w:pPr>
      <w:r>
        <w:rPr>
          <w:rFonts w:ascii="宋体" w:hAnsi="宋体" w:cs="宋体"/>
          <w:b/>
          <w:bCs/>
          <w:color w:val="auto"/>
          <w:highlight w:val="none"/>
        </w:rPr>
        <w:t xml:space="preserve">4.5  </w:t>
      </w:r>
      <w:r>
        <w:rPr>
          <w:rFonts w:hint="eastAsia" w:ascii="宋体" w:hAnsi="宋体" w:cs="宋体"/>
          <w:b/>
          <w:bCs/>
          <w:color w:val="auto"/>
          <w:highlight w:val="none"/>
        </w:rPr>
        <w:t>顺延中标人或重新招标</w:t>
      </w:r>
    </w:p>
    <w:p>
      <w:pPr>
        <w:autoSpaceDE w:val="0"/>
        <w:autoSpaceDN w:val="0"/>
        <w:adjustRightInd w:val="0"/>
        <w:spacing w:line="380" w:lineRule="exact"/>
        <w:ind w:firstLine="420" w:firstLineChars="200"/>
        <w:rPr>
          <w:rFonts w:ascii="宋体" w:cs="Times New Roman"/>
          <w:color w:val="auto"/>
          <w:highlight w:val="none"/>
        </w:rPr>
      </w:pPr>
      <w:r>
        <w:rPr>
          <w:rFonts w:hint="eastAsia" w:ascii="宋体" w:hAnsi="宋体" w:cs="宋体"/>
          <w:color w:val="auto"/>
          <w:highlight w:val="none"/>
        </w:rPr>
        <w:t>中标人因不可抗力不能履行政府采购合同的，采购人重新招标。</w:t>
      </w:r>
    </w:p>
    <w:p>
      <w:pPr>
        <w:spacing w:line="380" w:lineRule="exact"/>
        <w:ind w:firstLine="420" w:firstLineChars="200"/>
        <w:rPr>
          <w:rFonts w:ascii="宋体" w:cs="Times New Roman"/>
          <w:b/>
          <w:bCs/>
          <w:color w:val="auto"/>
          <w:highlight w:val="none"/>
        </w:rPr>
      </w:pPr>
      <w:r>
        <w:rPr>
          <w:rFonts w:ascii="宋体" w:hAnsi="宋体" w:cs="宋体"/>
          <w:b/>
          <w:bCs/>
          <w:color w:val="auto"/>
          <w:highlight w:val="none"/>
        </w:rPr>
        <w:t>4.6</w:t>
      </w:r>
      <w:r>
        <w:rPr>
          <w:rFonts w:hint="eastAsia" w:ascii="宋体" w:hAnsi="宋体" w:cs="宋体"/>
          <w:b/>
          <w:bCs/>
          <w:color w:val="auto"/>
          <w:highlight w:val="none"/>
        </w:rPr>
        <w:t>特殊情况的处置程序</w:t>
      </w:r>
    </w:p>
    <w:p>
      <w:pPr>
        <w:spacing w:line="380" w:lineRule="exact"/>
        <w:ind w:firstLine="420" w:firstLineChars="200"/>
        <w:rPr>
          <w:rFonts w:ascii="宋体" w:cs="Times New Roman"/>
          <w:color w:val="auto"/>
          <w:highlight w:val="none"/>
        </w:rPr>
      </w:pPr>
      <w:r>
        <w:rPr>
          <w:rFonts w:hint="eastAsia" w:ascii="宋体" w:hAnsi="宋体" w:cs="宋体"/>
          <w:color w:val="auto"/>
          <w:highlight w:val="none"/>
        </w:rPr>
        <w:t>关于评标活动暂停</w:t>
      </w:r>
    </w:p>
    <w:p>
      <w:pPr>
        <w:spacing w:line="380" w:lineRule="exact"/>
        <w:ind w:firstLine="420" w:firstLineChars="200"/>
        <w:rPr>
          <w:rFonts w:ascii="宋体" w:cs="Times New Roman"/>
          <w:color w:val="auto"/>
          <w:highlight w:val="none"/>
        </w:rPr>
      </w:pPr>
      <w:r>
        <w:rPr>
          <w:rFonts w:ascii="宋体" w:hAnsi="宋体" w:cs="宋体"/>
          <w:color w:val="auto"/>
          <w:highlight w:val="none"/>
        </w:rPr>
        <w:t>4.6.1</w:t>
      </w:r>
      <w:r>
        <w:rPr>
          <w:rFonts w:hint="eastAsia" w:ascii="宋体" w:hAnsi="宋体" w:cs="宋体"/>
          <w:color w:val="auto"/>
          <w:highlight w:val="none"/>
        </w:rPr>
        <w:t>评标委员会应当执行连续评标的原则，按评标办法中规定的程序、内容、方法、标准完成全部评标工作。只有发生不可抗力导致评标工作无法继续时，评标活动方可暂停。</w:t>
      </w:r>
    </w:p>
    <w:p>
      <w:pPr>
        <w:spacing w:line="380" w:lineRule="exact"/>
        <w:ind w:firstLine="420" w:firstLineChars="200"/>
        <w:rPr>
          <w:rFonts w:ascii="宋体" w:cs="Times New Roman"/>
          <w:color w:val="auto"/>
          <w:highlight w:val="none"/>
        </w:rPr>
      </w:pPr>
      <w:r>
        <w:rPr>
          <w:rFonts w:ascii="宋体" w:hAnsi="宋体" w:cs="宋体"/>
          <w:color w:val="auto"/>
          <w:highlight w:val="none"/>
        </w:rPr>
        <w:t>4.6.2</w:t>
      </w:r>
      <w:r>
        <w:rPr>
          <w:rFonts w:hint="eastAsia" w:ascii="宋体" w:hAnsi="宋体" w:cs="宋体"/>
          <w:color w:val="auto"/>
          <w:highlight w:val="none"/>
        </w:rPr>
        <w:t>发生评标暂停情况时，评标委员会应当封存全部投标文件和评标记录，待不可抗力的影响结束且具备继续评标的条件时，由原评标委员会继续评标。</w:t>
      </w:r>
    </w:p>
    <w:p>
      <w:pPr>
        <w:spacing w:line="380" w:lineRule="exact"/>
        <w:ind w:firstLine="420" w:firstLineChars="200"/>
        <w:rPr>
          <w:rFonts w:ascii="宋体" w:cs="Times New Roman"/>
          <w:color w:val="auto"/>
          <w:highlight w:val="none"/>
        </w:rPr>
      </w:pPr>
      <w:r>
        <w:rPr>
          <w:rFonts w:hint="eastAsia" w:ascii="宋体" w:hAnsi="宋体" w:cs="宋体"/>
          <w:color w:val="auto"/>
          <w:highlight w:val="none"/>
        </w:rPr>
        <w:t>关于评标中途更换评标委员会成员</w:t>
      </w:r>
    </w:p>
    <w:p>
      <w:pPr>
        <w:spacing w:line="380" w:lineRule="exact"/>
        <w:ind w:firstLine="420" w:firstLineChars="200"/>
        <w:rPr>
          <w:rFonts w:ascii="宋体" w:cs="Times New Roman"/>
          <w:color w:val="auto"/>
          <w:highlight w:val="none"/>
        </w:rPr>
      </w:pPr>
      <w:r>
        <w:rPr>
          <w:rFonts w:ascii="宋体" w:hAnsi="宋体" w:cs="宋体"/>
          <w:color w:val="auto"/>
          <w:highlight w:val="none"/>
        </w:rPr>
        <w:t>4.6.3</w:t>
      </w:r>
      <w:r>
        <w:rPr>
          <w:rFonts w:hint="eastAsia" w:ascii="宋体" w:hAnsi="宋体" w:cs="宋体"/>
          <w:color w:val="auto"/>
          <w:highlight w:val="none"/>
        </w:rPr>
        <w:t>除非发生下列情况之一，评标委员会成员不得在评标中途更换：</w:t>
      </w:r>
    </w:p>
    <w:p>
      <w:pPr>
        <w:spacing w:line="380" w:lineRule="exact"/>
        <w:ind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）因不可抗拒的客观原因，不能到场或需在评标中途退出评标活动。</w:t>
      </w:r>
    </w:p>
    <w:p>
      <w:pPr>
        <w:spacing w:line="380" w:lineRule="exact"/>
        <w:ind w:firstLine="42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）根据法律法规规定，某个或某几个评标委员会成员需要回避。</w:t>
      </w:r>
    </w:p>
    <w:p>
      <w:pPr>
        <w:spacing w:line="380" w:lineRule="exact"/>
        <w:ind w:firstLine="420" w:firstLineChars="200"/>
        <w:rPr>
          <w:rFonts w:ascii="宋体" w:cs="Times New Roman"/>
          <w:color w:val="auto"/>
          <w:highlight w:val="none"/>
        </w:rPr>
      </w:pPr>
      <w:r>
        <w:rPr>
          <w:rFonts w:ascii="宋体" w:hAnsi="宋体" w:cs="宋体"/>
          <w:color w:val="auto"/>
          <w:highlight w:val="none"/>
        </w:rPr>
        <w:t>4.6.4</w:t>
      </w:r>
      <w:r>
        <w:rPr>
          <w:rFonts w:hint="eastAsia" w:ascii="宋体" w:hAnsi="宋体" w:cs="宋体"/>
          <w:color w:val="auto"/>
          <w:highlight w:val="none"/>
        </w:rPr>
        <w:t>退出评标的评标委员会成员，其已完成的评标行为无效。由采购人根据本招标文件规定的评标委员会成员产生方式另行确定替代者进行评标。</w:t>
      </w:r>
    </w:p>
    <w:p>
      <w:pPr>
        <w:spacing w:line="380" w:lineRule="exact"/>
        <w:ind w:firstLine="420" w:firstLineChars="200"/>
        <w:rPr>
          <w:rFonts w:ascii="宋体" w:cs="Times New Roman"/>
          <w:color w:val="auto"/>
          <w:highlight w:val="none"/>
        </w:rPr>
      </w:pPr>
      <w:r>
        <w:rPr>
          <w:rFonts w:ascii="宋体" w:hAnsi="宋体" w:cs="宋体"/>
          <w:color w:val="auto"/>
          <w:highlight w:val="none"/>
        </w:rPr>
        <w:t>4.6.5</w:t>
      </w:r>
      <w:r>
        <w:rPr>
          <w:rFonts w:hint="eastAsia" w:ascii="宋体" w:hAnsi="宋体" w:cs="宋体"/>
          <w:color w:val="auto"/>
          <w:highlight w:val="none"/>
        </w:rPr>
        <w:t>评标过程中，评标委员会成员有回避事由、擅离职守或者因健康等原因不能继续评标的，应当及时更换。被更换的评标委员会成员作出的评审结论无效，由更换后的评标委员会成员重新进行评审。</w:t>
      </w:r>
    </w:p>
    <w:p>
      <w:pPr>
        <w:spacing w:line="380" w:lineRule="exact"/>
        <w:ind w:firstLine="420" w:firstLineChars="200"/>
        <w:rPr>
          <w:rFonts w:ascii="宋体" w:cs="Times New Roman"/>
          <w:color w:val="auto"/>
          <w:highlight w:val="none"/>
        </w:rPr>
      </w:pPr>
      <w:r>
        <w:rPr>
          <w:rFonts w:ascii="宋体" w:hAnsi="宋体" w:cs="宋体"/>
          <w:color w:val="auto"/>
          <w:highlight w:val="none"/>
        </w:rPr>
        <w:t>4.6.6</w:t>
      </w:r>
      <w:r>
        <w:rPr>
          <w:rFonts w:hint="eastAsia" w:ascii="宋体" w:hAnsi="宋体" w:cs="宋体"/>
          <w:color w:val="auto"/>
          <w:highlight w:val="none"/>
        </w:rPr>
        <w:t>在任何评标环节中，需评标委员会就某项定性的评审结论做出表决的，由评标委员会全体成员按照少数服从多数的原则，以记名投票方式表决。</w:t>
      </w:r>
    </w:p>
    <w:p>
      <w:pPr>
        <w:spacing w:line="380" w:lineRule="exact"/>
        <w:ind w:firstLine="420" w:firstLineChars="200"/>
        <w:rPr>
          <w:rFonts w:ascii="宋体" w:cs="Times New Roman"/>
          <w:color w:val="auto"/>
          <w:highlight w:val="none"/>
        </w:rPr>
      </w:pPr>
      <w:r>
        <w:rPr>
          <w:rFonts w:ascii="宋体" w:hAnsi="宋体" w:cs="宋体"/>
          <w:color w:val="auto"/>
          <w:highlight w:val="none"/>
        </w:rPr>
        <w:t>4.6.7</w:t>
      </w:r>
      <w:r>
        <w:rPr>
          <w:rFonts w:hint="eastAsia" w:ascii="宋体" w:hAnsi="宋体" w:cs="宋体"/>
          <w:color w:val="auto"/>
          <w:highlight w:val="none"/>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3"/>
        <w:spacing w:line="380" w:lineRule="exact"/>
        <w:rPr>
          <w:rFonts w:ascii="宋体" w:eastAsia="宋体" w:cs="Times New Roman"/>
          <w:color w:val="auto"/>
          <w:sz w:val="32"/>
          <w:szCs w:val="32"/>
          <w:highlight w:val="none"/>
        </w:rPr>
      </w:pPr>
    </w:p>
    <w:p>
      <w:pPr>
        <w:pStyle w:val="3"/>
        <w:spacing w:line="380" w:lineRule="exact"/>
        <w:rPr>
          <w:rFonts w:ascii="宋体" w:eastAsia="宋体" w:cs="Times New Roman"/>
          <w:color w:val="auto"/>
          <w:sz w:val="32"/>
          <w:szCs w:val="32"/>
          <w:highlight w:val="none"/>
        </w:rPr>
      </w:pPr>
    </w:p>
    <w:p>
      <w:pPr>
        <w:pStyle w:val="3"/>
        <w:spacing w:line="380" w:lineRule="exact"/>
        <w:rPr>
          <w:rFonts w:ascii="宋体" w:eastAsia="宋体" w:cs="Times New Roman"/>
          <w:color w:val="auto"/>
          <w:sz w:val="32"/>
          <w:szCs w:val="32"/>
          <w:highlight w:val="none"/>
        </w:rPr>
      </w:pPr>
    </w:p>
    <w:p>
      <w:pPr>
        <w:rPr>
          <w:rFonts w:ascii="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2"/>
        <w:rPr>
          <w:rFonts w:ascii="宋体" w:eastAsia="宋体" w:cs="Times New Roman"/>
          <w:color w:val="auto"/>
          <w:sz w:val="32"/>
          <w:szCs w:val="32"/>
          <w:highlight w:val="none"/>
        </w:rPr>
      </w:pPr>
    </w:p>
    <w:p>
      <w:pPr>
        <w:pStyle w:val="3"/>
        <w:numPr>
          <w:ilvl w:val="0"/>
          <w:numId w:val="8"/>
        </w:numPr>
        <w:spacing w:line="800" w:lineRule="exact"/>
        <w:rPr>
          <w:rFonts w:ascii="宋体" w:hAnsi="宋体" w:eastAsia="宋体" w:cs="Times New Roman"/>
          <w:color w:val="auto"/>
          <w:kern w:val="2"/>
          <w:sz w:val="44"/>
          <w:szCs w:val="44"/>
          <w:highlight w:val="none"/>
        </w:rPr>
      </w:pPr>
      <w:r>
        <w:rPr>
          <w:rFonts w:ascii="宋体" w:hAnsi="宋体" w:eastAsia="宋体" w:cs="宋体"/>
          <w:color w:val="auto"/>
          <w:kern w:val="2"/>
          <w:sz w:val="44"/>
          <w:szCs w:val="44"/>
          <w:highlight w:val="none"/>
        </w:rPr>
        <w:t xml:space="preserve"> </w:t>
      </w:r>
      <w:bookmarkStart w:id="53" w:name="_Toc16153"/>
      <w:r>
        <w:rPr>
          <w:rFonts w:hint="eastAsia" w:ascii="宋体" w:hAnsi="宋体" w:eastAsia="宋体" w:cs="宋体"/>
          <w:color w:val="auto"/>
          <w:kern w:val="2"/>
          <w:sz w:val="44"/>
          <w:szCs w:val="44"/>
          <w:highlight w:val="none"/>
        </w:rPr>
        <w:t>招标项目概况及服务要求</w:t>
      </w:r>
      <w:bookmarkEnd w:id="53"/>
    </w:p>
    <w:p>
      <w:pPr>
        <w:numPr>
          <w:ilvl w:val="0"/>
          <w:numId w:val="9"/>
        </w:numPr>
        <w:rPr>
          <w:rFonts w:hint="default"/>
          <w:color w:val="auto"/>
          <w:highlight w:val="none"/>
          <w:lang w:val="en-US" w:eastAsia="zh-CN"/>
        </w:rPr>
      </w:pPr>
      <w:r>
        <w:rPr>
          <w:rFonts w:hint="eastAsia"/>
          <w:color w:val="auto"/>
          <w:highlight w:val="none"/>
          <w:lang w:val="en-US" w:eastAsia="zh-CN"/>
        </w:rPr>
        <w:t>技术清单</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90"/>
        <w:gridCol w:w="5175"/>
        <w:gridCol w:w="70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1" w:type="dxa"/>
            <w:vAlign w:val="center"/>
          </w:tcPr>
          <w:p>
            <w:pPr>
              <w:keepNext w:val="0"/>
              <w:keepLines w:val="0"/>
              <w:widowControl/>
              <w:suppressLineNumbers w:val="0"/>
              <w:jc w:val="center"/>
              <w:textAlignment w:val="center"/>
              <w:rPr>
                <w:rFonts w:hint="default"/>
                <w:b w:val="0"/>
                <w:bCs/>
                <w:color w:val="auto"/>
                <w:sz w:val="20"/>
                <w:szCs w:val="22"/>
                <w:highlight w:val="none"/>
                <w:vertAlign w:val="baseline"/>
                <w:lang w:val="en-US" w:eastAsia="zh-CN"/>
              </w:rPr>
            </w:pPr>
            <w:r>
              <w:rPr>
                <w:rFonts w:hint="eastAsia" w:ascii="微软雅黑" w:hAnsi="微软雅黑" w:eastAsia="微软雅黑" w:cs="微软雅黑"/>
                <w:b w:val="0"/>
                <w:bCs/>
                <w:i w:val="0"/>
                <w:color w:val="auto"/>
                <w:kern w:val="0"/>
                <w:sz w:val="22"/>
                <w:szCs w:val="22"/>
                <w:highlight w:val="none"/>
                <w:u w:val="none"/>
                <w:lang w:val="en-US" w:eastAsia="zh-CN" w:bidi="ar"/>
              </w:rPr>
              <w:t xml:space="preserve">序号 </w:t>
            </w:r>
          </w:p>
        </w:tc>
        <w:tc>
          <w:tcPr>
            <w:tcW w:w="1290" w:type="dxa"/>
            <w:vAlign w:val="center"/>
          </w:tcPr>
          <w:p>
            <w:pPr>
              <w:keepNext w:val="0"/>
              <w:keepLines w:val="0"/>
              <w:widowControl/>
              <w:suppressLineNumbers w:val="0"/>
              <w:jc w:val="center"/>
              <w:textAlignment w:val="center"/>
              <w:rPr>
                <w:rFonts w:hint="default"/>
                <w:b w:val="0"/>
                <w:bCs/>
                <w:color w:val="auto"/>
                <w:sz w:val="20"/>
                <w:szCs w:val="22"/>
                <w:highlight w:val="none"/>
                <w:vertAlign w:val="baseline"/>
                <w:lang w:val="en-US" w:eastAsia="zh-CN"/>
              </w:rPr>
            </w:pPr>
            <w:r>
              <w:rPr>
                <w:rFonts w:hint="eastAsia" w:ascii="微软雅黑" w:hAnsi="微软雅黑" w:eastAsia="微软雅黑" w:cs="微软雅黑"/>
                <w:b w:val="0"/>
                <w:bCs/>
                <w:i w:val="0"/>
                <w:color w:val="auto"/>
                <w:kern w:val="0"/>
                <w:sz w:val="22"/>
                <w:szCs w:val="22"/>
                <w:highlight w:val="none"/>
                <w:u w:val="none"/>
                <w:lang w:val="en-US" w:eastAsia="zh-CN" w:bidi="ar"/>
              </w:rPr>
              <w:t xml:space="preserve">产品名称 </w:t>
            </w:r>
          </w:p>
        </w:tc>
        <w:tc>
          <w:tcPr>
            <w:tcW w:w="5175" w:type="dxa"/>
            <w:vAlign w:val="center"/>
          </w:tcPr>
          <w:p>
            <w:pPr>
              <w:keepNext w:val="0"/>
              <w:keepLines w:val="0"/>
              <w:widowControl/>
              <w:suppressLineNumbers w:val="0"/>
              <w:jc w:val="center"/>
              <w:textAlignment w:val="center"/>
              <w:rPr>
                <w:rFonts w:hint="default"/>
                <w:b w:val="0"/>
                <w:bCs/>
                <w:color w:val="auto"/>
                <w:sz w:val="20"/>
                <w:szCs w:val="22"/>
                <w:highlight w:val="none"/>
                <w:vertAlign w:val="baseline"/>
                <w:lang w:val="en-US" w:eastAsia="zh-CN"/>
              </w:rPr>
            </w:pPr>
            <w:r>
              <w:rPr>
                <w:rFonts w:hint="eastAsia" w:ascii="微软雅黑" w:hAnsi="微软雅黑" w:eastAsia="微软雅黑" w:cs="微软雅黑"/>
                <w:b w:val="0"/>
                <w:bCs/>
                <w:i w:val="0"/>
                <w:color w:val="auto"/>
                <w:kern w:val="0"/>
                <w:sz w:val="22"/>
                <w:szCs w:val="22"/>
                <w:highlight w:val="none"/>
                <w:u w:val="none"/>
                <w:lang w:val="en-US" w:eastAsia="zh-CN" w:bidi="ar"/>
              </w:rPr>
              <w:t xml:space="preserve">技术说明 </w:t>
            </w:r>
          </w:p>
        </w:tc>
        <w:tc>
          <w:tcPr>
            <w:tcW w:w="705" w:type="dxa"/>
            <w:vAlign w:val="center"/>
          </w:tcPr>
          <w:p>
            <w:pPr>
              <w:keepNext w:val="0"/>
              <w:keepLines w:val="0"/>
              <w:widowControl/>
              <w:suppressLineNumbers w:val="0"/>
              <w:jc w:val="center"/>
              <w:textAlignment w:val="center"/>
              <w:rPr>
                <w:rFonts w:hint="default"/>
                <w:b w:val="0"/>
                <w:bCs/>
                <w:color w:val="auto"/>
                <w:sz w:val="20"/>
                <w:szCs w:val="22"/>
                <w:highlight w:val="none"/>
                <w:vertAlign w:val="baseline"/>
                <w:lang w:val="en-US" w:eastAsia="zh-CN"/>
              </w:rPr>
            </w:pPr>
            <w:r>
              <w:rPr>
                <w:rFonts w:hint="eastAsia" w:ascii="微软雅黑" w:hAnsi="微软雅黑" w:eastAsia="微软雅黑" w:cs="微软雅黑"/>
                <w:b w:val="0"/>
                <w:bCs/>
                <w:i w:val="0"/>
                <w:color w:val="auto"/>
                <w:kern w:val="0"/>
                <w:sz w:val="22"/>
                <w:szCs w:val="22"/>
                <w:highlight w:val="none"/>
                <w:u w:val="none"/>
                <w:lang w:val="en-US" w:eastAsia="zh-CN" w:bidi="ar"/>
              </w:rPr>
              <w:t xml:space="preserve">单位 </w:t>
            </w:r>
          </w:p>
        </w:tc>
        <w:tc>
          <w:tcPr>
            <w:tcW w:w="661" w:type="dxa"/>
            <w:vAlign w:val="center"/>
          </w:tcPr>
          <w:p>
            <w:pPr>
              <w:keepNext w:val="0"/>
              <w:keepLines w:val="0"/>
              <w:widowControl/>
              <w:suppressLineNumbers w:val="0"/>
              <w:jc w:val="center"/>
              <w:textAlignment w:val="center"/>
              <w:rPr>
                <w:rFonts w:hint="default"/>
                <w:b w:val="0"/>
                <w:bCs/>
                <w:color w:val="auto"/>
                <w:sz w:val="20"/>
                <w:szCs w:val="22"/>
                <w:highlight w:val="none"/>
                <w:vertAlign w:val="baseline"/>
                <w:lang w:val="en-US" w:eastAsia="zh-CN"/>
              </w:rPr>
            </w:pPr>
            <w:r>
              <w:rPr>
                <w:rFonts w:hint="eastAsia" w:ascii="微软雅黑" w:hAnsi="微软雅黑" w:eastAsia="微软雅黑" w:cs="微软雅黑"/>
                <w:b w:val="0"/>
                <w:bCs/>
                <w:i w:val="0"/>
                <w:color w:val="auto"/>
                <w:kern w:val="0"/>
                <w:sz w:val="22"/>
                <w:szCs w:val="22"/>
                <w:highlight w:val="none"/>
                <w:u w:val="none"/>
                <w:lang w:val="en-US" w:eastAsia="zh-CN" w:bidi="ar"/>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模块化机房及机房装饰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精密配电柜</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尺寸：600*1400*2000mm（42U）；含双主路电源输入、UPS 输入输出、空调、若干辅助设备配电以及支路输出，防雷，智能监控，触摸显示屏 </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服务器机柜</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42U机柜 全封闭-前玻璃门 后钣金门 机柜尺寸：600*1400*2000mm；带双侧竖直理线板，含底板，侧板，层板，盲板，托架，前后横挡风组件等 </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3</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密闭通道系统</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密闭通道及组件，应急通风系统，走线梯、走线槽，通道照明等 </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套</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4</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精密空调</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列间空调室内机，宽 300mm，高2000mm，深1400mm，带导风格栅；含配套风冷高温室外机,（高温适合45℃）；附带 10 米带式漏水告警； </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5</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PDU</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输入 250V/32A，输出 20*10A 国标+4*16A 国标 </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条 </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6</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电缆附件</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阻燃铜芯电缆，配电柜、UPS、空调、PDU、电池等设备连接 </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套</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7</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模块内监控 </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动力与环境监控系统，包含监控主机，嵌入式显示屏，环境传感器，氛围灯、声光、短信告警，可监测机房智能设备与机房环境 </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套 </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8</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漏水告警器</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带式漏水告警器，通过接入模块化动环系统，对机房漏水进行告警。</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套</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9</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消防组件</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气体消防插框，机架式安装，具备全自动的消防探测、控制、触发系统（满足8个标准机柜的使用需求）</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套</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10</w:t>
            </w:r>
          </w:p>
        </w:tc>
        <w:tc>
          <w:tcPr>
            <w:tcW w:w="129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 xml:space="preserve">机房装饰 </w:t>
            </w:r>
          </w:p>
        </w:tc>
        <w:tc>
          <w:tcPr>
            <w:tcW w:w="5175" w:type="dxa"/>
            <w:vAlign w:val="center"/>
          </w:tcPr>
          <w:p>
            <w:pPr>
              <w:keepNext w:val="0"/>
              <w:keepLines w:val="0"/>
              <w:widowControl/>
              <w:suppressLineNumbers w:val="0"/>
              <w:jc w:val="both"/>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包含机房内部的吊顶、地面、墙面、门、窗、玻璃隔断、</w:t>
            </w:r>
            <w:r>
              <w:rPr>
                <w:rStyle w:val="63"/>
                <w:color w:val="auto"/>
                <w:highlight w:val="none"/>
                <w:lang w:val="en-US" w:eastAsia="zh-CN" w:bidi="ar"/>
              </w:rPr>
              <w:t>顶部防水夹层、照明等 ，机房面积98平方。</w:t>
            </w:r>
          </w:p>
        </w:tc>
        <w:tc>
          <w:tcPr>
            <w:tcW w:w="70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项</w:t>
            </w:r>
          </w:p>
        </w:tc>
        <w:tc>
          <w:tcPr>
            <w:tcW w:w="66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color w:val="auto"/>
                <w:highlight w:val="none"/>
              </w:rPr>
              <w:t>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UPS</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高频 60KVA  三进三出</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电池组</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每组 32 节 12V150Ah 蓄电池，含电池架、电池开关柜、电池连接线等</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新风排烟系统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新风机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风量≥1000m³/小时 、具有制冷及加热功能。</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台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排烟机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风量 2000m³/小时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台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其他附件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智能控制箱、风道、防火阀、风口、防雨百叶等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项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门禁及视频监控系统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门禁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门禁系统：含人脸识别、指纹、密码和刷卡器四种识别功能；门禁控制器、电源、磁力锁及支架，出门按钮，IC卡，配套相应的软件等。</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套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音视频监控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网络交换机，半球型监控摄像机，网络硬盘录像机，拾音器及硬盘等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套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监控大屏</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65寸高清显示器 包含底座及连接辅材。</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color w:val="auto"/>
                <w:highlight w:val="none"/>
              </w:rPr>
              <w:t>防雷接地系统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独立接地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机房附近有主楼避雷接地的需接入主楼接地，机房附近没有主楼避雷接地的，中标人自行解决，接地阻值≯1Ω，验收时提供检测报告，所产生费用中标人自行解决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项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接地网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根据现场情况安装等电位汇流排、铜箔、接地母线、电缆、电位汇流箱等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项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US" w:eastAsia="zh-CN" w:bidi="ar"/>
              </w:rPr>
              <w:t>气体灭火和报警系统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气体灭火控制器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火灾探测和灭火联动装置</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套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气体灭火装置 </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柜体、钢瓶、七氟丙烷药剂，泄压阀、防火阀等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套 </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光纤配线架</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19"1U48口高密度光纤配线架</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个</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网络配线架</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19"1U24口网络配线架，Cat.6 非屏蔽</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个</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光纤跳线</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LC-LC双工光纤跳线，单模OS2  10M</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网络跳线</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Cat.6非屏蔽跳线 10M</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color w:val="auto"/>
                <w:highlight w:val="none"/>
              </w:rPr>
              <w:t>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日志审计</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日志审计系统:设备授权≥25台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网闸</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内外网数据互通网闸系统</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防火墙</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核心网出口防火墙</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上网行为管理</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外网上网行为管控及日志记录</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网络准入系统</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网络准入系统:授权≥300台 </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施工安装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施工安装</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机房整体改造、装饰、设备搬运安装、辅材等。（包含机房至强、弱电井的桥架、线缆的采购及安装。）</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color w:val="auto"/>
                <w:highlight w:val="none"/>
              </w:rPr>
              <w:t>业务系统搬迁服务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29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业务系统设计规划及搬迁服务</w:t>
            </w:r>
          </w:p>
        </w:tc>
        <w:tc>
          <w:tcPr>
            <w:tcW w:w="517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提供完整的设计规划和搬迁方案、经过院方认可后，逐步把老机房的业务系统逐一无缝割接至新机房，确保各个业务系统平滑、稳定的过渡至新机房。</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w:t>
            </w:r>
          </w:p>
        </w:tc>
        <w:tc>
          <w:tcPr>
            <w:tcW w:w="66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bl>
    <w:p>
      <w:pPr>
        <w:rPr>
          <w:color w:val="auto"/>
          <w:highlight w:val="none"/>
        </w:rPr>
      </w:pPr>
    </w:p>
    <w:p>
      <w:pPr>
        <w:rPr>
          <w:rFonts w:cs="Times New Roman"/>
          <w:color w:val="auto"/>
          <w:highlight w:val="none"/>
        </w:rPr>
      </w:pPr>
    </w:p>
    <w:p>
      <w:pPr>
        <w:rPr>
          <w:rFonts w:cs="Times New Roman"/>
          <w:color w:val="auto"/>
          <w:highlight w:val="none"/>
        </w:rPr>
      </w:pPr>
      <w:r>
        <w:rPr>
          <w:rFonts w:hint="eastAsia" w:cs="宋体"/>
          <w:color w:val="auto"/>
          <w:highlight w:val="none"/>
        </w:rPr>
        <w:t>二、模块化机房及机房装饰技术参数：</w:t>
      </w:r>
    </w:p>
    <w:p>
      <w:pPr>
        <w:rPr>
          <w:rFonts w:cs="Times New Roman"/>
          <w:color w:val="auto"/>
          <w:highlight w:val="none"/>
        </w:rPr>
      </w:pPr>
    </w:p>
    <w:tbl>
      <w:tblPr>
        <w:tblStyle w:val="23"/>
        <w:tblW w:w="9286" w:type="dxa"/>
        <w:jc w:val="center"/>
        <w:tblLayout w:type="fixed"/>
        <w:tblCellMar>
          <w:top w:w="0" w:type="dxa"/>
          <w:left w:w="108" w:type="dxa"/>
          <w:bottom w:w="0" w:type="dxa"/>
          <w:right w:w="108" w:type="dxa"/>
        </w:tblCellMar>
      </w:tblPr>
      <w:tblGrid>
        <w:gridCol w:w="798"/>
        <w:gridCol w:w="976"/>
        <w:gridCol w:w="784"/>
        <w:gridCol w:w="6728"/>
      </w:tblGrid>
      <w:tr>
        <w:tblPrEx>
          <w:tblCellMar>
            <w:top w:w="0" w:type="dxa"/>
            <w:left w:w="108" w:type="dxa"/>
            <w:bottom w:w="0" w:type="dxa"/>
            <w:right w:w="108" w:type="dxa"/>
          </w:tblCellMar>
        </w:tblPrEx>
        <w:trPr>
          <w:trHeight w:val="290" w:hRule="atLeast"/>
          <w:jc w:val="center"/>
        </w:trPr>
        <w:tc>
          <w:tcPr>
            <w:tcW w:w="798" w:type="dxa"/>
            <w:tcBorders>
              <w:top w:val="single" w:color="000000" w:sz="8" w:space="0"/>
              <w:left w:val="single" w:color="000000" w:sz="8" w:space="0"/>
              <w:bottom w:val="single" w:color="auto" w:sz="4" w:space="0"/>
              <w:right w:val="nil"/>
            </w:tcBorders>
            <w:vAlign w:val="center"/>
          </w:tcPr>
          <w:p>
            <w:pPr>
              <w:widowControl/>
              <w:jc w:val="center"/>
              <w:rPr>
                <w:rFonts w:ascii="微软雅黑" w:hAnsi="微软雅黑" w:eastAsia="微软雅黑" w:cs="微软雅黑"/>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类别</w:t>
            </w:r>
            <w:r>
              <w:rPr>
                <w:rFonts w:ascii="微软雅黑" w:hAnsi="微软雅黑" w:eastAsia="微软雅黑" w:cs="微软雅黑"/>
                <w:b/>
                <w:bCs/>
                <w:color w:val="auto"/>
                <w:kern w:val="0"/>
                <w:sz w:val="18"/>
                <w:szCs w:val="18"/>
                <w:highlight w:val="none"/>
              </w:rPr>
              <w:t xml:space="preserve"> </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产品</w:t>
            </w:r>
            <w:r>
              <w:rPr>
                <w:rFonts w:ascii="微软雅黑" w:hAnsi="微软雅黑" w:eastAsia="微软雅黑" w:cs="Times New Roman"/>
                <w:b/>
                <w:bCs/>
                <w:color w:val="auto"/>
                <w:kern w:val="0"/>
                <w:sz w:val="18"/>
                <w:szCs w:val="18"/>
                <w:highlight w:val="none"/>
              </w:rPr>
              <w:br w:type="textWrapping"/>
            </w:r>
            <w:r>
              <w:rPr>
                <w:rFonts w:hint="eastAsia" w:ascii="微软雅黑" w:hAnsi="微软雅黑" w:eastAsia="微软雅黑" w:cs="微软雅黑"/>
                <w:b/>
                <w:bCs/>
                <w:color w:val="auto"/>
                <w:kern w:val="0"/>
                <w:sz w:val="18"/>
                <w:szCs w:val="18"/>
                <w:highlight w:val="none"/>
              </w:rPr>
              <w:t>名称</w:t>
            </w:r>
            <w:r>
              <w:rPr>
                <w:rFonts w:ascii="微软雅黑" w:hAnsi="微软雅黑" w:eastAsia="微软雅黑" w:cs="微软雅黑"/>
                <w:b/>
                <w:bCs/>
                <w:color w:val="auto"/>
                <w:kern w:val="0"/>
                <w:sz w:val="18"/>
                <w:szCs w:val="18"/>
                <w:highlight w:val="none"/>
              </w:rPr>
              <w:t xml:space="preserve"> </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微软雅黑"/>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指标项</w:t>
            </w:r>
            <w:r>
              <w:rPr>
                <w:rFonts w:ascii="微软雅黑" w:hAnsi="微软雅黑" w:eastAsia="微软雅黑" w:cs="微软雅黑"/>
                <w:b/>
                <w:bCs/>
                <w:color w:val="auto"/>
                <w:kern w:val="0"/>
                <w:sz w:val="18"/>
                <w:szCs w:val="18"/>
                <w:highlight w:val="none"/>
              </w:rPr>
              <w:t xml:space="preserve"> </w:t>
            </w:r>
          </w:p>
        </w:tc>
        <w:tc>
          <w:tcPr>
            <w:tcW w:w="6728" w:type="dxa"/>
            <w:tcBorders>
              <w:top w:val="single" w:color="auto" w:sz="4" w:space="0"/>
              <w:left w:val="nil"/>
              <w:bottom w:val="single" w:color="auto" w:sz="4" w:space="0"/>
              <w:right w:val="single" w:color="auto" w:sz="4" w:space="0"/>
            </w:tcBorders>
            <w:vAlign w:val="center"/>
          </w:tcPr>
          <w:p>
            <w:pPr>
              <w:widowControl/>
              <w:ind w:right="2860" w:rightChars="1362"/>
              <w:jc w:val="center"/>
              <w:rPr>
                <w:rFonts w:ascii="微软雅黑" w:hAnsi="微软雅黑" w:eastAsia="微软雅黑" w:cs="微软雅黑"/>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详细技术参数</w:t>
            </w:r>
            <w:r>
              <w:rPr>
                <w:rFonts w:ascii="微软雅黑" w:hAnsi="微软雅黑" w:eastAsia="微软雅黑" w:cs="微软雅黑"/>
                <w:b/>
                <w:bCs/>
                <w:color w:val="auto"/>
                <w:kern w:val="0"/>
                <w:sz w:val="18"/>
                <w:szCs w:val="18"/>
                <w:highlight w:val="none"/>
              </w:rPr>
              <w:t xml:space="preserve"> </w:t>
            </w:r>
          </w:p>
        </w:tc>
      </w:tr>
      <w:tr>
        <w:tblPrEx>
          <w:tblCellMar>
            <w:top w:w="0" w:type="dxa"/>
            <w:left w:w="108" w:type="dxa"/>
            <w:bottom w:w="0" w:type="dxa"/>
            <w:right w:w="108" w:type="dxa"/>
          </w:tblCellMar>
        </w:tblPrEx>
        <w:trPr>
          <w:trHeight w:val="5370" w:hRule="atLeast"/>
          <w:jc w:val="center"/>
        </w:trPr>
        <w:tc>
          <w:tcPr>
            <w:tcW w:w="798"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模块化机房</w:t>
            </w: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精密配电柜</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ind w:right="-107" w:rightChars="-51"/>
              <w:jc w:val="left"/>
              <w:rPr>
                <w:rFonts w:ascii="宋体" w:cs="Times New Roman"/>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）双路主路输入，每路≥</w:t>
            </w:r>
            <w:r>
              <w:rPr>
                <w:rFonts w:ascii="宋体" w:hAnsi="宋体" w:cs="宋体"/>
                <w:color w:val="auto"/>
                <w:kern w:val="0"/>
                <w:sz w:val="20"/>
                <w:szCs w:val="20"/>
                <w:highlight w:val="none"/>
              </w:rPr>
              <w:t>160A/3P</w:t>
            </w:r>
            <w:r>
              <w:rPr>
                <w:rFonts w:hint="eastAsia" w:ascii="宋体" w:hAnsi="宋体" w:cs="宋体"/>
                <w:color w:val="auto"/>
                <w:kern w:val="0"/>
                <w:sz w:val="20"/>
                <w:szCs w:val="20"/>
                <w:highlight w:val="none"/>
              </w:rPr>
              <w:t>，含</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输入输出、精密空调、若干辅助设备配电等以及支路输出；</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2) </w:t>
            </w:r>
            <w:r>
              <w:rPr>
                <w:rFonts w:hint="eastAsia" w:ascii="宋体" w:hAnsi="宋体" w:cs="宋体"/>
                <w:color w:val="auto"/>
                <w:kern w:val="0"/>
                <w:sz w:val="20"/>
                <w:szCs w:val="20"/>
                <w:highlight w:val="none"/>
              </w:rPr>
              <w:t>符合</w:t>
            </w:r>
            <w:r>
              <w:rPr>
                <w:rFonts w:ascii="宋体" w:hAnsi="宋体" w:cs="宋体"/>
                <w:color w:val="auto"/>
                <w:kern w:val="0"/>
                <w:sz w:val="20"/>
                <w:szCs w:val="20"/>
                <w:highlight w:val="none"/>
              </w:rPr>
              <w:t>IEC</w:t>
            </w:r>
            <w:r>
              <w:rPr>
                <w:rFonts w:hint="eastAsia" w:ascii="宋体" w:hAnsi="宋体" w:cs="宋体"/>
                <w:color w:val="auto"/>
                <w:kern w:val="0"/>
                <w:sz w:val="20"/>
                <w:szCs w:val="20"/>
                <w:highlight w:val="none"/>
              </w:rPr>
              <w:t>标准与</w:t>
            </w:r>
            <w:r>
              <w:rPr>
                <w:rFonts w:ascii="宋体" w:hAnsi="宋体" w:cs="宋体"/>
                <w:color w:val="auto"/>
                <w:kern w:val="0"/>
                <w:sz w:val="20"/>
                <w:szCs w:val="20"/>
                <w:highlight w:val="none"/>
              </w:rPr>
              <w:t>GB</w:t>
            </w:r>
            <w:r>
              <w:rPr>
                <w:rFonts w:hint="eastAsia" w:ascii="宋体" w:hAnsi="宋体" w:cs="宋体"/>
                <w:color w:val="auto"/>
                <w:kern w:val="0"/>
                <w:sz w:val="20"/>
                <w:szCs w:val="20"/>
                <w:highlight w:val="none"/>
              </w:rPr>
              <w:t>标准，如：</w:t>
            </w:r>
            <w:r>
              <w:rPr>
                <w:rFonts w:ascii="宋体" w:hAnsi="宋体" w:cs="宋体"/>
                <w:color w:val="auto"/>
                <w:kern w:val="0"/>
                <w:sz w:val="20"/>
                <w:szCs w:val="20"/>
                <w:highlight w:val="none"/>
              </w:rPr>
              <w:t>GB/T4048-1-93</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GB7251-97</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IEC439</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IEC112-1997</w:t>
            </w:r>
            <w:r>
              <w:rPr>
                <w:rFonts w:hint="eastAsia" w:ascii="宋体" w:hAnsi="宋体" w:cs="宋体"/>
                <w:color w:val="auto"/>
                <w:kern w:val="0"/>
                <w:sz w:val="20"/>
                <w:szCs w:val="20"/>
                <w:highlight w:val="none"/>
              </w:rPr>
              <w:t>等。</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3) </w:t>
            </w:r>
            <w:r>
              <w:rPr>
                <w:rFonts w:hint="eastAsia" w:ascii="宋体" w:hAnsi="宋体" w:cs="宋体"/>
                <w:color w:val="auto"/>
                <w:kern w:val="0"/>
                <w:sz w:val="20"/>
                <w:szCs w:val="20"/>
                <w:highlight w:val="none"/>
              </w:rPr>
              <w:t>配电模块应具有防浪涌、防雷击过流保护能力（防雷</w:t>
            </w:r>
            <w:r>
              <w:rPr>
                <w:rFonts w:ascii="宋体" w:hAnsi="宋体" w:cs="宋体"/>
                <w:color w:val="auto"/>
                <w:kern w:val="0"/>
                <w:sz w:val="20"/>
                <w:szCs w:val="20"/>
                <w:highlight w:val="none"/>
              </w:rPr>
              <w:t>C</w:t>
            </w:r>
            <w:r>
              <w:rPr>
                <w:rFonts w:hint="eastAsia" w:ascii="宋体" w:hAnsi="宋体" w:cs="宋体"/>
                <w:color w:val="auto"/>
                <w:kern w:val="0"/>
                <w:sz w:val="20"/>
                <w:szCs w:val="20"/>
                <w:highlight w:val="none"/>
              </w:rPr>
              <w:t>级），采用质量可靠的电源防雷器。</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4) </w:t>
            </w:r>
            <w:r>
              <w:rPr>
                <w:rFonts w:hint="eastAsia" w:ascii="宋体" w:hAnsi="宋体" w:cs="宋体"/>
                <w:color w:val="auto"/>
                <w:kern w:val="0"/>
                <w:sz w:val="20"/>
                <w:szCs w:val="20"/>
                <w:highlight w:val="none"/>
              </w:rPr>
              <w:t>采用的导线、导线颜色、指示灯、按钮、插接件等均符合国家或行业的有关标准。线缆均应采用铜质多股阻燃型。</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5) </w:t>
            </w:r>
            <w:r>
              <w:rPr>
                <w:rFonts w:hint="eastAsia" w:ascii="宋体" w:hAnsi="宋体" w:cs="宋体"/>
                <w:color w:val="auto"/>
                <w:kern w:val="0"/>
                <w:sz w:val="20"/>
                <w:szCs w:val="20"/>
                <w:highlight w:val="none"/>
              </w:rPr>
              <w:t>空气开关等重要元器件一律采用</w:t>
            </w:r>
            <w:r>
              <w:rPr>
                <w:rFonts w:ascii="宋体" w:hAnsi="宋体" w:cs="宋体"/>
                <w:color w:val="auto"/>
                <w:kern w:val="0"/>
                <w:sz w:val="20"/>
                <w:szCs w:val="20"/>
                <w:highlight w:val="none"/>
              </w:rPr>
              <w:t>ABB</w:t>
            </w:r>
            <w:r>
              <w:rPr>
                <w:rFonts w:hint="eastAsia" w:ascii="宋体" w:hAnsi="宋体" w:cs="宋体"/>
                <w:color w:val="auto"/>
                <w:kern w:val="0"/>
                <w:sz w:val="20"/>
                <w:szCs w:val="20"/>
                <w:highlight w:val="none"/>
              </w:rPr>
              <w:t>或施耐德品牌；预留扩容空间，配置防雷模块。</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6) </w:t>
            </w:r>
            <w:r>
              <w:rPr>
                <w:rFonts w:hint="eastAsia" w:ascii="宋体" w:hAnsi="宋体" w:cs="宋体"/>
                <w:color w:val="auto"/>
                <w:kern w:val="0"/>
                <w:sz w:val="20"/>
                <w:szCs w:val="20"/>
                <w:highlight w:val="none"/>
              </w:rPr>
              <w:t>多路电量分配管理。</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7) </w:t>
            </w:r>
            <w:r>
              <w:rPr>
                <w:rFonts w:hint="eastAsia" w:ascii="宋体" w:hAnsi="宋体" w:cs="宋体"/>
                <w:color w:val="auto"/>
                <w:kern w:val="0"/>
                <w:sz w:val="20"/>
                <w:szCs w:val="20"/>
                <w:highlight w:val="none"/>
              </w:rPr>
              <w:t>可支持</w:t>
            </w:r>
            <w:r>
              <w:rPr>
                <w:rFonts w:ascii="宋体" w:hAnsi="宋体" w:cs="宋体"/>
                <w:color w:val="auto"/>
                <w:kern w:val="0"/>
                <w:sz w:val="20"/>
                <w:szCs w:val="20"/>
                <w:highlight w:val="none"/>
              </w:rPr>
              <w:t>RS232</w:t>
            </w:r>
            <w:r>
              <w:rPr>
                <w:rFonts w:hint="eastAsia" w:ascii="宋体" w:hAnsi="宋体" w:cs="宋体"/>
                <w:color w:val="auto"/>
                <w:kern w:val="0"/>
                <w:sz w:val="20"/>
                <w:szCs w:val="20"/>
                <w:highlight w:val="none"/>
              </w:rPr>
              <w:t>或</w:t>
            </w:r>
            <w:r>
              <w:rPr>
                <w:rFonts w:ascii="宋体" w:hAnsi="宋体" w:cs="宋体"/>
                <w:color w:val="auto"/>
                <w:kern w:val="0"/>
                <w:sz w:val="20"/>
                <w:szCs w:val="20"/>
                <w:highlight w:val="none"/>
              </w:rPr>
              <w:t>USB</w:t>
            </w:r>
            <w:r>
              <w:rPr>
                <w:rFonts w:hint="eastAsia" w:ascii="宋体" w:hAnsi="宋体" w:cs="宋体"/>
                <w:color w:val="auto"/>
                <w:kern w:val="0"/>
                <w:sz w:val="20"/>
                <w:szCs w:val="20"/>
                <w:highlight w:val="none"/>
              </w:rPr>
              <w:t>、智能插槽（</w:t>
            </w:r>
            <w:r>
              <w:rPr>
                <w:rFonts w:ascii="宋体" w:hAnsi="宋体" w:cs="宋体"/>
                <w:color w:val="auto"/>
                <w:kern w:val="0"/>
                <w:sz w:val="20"/>
                <w:szCs w:val="20"/>
                <w:highlight w:val="none"/>
              </w:rPr>
              <w:t>SNMP</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ModBUS</w:t>
            </w:r>
            <w:r>
              <w:rPr>
                <w:rFonts w:hint="eastAsia" w:ascii="宋体" w:hAnsi="宋体" w:cs="宋体"/>
                <w:color w:val="auto"/>
                <w:kern w:val="0"/>
                <w:sz w:val="20"/>
                <w:szCs w:val="20"/>
                <w:highlight w:val="none"/>
              </w:rPr>
              <w:t>）、干接点等通讯方式。</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8) </w:t>
            </w:r>
            <w:r>
              <w:rPr>
                <w:rFonts w:hint="eastAsia" w:ascii="宋体" w:hAnsi="宋体" w:cs="宋体"/>
                <w:color w:val="auto"/>
                <w:kern w:val="0"/>
                <w:sz w:val="20"/>
                <w:szCs w:val="20"/>
                <w:highlight w:val="none"/>
              </w:rPr>
              <w:t>负责模块化机房内部</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、空调等前端设备的输入，并充分考虑扩容预留空间和容量。含</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输入输出配电，含模块化机房内机柜电源分配。</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9)</w:t>
            </w:r>
            <w:r>
              <w:rPr>
                <w:rFonts w:hint="eastAsia" w:ascii="宋体" w:hAnsi="宋体" w:cs="宋体"/>
                <w:color w:val="auto"/>
                <w:kern w:val="0"/>
                <w:sz w:val="20"/>
                <w:szCs w:val="20"/>
                <w:highlight w:val="none"/>
              </w:rPr>
              <w:t>提供配电柜的抗震测试报告，提供加盖厂商公章的复印件。</w:t>
            </w:r>
          </w:p>
          <w:p>
            <w:pPr>
              <w:widowControl/>
              <w:ind w:right="-107" w:rightChars="-51"/>
              <w:jc w:val="left"/>
              <w:rPr>
                <w:rFonts w:ascii="宋体" w:cs="Times New Roman"/>
                <w:color w:val="auto"/>
                <w:kern w:val="0"/>
                <w:sz w:val="20"/>
                <w:szCs w:val="20"/>
                <w:highlight w:val="none"/>
              </w:rPr>
            </w:pPr>
            <w:r>
              <w:rPr>
                <w:rFonts w:ascii="宋体" w:hAnsi="宋体" w:cs="宋体"/>
                <w:color w:val="auto"/>
                <w:kern w:val="0"/>
                <w:sz w:val="22"/>
                <w:szCs w:val="22"/>
                <w:highlight w:val="none"/>
              </w:rPr>
              <w:t>1</w:t>
            </w:r>
            <w:r>
              <w:rPr>
                <w:rFonts w:ascii="宋体" w:hAnsi="宋体" w:cs="宋体"/>
                <w:color w:val="auto"/>
                <w:kern w:val="0"/>
                <w:sz w:val="20"/>
                <w:szCs w:val="20"/>
                <w:highlight w:val="none"/>
              </w:rPr>
              <w:t xml:space="preserve">0) </w:t>
            </w:r>
            <w:r>
              <w:rPr>
                <w:rFonts w:hint="eastAsia" w:ascii="宋体" w:hAnsi="宋体" w:cs="宋体"/>
                <w:color w:val="auto"/>
                <w:kern w:val="0"/>
                <w:sz w:val="20"/>
                <w:szCs w:val="20"/>
                <w:highlight w:val="none"/>
              </w:rPr>
              <w:t>★提供配电柜的抗震测试报告，复印件加盖厂商公章，要求与机柜、密闭通道、精密空调、</w:t>
            </w:r>
            <w:r>
              <w:rPr>
                <w:rFonts w:ascii="宋体" w:hAnsi="宋体" w:cs="宋体"/>
                <w:color w:val="auto"/>
                <w:kern w:val="0"/>
                <w:sz w:val="20"/>
                <w:szCs w:val="20"/>
                <w:highlight w:val="none"/>
              </w:rPr>
              <w:t xml:space="preserve">UPS </w:t>
            </w:r>
            <w:r>
              <w:rPr>
                <w:rFonts w:hint="eastAsia" w:ascii="宋体" w:hAnsi="宋体" w:cs="宋体"/>
                <w:color w:val="auto"/>
                <w:kern w:val="0"/>
                <w:sz w:val="20"/>
                <w:szCs w:val="20"/>
                <w:highlight w:val="none"/>
              </w:rPr>
              <w:t>主机及电池品牌一致。</w:t>
            </w:r>
          </w:p>
          <w:p>
            <w:pPr>
              <w:widowControl/>
              <w:ind w:right="-107" w:rightChars="-51"/>
              <w:jc w:val="left"/>
              <w:rPr>
                <w:rFonts w:ascii="宋体" w:cs="Times New Roman"/>
                <w:color w:val="auto"/>
                <w:kern w:val="0"/>
                <w:sz w:val="20"/>
                <w:szCs w:val="20"/>
                <w:highlight w:val="none"/>
              </w:rPr>
            </w:pPr>
            <w:r>
              <w:rPr>
                <w:rFonts w:ascii="宋体" w:hAnsi="宋体" w:cs="宋体"/>
                <w:color w:val="auto"/>
                <w:kern w:val="0"/>
                <w:sz w:val="20"/>
                <w:szCs w:val="20"/>
                <w:highlight w:val="none"/>
              </w:rPr>
              <w:t>1</w:t>
            </w:r>
            <w:r>
              <w:rPr>
                <w:rFonts w:ascii="宋体" w:cs="宋体"/>
                <w:color w:val="auto"/>
                <w:kern w:val="0"/>
                <w:sz w:val="20"/>
                <w:szCs w:val="20"/>
                <w:highlight w:val="none"/>
              </w:rPr>
              <w:t>1</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模块化机房配电线缆规格由投标方按实际需求设计；长度由各投标人进行估算，后期如有不足，费用由投标人自行承担。</w:t>
            </w:r>
          </w:p>
        </w:tc>
      </w:tr>
      <w:tr>
        <w:tblPrEx>
          <w:tblCellMar>
            <w:top w:w="0" w:type="dxa"/>
            <w:left w:w="108" w:type="dxa"/>
            <w:bottom w:w="0" w:type="dxa"/>
            <w:right w:w="108" w:type="dxa"/>
          </w:tblCellMar>
        </w:tblPrEx>
        <w:trPr>
          <w:trHeight w:val="699" w:hRule="atLeast"/>
          <w:jc w:val="center"/>
        </w:trPr>
        <w:tc>
          <w:tcPr>
            <w:tcW w:w="798"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服务器机柜及密闭通道系统</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ascii="宋体" w:hAnsi="宋体" w:cs="宋体"/>
                <w:color w:val="auto"/>
                <w:kern w:val="0"/>
                <w:sz w:val="20"/>
                <w:szCs w:val="20"/>
                <w:highlight w:val="none"/>
              </w:rPr>
              <w:t xml:space="preserve">1) </w:t>
            </w:r>
            <w:r>
              <w:rPr>
                <w:rFonts w:hint="eastAsia" w:ascii="宋体" w:hAnsi="宋体" w:cs="宋体"/>
                <w:color w:val="auto"/>
                <w:kern w:val="0"/>
                <w:sz w:val="20"/>
                <w:szCs w:val="20"/>
                <w:highlight w:val="none"/>
              </w:rPr>
              <w:t>★机房采用模块化设计，模块化机房内应集成配电部件、制冷部件、消防部件、智能管理部件、密闭通道组件于一体。为保证机房整体的可靠性、兼容性、方便维护及统一管理，关键部件</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主机及电池、配电系统（精密配电柜）、精密空调、服务器机柜、动环监控要求采用同一品牌产品。</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2) </w:t>
            </w:r>
            <w:r>
              <w:rPr>
                <w:rFonts w:hint="eastAsia" w:ascii="宋体" w:hAnsi="宋体" w:cs="宋体"/>
                <w:color w:val="auto"/>
                <w:kern w:val="0"/>
                <w:sz w:val="20"/>
                <w:szCs w:val="20"/>
                <w:highlight w:val="none"/>
              </w:rPr>
              <w:t>设计年限：机房设备设计寿命不低于</w:t>
            </w:r>
            <w:r>
              <w:rPr>
                <w:rFonts w:ascii="宋体" w:hAnsi="宋体" w:cs="宋体"/>
                <w:color w:val="auto"/>
                <w:kern w:val="0"/>
                <w:sz w:val="20"/>
                <w:szCs w:val="20"/>
                <w:highlight w:val="none"/>
              </w:rPr>
              <w:t>10</w:t>
            </w:r>
            <w:r>
              <w:rPr>
                <w:rFonts w:hint="eastAsia" w:ascii="宋体" w:hAnsi="宋体" w:cs="宋体"/>
                <w:color w:val="auto"/>
                <w:kern w:val="0"/>
                <w:sz w:val="20"/>
                <w:szCs w:val="20"/>
                <w:highlight w:val="none"/>
              </w:rPr>
              <w:t>年。</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3) </w:t>
            </w:r>
            <w:r>
              <w:rPr>
                <w:rFonts w:hint="eastAsia" w:ascii="宋体" w:hAnsi="宋体" w:cs="宋体"/>
                <w:color w:val="auto"/>
                <w:kern w:val="0"/>
                <w:sz w:val="20"/>
                <w:szCs w:val="20"/>
                <w:highlight w:val="none"/>
              </w:rPr>
              <w:t>环境适应性：机房设备能适用的室外环境为</w:t>
            </w:r>
            <w:r>
              <w:rPr>
                <w:rFonts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45</w:t>
            </w:r>
            <w:r>
              <w:rPr>
                <w:rFonts w:hint="eastAsia" w:ascii="宋体" w:hAnsi="宋体" w:cs="宋体"/>
                <w:color w:val="auto"/>
                <w:kern w:val="0"/>
                <w:sz w:val="20"/>
                <w:szCs w:val="20"/>
                <w:highlight w:val="none"/>
              </w:rPr>
              <w:t>℃空气温度，</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100%</w:t>
            </w:r>
            <w:r>
              <w:rPr>
                <w:rFonts w:hint="eastAsia" w:ascii="宋体" w:hAnsi="宋体" w:cs="宋体"/>
                <w:color w:val="auto"/>
                <w:kern w:val="0"/>
                <w:sz w:val="20"/>
                <w:szCs w:val="20"/>
                <w:highlight w:val="none"/>
              </w:rPr>
              <w:t>相对湿度。</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4) </w:t>
            </w:r>
            <w:r>
              <w:rPr>
                <w:rFonts w:hint="eastAsia" w:ascii="宋体" w:hAnsi="宋体" w:cs="宋体"/>
                <w:color w:val="auto"/>
                <w:kern w:val="0"/>
                <w:sz w:val="20"/>
                <w:szCs w:val="20"/>
                <w:highlight w:val="none"/>
              </w:rPr>
              <w:t>根据场地空间及未来的发展，配置</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套排式微模块，微模块总机柜数量（除精密空调之外）≥</w:t>
            </w:r>
            <w:r>
              <w:rPr>
                <w:rFonts w:ascii="宋体" w:hAnsi="宋体" w:cs="宋体"/>
                <w:color w:val="auto"/>
                <w:kern w:val="0"/>
                <w:sz w:val="20"/>
                <w:szCs w:val="20"/>
                <w:highlight w:val="none"/>
              </w:rPr>
              <w:t>7</w:t>
            </w:r>
            <w:r>
              <w:rPr>
                <w:rFonts w:hint="eastAsia" w:ascii="宋体" w:hAnsi="宋体" w:cs="宋体"/>
                <w:color w:val="auto"/>
                <w:kern w:val="0"/>
                <w:sz w:val="20"/>
                <w:szCs w:val="20"/>
                <w:highlight w:val="none"/>
              </w:rPr>
              <w:t>台，行级精密空调≥</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台。</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5) </w:t>
            </w:r>
            <w:r>
              <w:rPr>
                <w:rFonts w:hint="eastAsia" w:ascii="宋体" w:hAnsi="宋体" w:cs="宋体"/>
                <w:color w:val="auto"/>
                <w:kern w:val="0"/>
                <w:sz w:val="20"/>
                <w:szCs w:val="20"/>
                <w:highlight w:val="none"/>
              </w:rPr>
              <w:t>具备</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个强、弱电走线槽，采用上走线方式；走线槽采用预工程化的模块化机柜顶部上走线系统，实现在现场免工具快速安装。</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6) </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模块化机房设备采用精密空调与密闭冷热通道设计，前部为密闭冷通道，后部为密闭热通道，进一步提高能源效率。模块化机房设备整体尺寸不大于：宽</w:t>
            </w:r>
            <w:r>
              <w:rPr>
                <w:rFonts w:ascii="宋体" w:hAnsi="宋体" w:cs="宋体"/>
                <w:color w:val="auto"/>
                <w:kern w:val="0"/>
                <w:sz w:val="20"/>
                <w:szCs w:val="20"/>
                <w:highlight w:val="none"/>
              </w:rPr>
              <w:t>5400mm</w:t>
            </w:r>
            <w:r>
              <w:rPr>
                <w:rFonts w:hint="eastAsia" w:ascii="宋体" w:hAnsi="宋体" w:cs="宋体"/>
                <w:color w:val="auto"/>
                <w:kern w:val="0"/>
                <w:sz w:val="20"/>
                <w:szCs w:val="20"/>
                <w:highlight w:val="none"/>
              </w:rPr>
              <w:t>，深</w:t>
            </w:r>
            <w:r>
              <w:rPr>
                <w:rFonts w:ascii="宋体" w:hAnsi="宋体" w:cs="宋体"/>
                <w:color w:val="auto"/>
                <w:kern w:val="0"/>
                <w:sz w:val="20"/>
                <w:szCs w:val="20"/>
                <w:highlight w:val="none"/>
              </w:rPr>
              <w:t>1400mm</w:t>
            </w:r>
            <w:r>
              <w:rPr>
                <w:rFonts w:hint="eastAsia" w:ascii="宋体" w:hAnsi="宋体" w:cs="宋体"/>
                <w:color w:val="auto"/>
                <w:kern w:val="0"/>
                <w:sz w:val="20"/>
                <w:szCs w:val="20"/>
                <w:highlight w:val="none"/>
              </w:rPr>
              <w:t>，高</w:t>
            </w:r>
            <w:r>
              <w:rPr>
                <w:rFonts w:ascii="宋体" w:hAnsi="宋体" w:cs="宋体"/>
                <w:color w:val="auto"/>
                <w:kern w:val="0"/>
                <w:sz w:val="20"/>
                <w:szCs w:val="20"/>
                <w:highlight w:val="none"/>
              </w:rPr>
              <w:t>2000mm</w:t>
            </w:r>
            <w:r>
              <w:rPr>
                <w:rFonts w:hint="eastAsia" w:ascii="宋体" w:hAnsi="宋体" w:cs="宋体"/>
                <w:color w:val="auto"/>
                <w:kern w:val="0"/>
                <w:sz w:val="20"/>
                <w:szCs w:val="20"/>
                <w:highlight w:val="none"/>
              </w:rPr>
              <w:t>。</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7)</w:t>
            </w:r>
            <w:r>
              <w:rPr>
                <w:rFonts w:hint="eastAsia" w:ascii="宋体" w:hAnsi="宋体" w:cs="宋体"/>
                <w:color w:val="auto"/>
                <w:kern w:val="0"/>
                <w:sz w:val="20"/>
                <w:szCs w:val="20"/>
                <w:highlight w:val="none"/>
              </w:rPr>
              <w:t>机柜标准：宽度</w:t>
            </w:r>
            <w:r>
              <w:rPr>
                <w:rFonts w:ascii="宋体" w:hAnsi="宋体" w:cs="宋体"/>
                <w:color w:val="auto"/>
                <w:kern w:val="0"/>
                <w:sz w:val="20"/>
                <w:szCs w:val="20"/>
                <w:highlight w:val="none"/>
              </w:rPr>
              <w:t>600mm</w:t>
            </w:r>
            <w:r>
              <w:rPr>
                <w:rFonts w:hint="eastAsia" w:ascii="宋体" w:hAnsi="宋体" w:cs="宋体"/>
                <w:color w:val="auto"/>
                <w:kern w:val="0"/>
                <w:sz w:val="20"/>
                <w:szCs w:val="20"/>
                <w:highlight w:val="none"/>
              </w:rPr>
              <w:t>，前门钢化玻璃单开门，后门单开钣金门，冷通道保温、冷热通道全隔离盲板套件、线缆管理套件、柜内</w:t>
            </w:r>
            <w:r>
              <w:rPr>
                <w:rFonts w:ascii="宋体" w:hAnsi="宋体" w:cs="宋体"/>
                <w:color w:val="auto"/>
                <w:kern w:val="0"/>
                <w:sz w:val="20"/>
                <w:szCs w:val="20"/>
                <w:highlight w:val="none"/>
              </w:rPr>
              <w:t>LED</w:t>
            </w:r>
            <w:r>
              <w:rPr>
                <w:rFonts w:hint="eastAsia" w:ascii="宋体" w:hAnsi="宋体" w:cs="宋体"/>
                <w:color w:val="auto"/>
                <w:kern w:val="0"/>
                <w:sz w:val="20"/>
                <w:szCs w:val="20"/>
                <w:highlight w:val="none"/>
              </w:rPr>
              <w:t>照明组件；隐藏式接地；保证设备安装深度不小于</w:t>
            </w:r>
            <w:r>
              <w:rPr>
                <w:rFonts w:ascii="宋体" w:hAnsi="宋体" w:cs="宋体"/>
                <w:color w:val="auto"/>
                <w:kern w:val="0"/>
                <w:sz w:val="20"/>
                <w:szCs w:val="20"/>
                <w:highlight w:val="none"/>
              </w:rPr>
              <w:t>1.1</w:t>
            </w:r>
            <w:r>
              <w:rPr>
                <w:rFonts w:hint="eastAsia" w:ascii="宋体" w:hAnsi="宋体" w:cs="宋体"/>
                <w:color w:val="auto"/>
                <w:kern w:val="0"/>
                <w:sz w:val="20"/>
                <w:szCs w:val="20"/>
                <w:highlight w:val="none"/>
              </w:rPr>
              <w:t>米；配置免工具安装的上走线桥架，在机柜顶部形成部署强电和弱电的两条通路；</w:t>
            </w:r>
          </w:p>
          <w:p>
            <w:pPr>
              <w:widowControl/>
              <w:jc w:val="left"/>
              <w:rPr>
                <w:rFonts w:ascii="宋体" w:cs="Times New Roman"/>
                <w:color w:val="auto"/>
                <w:kern w:val="0"/>
                <w:sz w:val="20"/>
                <w:szCs w:val="20"/>
                <w:highlight w:val="none"/>
              </w:rPr>
            </w:pPr>
            <w:r>
              <w:rPr>
                <w:rFonts w:ascii="宋体" w:hAnsi="宋体" w:cs="宋体"/>
                <w:color w:val="auto"/>
                <w:kern w:val="0"/>
                <w:sz w:val="20"/>
                <w:szCs w:val="20"/>
                <w:highlight w:val="none"/>
              </w:rPr>
              <w:t xml:space="preserve"> 8) </w:t>
            </w:r>
            <w:r>
              <w:rPr>
                <w:rFonts w:hint="eastAsia" w:ascii="宋体" w:hAnsi="宋体" w:cs="宋体"/>
                <w:color w:val="auto"/>
                <w:kern w:val="0"/>
                <w:sz w:val="20"/>
                <w:szCs w:val="20"/>
                <w:highlight w:val="none"/>
              </w:rPr>
              <w:t>★机柜静态承载能力不小于</w:t>
            </w:r>
            <w:r>
              <w:rPr>
                <w:rFonts w:ascii="宋体" w:hAnsi="宋体" w:cs="宋体"/>
                <w:color w:val="auto"/>
                <w:kern w:val="0"/>
                <w:sz w:val="20"/>
                <w:szCs w:val="20"/>
                <w:highlight w:val="none"/>
              </w:rPr>
              <w:t>1500kg</w:t>
            </w:r>
            <w:r>
              <w:rPr>
                <w:rFonts w:hint="eastAsia" w:ascii="宋体" w:hAnsi="宋体" w:cs="宋体"/>
                <w:color w:val="auto"/>
                <w:kern w:val="0"/>
                <w:sz w:val="20"/>
                <w:szCs w:val="20"/>
                <w:highlight w:val="none"/>
              </w:rPr>
              <w:t>，机柜动态承载能力不小于</w:t>
            </w:r>
            <w:r>
              <w:rPr>
                <w:rFonts w:ascii="宋体" w:hAnsi="宋体" w:cs="宋体"/>
                <w:color w:val="auto"/>
                <w:kern w:val="0"/>
                <w:sz w:val="20"/>
                <w:szCs w:val="20"/>
                <w:highlight w:val="none"/>
              </w:rPr>
              <w:t>1100kg,</w:t>
            </w:r>
            <w:r>
              <w:rPr>
                <w:rFonts w:hint="eastAsia" w:ascii="宋体" w:hAnsi="宋体" w:cs="宋体"/>
                <w:color w:val="auto"/>
                <w:kern w:val="0"/>
                <w:sz w:val="20"/>
                <w:szCs w:val="20"/>
                <w:highlight w:val="none"/>
              </w:rPr>
              <w:t>提供权威第三方机构测试报告，提供加盖厂商公章的复印件；</w:t>
            </w:r>
          </w:p>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机柜要求具备抗震功能，可抗震烈度不低于</w:t>
            </w:r>
            <w:r>
              <w:rPr>
                <w:rFonts w:ascii="宋体" w:hAnsi="宋体" w:cs="宋体"/>
                <w:color w:val="auto"/>
                <w:kern w:val="0"/>
                <w:sz w:val="20"/>
                <w:szCs w:val="20"/>
                <w:highlight w:val="none"/>
              </w:rPr>
              <w:t>9</w:t>
            </w:r>
            <w:r>
              <w:rPr>
                <w:rFonts w:hint="eastAsia" w:ascii="宋体" w:hAnsi="宋体" w:cs="宋体"/>
                <w:color w:val="auto"/>
                <w:kern w:val="0"/>
                <w:sz w:val="20"/>
                <w:szCs w:val="20"/>
                <w:highlight w:val="none"/>
              </w:rPr>
              <w:t>级，须出示该品牌机柜权威第三方测试抗震报告，提供加盖厂商公章的复印件。</w:t>
            </w:r>
          </w:p>
        </w:tc>
      </w:tr>
      <w:tr>
        <w:tblPrEx>
          <w:tblCellMar>
            <w:top w:w="0" w:type="dxa"/>
            <w:left w:w="108" w:type="dxa"/>
            <w:bottom w:w="0" w:type="dxa"/>
            <w:right w:w="108" w:type="dxa"/>
          </w:tblCellMar>
        </w:tblPrEx>
        <w:trPr>
          <w:trHeight w:val="5519" w:hRule="atLeast"/>
          <w:jc w:val="center"/>
        </w:trPr>
        <w:tc>
          <w:tcPr>
            <w:tcW w:w="798"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精密空调</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ascii="宋体" w:hAnsi="宋体" w:cs="宋体"/>
                <w:color w:val="auto"/>
                <w:kern w:val="0"/>
                <w:sz w:val="20"/>
                <w:szCs w:val="20"/>
                <w:highlight w:val="none"/>
              </w:rPr>
              <w:t xml:space="preserve">1) </w:t>
            </w:r>
            <w:r>
              <w:rPr>
                <w:rFonts w:hint="eastAsia" w:ascii="宋体" w:hAnsi="宋体" w:cs="宋体"/>
                <w:color w:val="auto"/>
                <w:kern w:val="0"/>
                <w:sz w:val="20"/>
                <w:szCs w:val="20"/>
                <w:highlight w:val="none"/>
              </w:rPr>
              <w:t>★采用风冷型微模块专用列间空调</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台，变频调节冷量，前后水平送回风，带变频压缩机、</w:t>
            </w:r>
            <w:r>
              <w:rPr>
                <w:rFonts w:ascii="宋体" w:hAnsi="宋体" w:cs="宋体"/>
                <w:color w:val="auto"/>
                <w:kern w:val="0"/>
                <w:sz w:val="20"/>
                <w:szCs w:val="20"/>
                <w:highlight w:val="none"/>
              </w:rPr>
              <w:t>EC</w:t>
            </w:r>
            <w:r>
              <w:rPr>
                <w:rFonts w:hint="eastAsia" w:ascii="宋体" w:hAnsi="宋体" w:cs="宋体"/>
                <w:color w:val="auto"/>
                <w:kern w:val="0"/>
                <w:sz w:val="20"/>
                <w:szCs w:val="20"/>
                <w:highlight w:val="none"/>
              </w:rPr>
              <w:t>风机，空调宽度不大于</w:t>
            </w:r>
            <w:r>
              <w:rPr>
                <w:rFonts w:ascii="宋体" w:hAnsi="宋体" w:cs="宋体"/>
                <w:color w:val="auto"/>
                <w:kern w:val="0"/>
                <w:sz w:val="20"/>
                <w:szCs w:val="20"/>
                <w:highlight w:val="none"/>
              </w:rPr>
              <w:t>300mm</w:t>
            </w:r>
            <w:r>
              <w:rPr>
                <w:rFonts w:hint="eastAsia" w:ascii="宋体" w:hAnsi="宋体" w:cs="宋体"/>
                <w:color w:val="auto"/>
                <w:kern w:val="0"/>
                <w:sz w:val="20"/>
                <w:szCs w:val="20"/>
                <w:highlight w:val="none"/>
              </w:rPr>
              <w:t>，深度、高度与机柜同尺寸。单台额定制冷量</w:t>
            </w:r>
            <w:r>
              <w:rPr>
                <w:rFonts w:ascii="宋体" w:hAnsi="宋体" w:cs="宋体"/>
                <w:color w:val="auto"/>
                <w:kern w:val="0"/>
                <w:sz w:val="20"/>
                <w:szCs w:val="20"/>
                <w:highlight w:val="none"/>
              </w:rPr>
              <w:t>12KW</w:t>
            </w:r>
            <w:r>
              <w:rPr>
                <w:rFonts w:hint="eastAsia" w:ascii="宋体" w:hAnsi="宋体" w:cs="宋体"/>
                <w:color w:val="auto"/>
                <w:kern w:val="0"/>
                <w:sz w:val="20"/>
                <w:szCs w:val="20"/>
                <w:highlight w:val="none"/>
              </w:rPr>
              <w:t>，要求配置漏水感应装置及漏液控制装置。</w:t>
            </w:r>
          </w:p>
          <w:p>
            <w:pPr>
              <w:widowControl/>
              <w:jc w:val="left"/>
              <w:rPr>
                <w:rFonts w:hint="eastAsia" w:ascii="宋体" w:hAnsi="宋体" w:cs="宋体"/>
                <w:color w:val="auto"/>
                <w:kern w:val="0"/>
                <w:sz w:val="20"/>
                <w:szCs w:val="20"/>
                <w:highlight w:val="none"/>
              </w:rPr>
            </w:pPr>
            <w:r>
              <w:rPr>
                <w:rFonts w:ascii="宋体" w:cs="宋体"/>
                <w:color w:val="auto"/>
                <w:kern w:val="0"/>
                <w:sz w:val="20"/>
                <w:szCs w:val="20"/>
                <w:highlight w:val="none"/>
              </w:rPr>
              <w:t>2</w:t>
            </w:r>
            <w:r>
              <w:rPr>
                <w:rFonts w:hint="eastAsia" w:ascii="宋体" w:cs="宋体"/>
                <w:color w:val="auto"/>
                <w:kern w:val="0"/>
                <w:sz w:val="20"/>
                <w:szCs w:val="20"/>
                <w:highlight w:val="none"/>
              </w:rPr>
              <w:t>）循环风量</w:t>
            </w:r>
            <w:r>
              <w:rPr>
                <w:rFonts w:ascii="宋体" w:cs="宋体"/>
                <w:color w:val="auto"/>
                <w:kern w:val="0"/>
                <w:sz w:val="20"/>
                <w:szCs w:val="20"/>
                <w:highlight w:val="none"/>
              </w:rPr>
              <w:t>2400m3/</w:t>
            </w:r>
            <w:r>
              <w:rPr>
                <w:rFonts w:hint="eastAsia" w:ascii="宋体" w:cs="宋体"/>
                <w:color w:val="auto"/>
                <w:kern w:val="0"/>
                <w:sz w:val="20"/>
                <w:szCs w:val="20"/>
                <w:highlight w:val="none"/>
              </w:rPr>
              <w:t>小时，</w:t>
            </w:r>
            <w:r>
              <w:rPr>
                <w:rFonts w:hint="eastAsia" w:ascii="宋体" w:hAnsi="宋体" w:cs="宋体"/>
                <w:color w:val="auto"/>
                <w:kern w:val="0"/>
                <w:sz w:val="20"/>
                <w:szCs w:val="20"/>
                <w:highlight w:val="none"/>
              </w:rPr>
              <w:t>显热比</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，能效比（</w:t>
            </w:r>
            <w:r>
              <w:rPr>
                <w:rFonts w:ascii="宋体" w:hAnsi="宋体" w:cs="宋体"/>
                <w:color w:val="auto"/>
                <w:kern w:val="0"/>
                <w:sz w:val="20"/>
                <w:szCs w:val="20"/>
                <w:highlight w:val="none"/>
              </w:rPr>
              <w:t>EER</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3.2</w:t>
            </w:r>
            <w:r>
              <w:rPr>
                <w:rFonts w:hint="eastAsia" w:ascii="宋体" w:hAnsi="宋体" w:cs="宋体"/>
                <w:color w:val="auto"/>
                <w:kern w:val="0"/>
                <w:sz w:val="20"/>
                <w:szCs w:val="20"/>
                <w:highlight w:val="none"/>
              </w:rPr>
              <w:t>。</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3) </w:t>
            </w:r>
            <w:r>
              <w:rPr>
                <w:rFonts w:hint="eastAsia" w:ascii="宋体" w:hAnsi="宋体" w:cs="宋体"/>
                <w:color w:val="auto"/>
                <w:kern w:val="0"/>
                <w:sz w:val="20"/>
                <w:szCs w:val="20"/>
                <w:highlight w:val="none"/>
              </w:rPr>
              <w:t>高效率与可靠：高效</w:t>
            </w:r>
            <w:r>
              <w:rPr>
                <w:rFonts w:ascii="宋体" w:hAnsi="宋体" w:cs="宋体"/>
                <w:color w:val="auto"/>
                <w:kern w:val="0"/>
                <w:sz w:val="20"/>
                <w:szCs w:val="20"/>
                <w:highlight w:val="none"/>
              </w:rPr>
              <w:t>EER</w:t>
            </w:r>
            <w:r>
              <w:rPr>
                <w:rFonts w:hint="eastAsia" w:ascii="宋体" w:hAnsi="宋体" w:cs="宋体"/>
                <w:color w:val="auto"/>
                <w:kern w:val="0"/>
                <w:sz w:val="20"/>
                <w:szCs w:val="20"/>
                <w:highlight w:val="none"/>
              </w:rPr>
              <w:t>设计，最佳的室内外机组合，提供全年低运行成本的运作。采用高效变频压缩机设计，可抗击超负荷冲击，以提供安全可靠性；室外风机为变频无级调速控制。</w:t>
            </w:r>
            <w:r>
              <w:rPr>
                <w:rFonts w:ascii="宋体" w:hAnsi="宋体" w:cs="宋体"/>
                <w:color w:val="auto"/>
                <w:kern w:val="0"/>
                <w:sz w:val="20"/>
                <w:szCs w:val="20"/>
                <w:highlight w:val="none"/>
              </w:rPr>
              <w:t xml:space="preserve"> </w:t>
            </w:r>
            <w:r>
              <w:rPr>
                <w:rFonts w:ascii="宋体" w:hAnsi="宋体" w:cs="宋体"/>
                <w:color w:val="auto"/>
                <w:kern w:val="0"/>
                <w:sz w:val="20"/>
                <w:szCs w:val="20"/>
                <w:highlight w:val="none"/>
              </w:rPr>
              <w:br w:type="textWrapping"/>
            </w:r>
            <w:r>
              <w:rPr>
                <w:rFonts w:ascii="宋体" w:hAnsi="宋体" w:cs="宋体"/>
                <w:color w:val="auto"/>
                <w:kern w:val="0"/>
                <w:sz w:val="20"/>
                <w:szCs w:val="20"/>
                <w:highlight w:val="none"/>
              </w:rPr>
              <w:t xml:space="preserve">4) </w:t>
            </w:r>
            <w:r>
              <w:rPr>
                <w:rFonts w:hint="eastAsia" w:ascii="宋体" w:hAnsi="宋体" w:cs="宋体"/>
                <w:color w:val="auto"/>
                <w:kern w:val="0"/>
                <w:sz w:val="20"/>
                <w:szCs w:val="20"/>
                <w:highlight w:val="none"/>
              </w:rPr>
              <w:t>高可用性：配置高低压侦测、压缩机温度侦测、风量侦测等元件，提早发出告警，确保机台稳定运作。全正面与背面维修，以模组化元件设计，减少检查维修时间。采用高效涡旋压缩机，确保压缩机的运转寿命。</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5) </w:t>
            </w:r>
            <w:r>
              <w:rPr>
                <w:rFonts w:hint="eastAsia" w:ascii="宋体" w:hAnsi="宋体" w:cs="宋体"/>
                <w:color w:val="auto"/>
                <w:kern w:val="0"/>
                <w:sz w:val="20"/>
                <w:szCs w:val="20"/>
                <w:highlight w:val="none"/>
              </w:rPr>
              <w:t>高弹性：支持上下入电与配管，配备抛弃式的高效滤网，同时也可采用可清洗式滤网，以节省后续运营成本。</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6) </w:t>
            </w:r>
            <w:r>
              <w:rPr>
                <w:rFonts w:hint="eastAsia" w:ascii="宋体" w:hAnsi="宋体" w:cs="宋体"/>
                <w:color w:val="auto"/>
                <w:kern w:val="0"/>
                <w:sz w:val="20"/>
                <w:szCs w:val="20"/>
                <w:highlight w:val="none"/>
              </w:rPr>
              <w:t>智能管理：具有</w:t>
            </w:r>
            <w:r>
              <w:rPr>
                <w:rFonts w:ascii="宋体" w:hAnsi="宋体" w:cs="宋体"/>
                <w:color w:val="auto"/>
                <w:kern w:val="0"/>
                <w:sz w:val="20"/>
                <w:szCs w:val="20"/>
                <w:highlight w:val="none"/>
              </w:rPr>
              <w:t>LCD</w:t>
            </w:r>
            <w:r>
              <w:rPr>
                <w:rFonts w:hint="eastAsia" w:ascii="宋体" w:hAnsi="宋体" w:cs="宋体"/>
                <w:color w:val="auto"/>
                <w:kern w:val="0"/>
                <w:sz w:val="20"/>
                <w:szCs w:val="20"/>
                <w:highlight w:val="none"/>
              </w:rPr>
              <w:t>屏幕多行中文触摸屏显示器，可以从动环监控及显示屏的主菜单上进入浏览各设定点、事件记录、图形数据、传感器数据、报警设置信息。</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7) </w:t>
            </w:r>
            <w:r>
              <w:rPr>
                <w:rFonts w:hint="eastAsia" w:ascii="宋体" w:hAnsi="宋体" w:cs="宋体"/>
                <w:color w:val="auto"/>
                <w:kern w:val="0"/>
                <w:sz w:val="20"/>
                <w:szCs w:val="20"/>
                <w:highlight w:val="none"/>
              </w:rPr>
              <w:t>★提供通道应急通风系统，含应急控制单元、应急风扇（单机柜应急风扇数量2个），可在紧急状态下启动通风。</w:t>
            </w:r>
          </w:p>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8）制造商须具有计算机和数据处理机房用空调《全国工业产品生产许可证》，(发证单位为中华人民共和国国家质量监督检验检疫总局)，并提供相应生产许可证证明文件，提供加盖厂商公章的复印件。</w:t>
            </w:r>
          </w:p>
        </w:tc>
      </w:tr>
      <w:tr>
        <w:tblPrEx>
          <w:tblCellMar>
            <w:top w:w="0" w:type="dxa"/>
            <w:left w:w="108" w:type="dxa"/>
            <w:bottom w:w="0" w:type="dxa"/>
            <w:right w:w="108" w:type="dxa"/>
          </w:tblCellMar>
        </w:tblPrEx>
        <w:trPr>
          <w:trHeight w:val="274" w:hRule="atLeast"/>
          <w:jc w:val="center"/>
        </w:trPr>
        <w:tc>
          <w:tcPr>
            <w:tcW w:w="798"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auto"/>
                <w:kern w:val="0"/>
                <w:sz w:val="20"/>
                <w:szCs w:val="20"/>
                <w:highlight w:val="none"/>
              </w:rPr>
            </w:pPr>
            <w:r>
              <w:rPr>
                <w:rFonts w:ascii="宋体" w:hAnsi="宋体" w:cs="宋体"/>
                <w:color w:val="auto"/>
                <w:kern w:val="0"/>
                <w:sz w:val="20"/>
                <w:szCs w:val="20"/>
                <w:highlight w:val="none"/>
              </w:rPr>
              <w:t>PDU</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ascii="宋体" w:hAnsi="宋体" w:cs="宋体"/>
                <w:color w:val="auto"/>
                <w:kern w:val="0"/>
                <w:sz w:val="20"/>
                <w:szCs w:val="20"/>
                <w:highlight w:val="none"/>
              </w:rPr>
              <w:t xml:space="preserve">1) </w:t>
            </w:r>
            <w:r>
              <w:rPr>
                <w:rFonts w:hint="eastAsia" w:ascii="宋体" w:hAnsi="宋体" w:cs="宋体"/>
                <w:color w:val="auto"/>
                <w:kern w:val="0"/>
                <w:sz w:val="20"/>
                <w:szCs w:val="20"/>
                <w:highlight w:val="none"/>
              </w:rPr>
              <w:t>设备机柜每机柜</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个垂直安装的</w:t>
            </w:r>
            <w:r>
              <w:rPr>
                <w:rFonts w:ascii="宋体" w:hAnsi="宋体" w:cs="宋体"/>
                <w:color w:val="auto"/>
                <w:kern w:val="0"/>
                <w:sz w:val="20"/>
                <w:szCs w:val="20"/>
                <w:highlight w:val="none"/>
              </w:rPr>
              <w:t>PDU,</w:t>
            </w:r>
            <w:r>
              <w:rPr>
                <w:rFonts w:hint="eastAsia" w:ascii="宋体" w:hAnsi="宋体" w:cs="宋体"/>
                <w:color w:val="auto"/>
                <w:kern w:val="0"/>
                <w:sz w:val="20"/>
                <w:szCs w:val="20"/>
                <w:highlight w:val="none"/>
              </w:rPr>
              <w:t>不占机柜有效空间，总输入≥</w:t>
            </w:r>
            <w:r>
              <w:rPr>
                <w:rFonts w:ascii="宋体" w:hAnsi="宋体" w:cs="宋体"/>
                <w:color w:val="auto"/>
                <w:kern w:val="0"/>
                <w:sz w:val="20"/>
                <w:szCs w:val="20"/>
                <w:highlight w:val="none"/>
              </w:rPr>
              <w:t>250Vac/32A</w:t>
            </w:r>
            <w:r>
              <w:rPr>
                <w:rFonts w:hint="eastAsia" w:ascii="宋体" w:hAnsi="宋体" w:cs="宋体"/>
                <w:color w:val="auto"/>
                <w:kern w:val="0"/>
                <w:sz w:val="20"/>
                <w:szCs w:val="20"/>
                <w:highlight w:val="none"/>
              </w:rPr>
              <w:t>，带输入总开关，接线端子，</w:t>
            </w:r>
            <w:r>
              <w:rPr>
                <w:rFonts w:ascii="宋体" w:hAnsi="宋体" w:cs="宋体"/>
                <w:color w:val="auto"/>
                <w:kern w:val="0"/>
                <w:sz w:val="20"/>
                <w:szCs w:val="20"/>
                <w:highlight w:val="none"/>
              </w:rPr>
              <w:t>16</w:t>
            </w:r>
            <w:r>
              <w:rPr>
                <w:rFonts w:hint="eastAsia" w:ascii="宋体" w:hAnsi="宋体" w:cs="宋体"/>
                <w:color w:val="auto"/>
                <w:kern w:val="0"/>
                <w:sz w:val="20"/>
                <w:szCs w:val="20"/>
                <w:highlight w:val="none"/>
              </w:rPr>
              <w:t>位</w:t>
            </w:r>
            <w:r>
              <w:rPr>
                <w:rFonts w:ascii="宋体" w:hAnsi="宋体" w:cs="宋体"/>
                <w:color w:val="auto"/>
                <w:kern w:val="0"/>
                <w:sz w:val="20"/>
                <w:szCs w:val="20"/>
                <w:highlight w:val="none"/>
              </w:rPr>
              <w:t>10A</w:t>
            </w:r>
            <w:r>
              <w:rPr>
                <w:rFonts w:hint="eastAsia" w:ascii="宋体" w:hAnsi="宋体" w:cs="宋体"/>
                <w:color w:val="auto"/>
                <w:kern w:val="0"/>
                <w:sz w:val="20"/>
                <w:szCs w:val="20"/>
                <w:highlight w:val="none"/>
              </w:rPr>
              <w:t>国标，</w:t>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位</w:t>
            </w:r>
            <w:r>
              <w:rPr>
                <w:rFonts w:ascii="宋体" w:hAnsi="宋体" w:cs="宋体"/>
                <w:color w:val="auto"/>
                <w:kern w:val="0"/>
                <w:sz w:val="20"/>
                <w:szCs w:val="20"/>
                <w:highlight w:val="none"/>
              </w:rPr>
              <w:t>16A</w:t>
            </w:r>
            <w:r>
              <w:rPr>
                <w:rFonts w:hint="eastAsia" w:ascii="宋体" w:hAnsi="宋体" w:cs="宋体"/>
                <w:color w:val="auto"/>
                <w:kern w:val="0"/>
                <w:sz w:val="20"/>
                <w:szCs w:val="20"/>
                <w:highlight w:val="none"/>
              </w:rPr>
              <w:t>国标。</w:t>
            </w:r>
          </w:p>
        </w:tc>
      </w:tr>
      <w:tr>
        <w:tblPrEx>
          <w:tblCellMar>
            <w:top w:w="0" w:type="dxa"/>
            <w:left w:w="108" w:type="dxa"/>
            <w:bottom w:w="0" w:type="dxa"/>
            <w:right w:w="108" w:type="dxa"/>
          </w:tblCellMar>
        </w:tblPrEx>
        <w:trPr>
          <w:trHeight w:val="699" w:hRule="atLeast"/>
          <w:jc w:val="center"/>
        </w:trPr>
        <w:tc>
          <w:tcPr>
            <w:tcW w:w="798"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模块内监控</w:t>
            </w:r>
            <w:r>
              <w:rPr>
                <w:rFonts w:ascii="宋体" w:hAnsi="宋体" w:cs="宋体"/>
                <w:color w:val="auto"/>
                <w:kern w:val="0"/>
                <w:sz w:val="20"/>
                <w:szCs w:val="20"/>
                <w:highlight w:val="none"/>
              </w:rPr>
              <w:t xml:space="preserve"> </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ascii="宋体" w:hAnsi="宋体" w:cs="宋体"/>
                <w:color w:val="auto"/>
                <w:kern w:val="0"/>
                <w:sz w:val="20"/>
                <w:szCs w:val="20"/>
                <w:highlight w:val="none"/>
              </w:rPr>
              <w:t xml:space="preserve">1) </w:t>
            </w:r>
            <w:r>
              <w:rPr>
                <w:rFonts w:hint="eastAsia" w:ascii="宋体" w:hAnsi="宋体" w:cs="宋体"/>
                <w:color w:val="auto"/>
                <w:kern w:val="0"/>
                <w:sz w:val="20"/>
                <w:szCs w:val="20"/>
                <w:highlight w:val="none"/>
              </w:rPr>
              <w:t>管理功能要求：采用统一管理平台，要求对模块化机房内动力设备（</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配电）、环境（温、湿度、精密空调）、漏水、门禁、消防等设备进行集中监控和管理。可监测空调的回风温度和湿度等参数，监测压缩机、风机、冷凝器、加热器、去湿器等部件的状态，控制空调的启停，调节温度和湿度。可监控配电单元各分回路的各电量参数，如：三相电压、三相电流、频率、有功功率、无功功率、视在功率、功率因数等。</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2) </w:t>
            </w:r>
            <w:r>
              <w:rPr>
                <w:rFonts w:hint="eastAsia" w:ascii="宋体" w:hAnsi="宋体" w:cs="宋体"/>
                <w:color w:val="auto"/>
                <w:kern w:val="0"/>
                <w:sz w:val="20"/>
                <w:szCs w:val="20"/>
                <w:highlight w:val="none"/>
              </w:rPr>
              <w:t>监控主机：硬件配置：</w:t>
            </w:r>
            <w:r>
              <w:rPr>
                <w:rFonts w:ascii="宋体" w:hAnsi="宋体" w:cs="宋体"/>
                <w:color w:val="auto"/>
                <w:kern w:val="0"/>
                <w:sz w:val="20"/>
                <w:szCs w:val="20"/>
                <w:highlight w:val="none"/>
              </w:rPr>
              <w:t>1U</w:t>
            </w:r>
            <w:r>
              <w:rPr>
                <w:rFonts w:hint="eastAsia" w:ascii="宋体" w:hAnsi="宋体" w:cs="宋体"/>
                <w:color w:val="auto"/>
                <w:kern w:val="0"/>
                <w:sz w:val="20"/>
                <w:szCs w:val="20"/>
                <w:highlight w:val="none"/>
              </w:rPr>
              <w:t>监控管理主机，可实现机柜系统微环境监控，具有监控界面轮播功能。要求配置不小于</w:t>
            </w:r>
            <w:r>
              <w:rPr>
                <w:rFonts w:ascii="宋体" w:hAnsi="宋体" w:cs="宋体"/>
                <w:color w:val="auto"/>
                <w:kern w:val="0"/>
                <w:sz w:val="20"/>
                <w:szCs w:val="20"/>
                <w:highlight w:val="none"/>
              </w:rPr>
              <w:t>7</w:t>
            </w:r>
            <w:r>
              <w:rPr>
                <w:rFonts w:hint="eastAsia" w:ascii="宋体" w:hAnsi="宋体" w:cs="宋体"/>
                <w:color w:val="auto"/>
                <w:kern w:val="0"/>
                <w:sz w:val="20"/>
                <w:szCs w:val="20"/>
                <w:highlight w:val="none"/>
              </w:rPr>
              <w:t>英寸的全高清触摸显示屏。</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3) </w:t>
            </w:r>
            <w:r>
              <w:rPr>
                <w:rFonts w:hint="eastAsia" w:ascii="宋体" w:hAnsi="宋体" w:cs="宋体"/>
                <w:color w:val="auto"/>
                <w:kern w:val="0"/>
                <w:sz w:val="20"/>
                <w:szCs w:val="20"/>
                <w:highlight w:val="none"/>
              </w:rPr>
              <w:t>温、湿侦测器：温湿度探头，温度和湿度的采集，支持</w:t>
            </w:r>
            <w:r>
              <w:rPr>
                <w:rFonts w:ascii="宋体" w:hAnsi="宋体" w:cs="宋体"/>
                <w:color w:val="auto"/>
                <w:kern w:val="0"/>
                <w:sz w:val="20"/>
                <w:szCs w:val="20"/>
                <w:highlight w:val="none"/>
              </w:rPr>
              <w:t>RS232</w:t>
            </w:r>
            <w:r>
              <w:rPr>
                <w:rFonts w:hint="eastAsia" w:ascii="宋体" w:hAnsi="宋体" w:cs="宋体"/>
                <w:color w:val="auto"/>
                <w:kern w:val="0"/>
                <w:sz w:val="20"/>
                <w:szCs w:val="20"/>
                <w:highlight w:val="none"/>
              </w:rPr>
              <w:t>和</w:t>
            </w:r>
            <w:r>
              <w:rPr>
                <w:rFonts w:ascii="宋体" w:hAnsi="宋体" w:cs="宋体"/>
                <w:color w:val="auto"/>
                <w:kern w:val="0"/>
                <w:sz w:val="20"/>
                <w:szCs w:val="20"/>
                <w:highlight w:val="none"/>
              </w:rPr>
              <w:t>RS485</w:t>
            </w:r>
            <w:r>
              <w:rPr>
                <w:rFonts w:hint="eastAsia" w:ascii="宋体" w:hAnsi="宋体" w:cs="宋体"/>
                <w:color w:val="auto"/>
                <w:kern w:val="0"/>
                <w:sz w:val="20"/>
                <w:szCs w:val="20"/>
                <w:highlight w:val="none"/>
              </w:rPr>
              <w:t>通讯，要求对每个设备柜进行监控。</w:t>
            </w:r>
          </w:p>
          <w:p>
            <w:pPr>
              <w:widowControl/>
              <w:jc w:val="left"/>
              <w:rPr>
                <w:rFonts w:ascii="宋体" w:cs="Times New Roman"/>
                <w:color w:val="auto"/>
                <w:kern w:val="0"/>
                <w:sz w:val="20"/>
                <w:szCs w:val="20"/>
                <w:highlight w:val="none"/>
              </w:rPr>
            </w:pPr>
            <w:r>
              <w:rPr>
                <w:rFonts w:ascii="宋体" w:cs="宋体"/>
                <w:color w:val="auto"/>
                <w:kern w:val="0"/>
                <w:sz w:val="20"/>
                <w:szCs w:val="20"/>
                <w:highlight w:val="none"/>
              </w:rPr>
              <w:t xml:space="preserve">4) </w:t>
            </w:r>
            <w:r>
              <w:rPr>
                <w:rFonts w:hint="eastAsia" w:ascii="宋体" w:cs="宋体"/>
                <w:color w:val="auto"/>
                <w:kern w:val="0"/>
                <w:sz w:val="20"/>
                <w:szCs w:val="20"/>
                <w:highlight w:val="none"/>
              </w:rPr>
              <w:t>烟感传感器、门状态传感器等部件：数量由各投标人自行设计确定。</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 xml:space="preserve">5) </w:t>
            </w:r>
            <w:r>
              <w:rPr>
                <w:rFonts w:hint="eastAsia" w:ascii="宋体" w:hAnsi="宋体" w:cs="宋体"/>
                <w:color w:val="auto"/>
                <w:kern w:val="0"/>
                <w:sz w:val="20"/>
                <w:szCs w:val="20"/>
                <w:highlight w:val="none"/>
              </w:rPr>
              <w:t>简化运维要求：应支持基于</w:t>
            </w:r>
            <w:r>
              <w:rPr>
                <w:rFonts w:ascii="宋体" w:hAnsi="宋体" w:cs="宋体"/>
                <w:color w:val="auto"/>
                <w:kern w:val="0"/>
                <w:sz w:val="20"/>
                <w:szCs w:val="20"/>
                <w:highlight w:val="none"/>
              </w:rPr>
              <w:t>Web</w:t>
            </w:r>
            <w:r>
              <w:rPr>
                <w:rFonts w:hint="eastAsia" w:ascii="宋体" w:hAnsi="宋体" w:cs="宋体"/>
                <w:color w:val="auto"/>
                <w:kern w:val="0"/>
                <w:sz w:val="20"/>
                <w:szCs w:val="20"/>
                <w:highlight w:val="none"/>
              </w:rPr>
              <w:t>的远程监控功能，通过通用的浏览器访问一个</w:t>
            </w:r>
            <w:r>
              <w:rPr>
                <w:rFonts w:ascii="宋体" w:hAnsi="宋体" w:cs="宋体"/>
                <w:color w:val="auto"/>
                <w:kern w:val="0"/>
                <w:sz w:val="20"/>
                <w:szCs w:val="20"/>
                <w:highlight w:val="none"/>
              </w:rPr>
              <w:t>IP</w:t>
            </w:r>
            <w:r>
              <w:rPr>
                <w:rFonts w:hint="eastAsia" w:ascii="宋体" w:hAnsi="宋体" w:cs="宋体"/>
                <w:color w:val="auto"/>
                <w:kern w:val="0"/>
                <w:sz w:val="20"/>
                <w:szCs w:val="20"/>
                <w:highlight w:val="none"/>
              </w:rPr>
              <w:t>地址浏览监控信息，记录和分析监控数据，可实现远程异地监控。</w:t>
            </w:r>
          </w:p>
          <w:p>
            <w:pPr>
              <w:widowControl/>
              <w:jc w:val="left"/>
              <w:rPr>
                <w:rFonts w:ascii="宋体" w:cs="Times New Roman"/>
                <w:color w:val="auto"/>
                <w:kern w:val="0"/>
                <w:sz w:val="20"/>
                <w:szCs w:val="20"/>
                <w:highlight w:val="none"/>
              </w:rPr>
            </w:pPr>
            <w:r>
              <w:rPr>
                <w:rFonts w:ascii="宋体" w:hAnsi="宋体" w:cs="宋体"/>
                <w:color w:val="auto"/>
                <w:kern w:val="0"/>
                <w:sz w:val="20"/>
                <w:szCs w:val="20"/>
                <w:highlight w:val="none"/>
              </w:rPr>
              <w:t xml:space="preserve">6) </w:t>
            </w:r>
            <w:r>
              <w:rPr>
                <w:rFonts w:hint="eastAsia" w:ascii="宋体" w:hAnsi="宋体" w:cs="宋体"/>
                <w:color w:val="auto"/>
                <w:kern w:val="0"/>
                <w:sz w:val="20"/>
                <w:szCs w:val="20"/>
                <w:highlight w:val="none"/>
              </w:rPr>
              <w:t>要求动环监控系统与</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系统、供配电模块、精密空调等主要组成部分为同一品牌产品，以实现无缝对接</w:t>
            </w:r>
          </w:p>
        </w:tc>
      </w:tr>
      <w:tr>
        <w:tblPrEx>
          <w:tblCellMar>
            <w:top w:w="0" w:type="dxa"/>
            <w:left w:w="108" w:type="dxa"/>
            <w:bottom w:w="0" w:type="dxa"/>
            <w:right w:w="108" w:type="dxa"/>
          </w:tblCellMar>
        </w:tblPrEx>
        <w:trPr>
          <w:trHeight w:val="710" w:hRule="atLeast"/>
          <w:jc w:val="center"/>
        </w:trPr>
        <w:tc>
          <w:tcPr>
            <w:tcW w:w="798"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nil"/>
              <w:right w:val="single" w:color="auto" w:sz="4" w:space="0"/>
            </w:tcBorders>
            <w:shd w:val="clear" w:color="000000" w:fill="FFFFFF"/>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消防组件</w:t>
            </w:r>
          </w:p>
        </w:tc>
        <w:tc>
          <w:tcPr>
            <w:tcW w:w="784" w:type="dxa"/>
            <w:tcBorders>
              <w:top w:val="nil"/>
              <w:left w:val="nil"/>
              <w:bottom w:val="nil"/>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nil"/>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提供模块化内部机架式气体消防系统，满足</w:t>
            </w:r>
            <w:r>
              <w:rPr>
                <w:rFonts w:ascii="宋体" w:hAnsi="宋体" w:cs="宋体"/>
                <w:color w:val="auto"/>
                <w:kern w:val="0"/>
                <w:sz w:val="20"/>
                <w:szCs w:val="20"/>
                <w:highlight w:val="none"/>
              </w:rPr>
              <w:t>8</w:t>
            </w:r>
            <w:r>
              <w:rPr>
                <w:rFonts w:hint="eastAsia" w:ascii="宋体" w:hAnsi="宋体" w:cs="宋体"/>
                <w:color w:val="auto"/>
                <w:kern w:val="0"/>
                <w:sz w:val="20"/>
                <w:szCs w:val="20"/>
                <w:highlight w:val="none"/>
              </w:rPr>
              <w:t>个机柜的消防需求，机架式安装，高度</w:t>
            </w:r>
            <w:r>
              <w:rPr>
                <w:rFonts w:ascii="宋体" w:hAnsi="宋体" w:cs="宋体"/>
                <w:color w:val="auto"/>
                <w:kern w:val="0"/>
                <w:sz w:val="20"/>
                <w:szCs w:val="20"/>
                <w:highlight w:val="none"/>
              </w:rPr>
              <w:t>8U</w:t>
            </w:r>
            <w:r>
              <w:rPr>
                <w:rFonts w:hint="eastAsia" w:ascii="宋体" w:hAnsi="宋体" w:cs="宋体"/>
                <w:color w:val="auto"/>
                <w:kern w:val="0"/>
                <w:sz w:val="20"/>
                <w:szCs w:val="20"/>
                <w:highlight w:val="none"/>
              </w:rPr>
              <w:t>，具备完整的消防探测、控制、触发系统，与动环监控系统联动，保障模块化机房内部的消防安全。</w:t>
            </w:r>
          </w:p>
        </w:tc>
      </w:tr>
      <w:tr>
        <w:tblPrEx>
          <w:tblCellMar>
            <w:top w:w="0" w:type="dxa"/>
            <w:left w:w="108" w:type="dxa"/>
            <w:bottom w:w="0" w:type="dxa"/>
            <w:right w:w="108" w:type="dxa"/>
          </w:tblCellMar>
        </w:tblPrEx>
        <w:trPr>
          <w:trHeight w:val="90" w:hRule="atLeast"/>
          <w:jc w:val="center"/>
        </w:trPr>
        <w:tc>
          <w:tcPr>
            <w:tcW w:w="798" w:type="dxa"/>
            <w:vMerge w:val="restart"/>
            <w:tcBorders>
              <w:top w:val="single" w:color="auto" w:sz="4" w:space="0"/>
              <w:left w:val="single" w:color="auto" w:sz="4" w:space="0"/>
              <w:right w:val="single" w:color="auto" w:sz="4" w:space="0"/>
            </w:tcBorders>
            <w:vAlign w:val="center"/>
          </w:tcPr>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机房基础装饰</w:t>
            </w:r>
          </w:p>
          <w:p>
            <w:pPr>
              <w:jc w:val="left"/>
              <w:rPr>
                <w:rFonts w:ascii="宋体" w:cs="Times New Roman"/>
                <w:color w:val="auto"/>
                <w:kern w:val="0"/>
                <w:sz w:val="20"/>
                <w:szCs w:val="20"/>
                <w:highlight w:val="none"/>
              </w:rPr>
            </w:pPr>
          </w:p>
        </w:tc>
        <w:tc>
          <w:tcPr>
            <w:tcW w:w="976"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机房基础装饰</w:t>
            </w:r>
            <w:r>
              <w:rPr>
                <w:rFonts w:ascii="宋体" w:hAnsi="宋体" w:cs="宋体"/>
                <w:color w:val="auto"/>
                <w:kern w:val="0"/>
                <w:sz w:val="20"/>
                <w:szCs w:val="20"/>
                <w:highlight w:val="none"/>
              </w:rPr>
              <w:t xml:space="preserve"> </w:t>
            </w:r>
          </w:p>
          <w:p>
            <w:pPr>
              <w:jc w:val="center"/>
              <w:rPr>
                <w:rFonts w:ascii="宋体" w:cs="Times New Roman"/>
                <w:color w:val="auto"/>
                <w:kern w:val="0"/>
                <w:sz w:val="20"/>
                <w:szCs w:val="20"/>
                <w:highlight w:val="none"/>
              </w:rPr>
            </w:pPr>
          </w:p>
        </w:tc>
        <w:tc>
          <w:tcPr>
            <w:tcW w:w="7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顶面</w:t>
            </w:r>
            <w:r>
              <w:rPr>
                <w:rFonts w:ascii="宋体" w:hAnsi="宋体" w:cs="宋体"/>
                <w:color w:val="auto"/>
                <w:kern w:val="0"/>
                <w:sz w:val="20"/>
                <w:szCs w:val="20"/>
                <w:highlight w:val="none"/>
              </w:rPr>
              <w:t xml:space="preserve"> </w:t>
            </w:r>
          </w:p>
        </w:tc>
        <w:tc>
          <w:tcPr>
            <w:tcW w:w="6728"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机房顶部和梁柱应做防尘、防水处理，敷设铝箔布及</w:t>
            </w:r>
            <w:r>
              <w:rPr>
                <w:rFonts w:ascii="宋体" w:hAnsi="宋体" w:cs="宋体"/>
                <w:color w:val="auto"/>
                <w:kern w:val="0"/>
                <w:sz w:val="20"/>
                <w:szCs w:val="20"/>
                <w:highlight w:val="none"/>
              </w:rPr>
              <w:t xml:space="preserve"> 20mm</w:t>
            </w:r>
            <w:r>
              <w:rPr>
                <w:rFonts w:hint="eastAsia" w:ascii="宋体" w:hAnsi="宋体" w:cs="宋体"/>
                <w:color w:val="auto"/>
                <w:kern w:val="0"/>
                <w:sz w:val="20"/>
                <w:szCs w:val="20"/>
                <w:highlight w:val="none"/>
              </w:rPr>
              <w:t>橡塑保温棉；</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采用</w:t>
            </w:r>
            <w:r>
              <w:rPr>
                <w:rFonts w:ascii="宋体" w:hAnsi="宋体" w:cs="宋体"/>
                <w:color w:val="auto"/>
                <w:kern w:val="0"/>
                <w:sz w:val="20"/>
                <w:szCs w:val="20"/>
                <w:highlight w:val="none"/>
              </w:rPr>
              <w:t xml:space="preserve"> 600mm*600mm </w:t>
            </w:r>
            <w:r>
              <w:rPr>
                <w:rFonts w:hint="eastAsia" w:ascii="宋体" w:hAnsi="宋体" w:cs="宋体"/>
                <w:color w:val="auto"/>
                <w:kern w:val="0"/>
                <w:sz w:val="20"/>
                <w:szCs w:val="20"/>
                <w:highlight w:val="none"/>
              </w:rPr>
              <w:t>厚度≥</w:t>
            </w:r>
            <w:r>
              <w:rPr>
                <w:rFonts w:ascii="宋体" w:hAnsi="宋体" w:cs="宋体"/>
                <w:color w:val="auto"/>
                <w:kern w:val="0"/>
                <w:sz w:val="20"/>
                <w:szCs w:val="20"/>
                <w:highlight w:val="none"/>
              </w:rPr>
              <w:t xml:space="preserve">1.0mm </w:t>
            </w:r>
            <w:r>
              <w:rPr>
                <w:rFonts w:hint="eastAsia" w:ascii="宋体" w:hAnsi="宋体" w:cs="宋体"/>
                <w:color w:val="auto"/>
                <w:kern w:val="0"/>
                <w:sz w:val="20"/>
                <w:szCs w:val="20"/>
                <w:highlight w:val="none"/>
              </w:rPr>
              <w:t>的防尘防火的微孔铝制扣板吊顶；顶部照明采用</w:t>
            </w:r>
            <w:r>
              <w:rPr>
                <w:rFonts w:ascii="宋体" w:hAnsi="宋体" w:cs="宋体"/>
                <w:color w:val="auto"/>
                <w:kern w:val="0"/>
                <w:sz w:val="20"/>
                <w:szCs w:val="20"/>
                <w:highlight w:val="none"/>
              </w:rPr>
              <w:t xml:space="preserve"> 600*600 </w:t>
            </w:r>
            <w:r>
              <w:rPr>
                <w:rFonts w:hint="eastAsia" w:ascii="宋体" w:hAnsi="宋体" w:cs="宋体"/>
                <w:color w:val="auto"/>
                <w:kern w:val="0"/>
                <w:sz w:val="20"/>
                <w:szCs w:val="20"/>
                <w:highlight w:val="none"/>
              </w:rPr>
              <w:t>的</w:t>
            </w:r>
            <w:r>
              <w:rPr>
                <w:rFonts w:ascii="宋体" w:hAnsi="宋体" w:cs="宋体"/>
                <w:color w:val="auto"/>
                <w:kern w:val="0"/>
                <w:sz w:val="20"/>
                <w:szCs w:val="20"/>
                <w:highlight w:val="none"/>
              </w:rPr>
              <w:t xml:space="preserve"> LED </w:t>
            </w:r>
            <w:r>
              <w:rPr>
                <w:rFonts w:hint="eastAsia" w:ascii="宋体" w:hAnsi="宋体" w:cs="宋体"/>
                <w:color w:val="auto"/>
                <w:kern w:val="0"/>
                <w:sz w:val="20"/>
                <w:szCs w:val="20"/>
                <w:highlight w:val="none"/>
              </w:rPr>
              <w:t>平板灯，并设应急照明（延时不小于</w:t>
            </w:r>
            <w:r>
              <w:rPr>
                <w:rFonts w:ascii="宋体" w:hAnsi="宋体" w:cs="宋体"/>
                <w:color w:val="auto"/>
                <w:kern w:val="0"/>
                <w:sz w:val="20"/>
                <w:szCs w:val="20"/>
                <w:highlight w:val="none"/>
              </w:rPr>
              <w:t>9</w:t>
            </w:r>
            <w:r>
              <w:rPr>
                <w:rFonts w:hint="eastAsia" w:ascii="宋体" w:hAnsi="宋体" w:cs="宋体"/>
                <w:color w:val="auto"/>
                <w:kern w:val="0"/>
                <w:sz w:val="20"/>
                <w:szCs w:val="20"/>
                <w:highlight w:val="none"/>
              </w:rPr>
              <w:t>个小时）</w:t>
            </w:r>
            <w:r>
              <w:rPr>
                <w:rFonts w:ascii="宋体" w:hAnsi="宋体" w:cs="宋体"/>
                <w:color w:val="auto"/>
                <w:kern w:val="0"/>
                <w:sz w:val="20"/>
                <w:szCs w:val="20"/>
                <w:highlight w:val="none"/>
              </w:rPr>
              <w:t xml:space="preserve"> </w:t>
            </w:r>
          </w:p>
        </w:tc>
      </w:tr>
      <w:tr>
        <w:tblPrEx>
          <w:tblCellMar>
            <w:top w:w="0" w:type="dxa"/>
            <w:left w:w="108" w:type="dxa"/>
            <w:bottom w:w="0" w:type="dxa"/>
            <w:right w:w="108" w:type="dxa"/>
          </w:tblCellMar>
        </w:tblPrEx>
        <w:trPr>
          <w:trHeight w:val="1200" w:hRule="atLeast"/>
          <w:jc w:val="center"/>
        </w:trPr>
        <w:tc>
          <w:tcPr>
            <w:tcW w:w="798" w:type="dxa"/>
            <w:vMerge w:val="continue"/>
            <w:tcBorders>
              <w:left w:val="single" w:color="auto" w:sz="4" w:space="0"/>
              <w:right w:val="single" w:color="auto" w:sz="4" w:space="0"/>
            </w:tcBorders>
            <w:vAlign w:val="center"/>
          </w:tcPr>
          <w:p>
            <w:pPr>
              <w:jc w:val="left"/>
              <w:rPr>
                <w:rFonts w:ascii="宋体" w:cs="Times New Roman"/>
                <w:color w:val="auto"/>
                <w:kern w:val="0"/>
                <w:sz w:val="20"/>
                <w:szCs w:val="20"/>
                <w:highlight w:val="none"/>
              </w:rPr>
            </w:pPr>
          </w:p>
        </w:tc>
        <w:tc>
          <w:tcPr>
            <w:tcW w:w="976" w:type="dxa"/>
            <w:vMerge w:val="continue"/>
            <w:tcBorders>
              <w:left w:val="single" w:color="auto" w:sz="4" w:space="0"/>
              <w:right w:val="single" w:color="auto" w:sz="4" w:space="0"/>
            </w:tcBorders>
            <w:vAlign w:val="center"/>
          </w:tcPr>
          <w:p>
            <w:pPr>
              <w:jc w:val="center"/>
              <w:rPr>
                <w:rFonts w:ascii="宋体" w:cs="Times New Roman"/>
                <w:color w:val="auto"/>
                <w:kern w:val="0"/>
                <w:sz w:val="20"/>
                <w:szCs w:val="20"/>
                <w:highlight w:val="none"/>
              </w:rPr>
            </w:pP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地面</w:t>
            </w:r>
            <w:r>
              <w:rPr>
                <w:rFonts w:ascii="Times New Roman" w:hAnsi="Times New Roman" w:cs="Times New Roman"/>
                <w:color w:val="auto"/>
                <w:kern w:val="0"/>
                <w:sz w:val="20"/>
                <w:szCs w:val="20"/>
                <w:highlight w:val="none"/>
              </w:rPr>
              <w:t xml:space="preserve"> </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机房地面应做防尘、防水处理，采用无黑边</w:t>
            </w:r>
            <w:r>
              <w:rPr>
                <w:rFonts w:ascii="宋体" w:hAnsi="宋体" w:cs="宋体"/>
                <w:color w:val="auto"/>
                <w:kern w:val="0"/>
                <w:sz w:val="20"/>
                <w:szCs w:val="20"/>
                <w:highlight w:val="none"/>
              </w:rPr>
              <w:t xml:space="preserve"> 600mm*600mm*40mm </w:t>
            </w:r>
            <w:r>
              <w:rPr>
                <w:rFonts w:hint="eastAsia" w:ascii="宋体" w:hAnsi="宋体" w:cs="宋体"/>
                <w:color w:val="auto"/>
                <w:kern w:val="0"/>
                <w:sz w:val="20"/>
                <w:szCs w:val="20"/>
                <w:highlight w:val="none"/>
              </w:rPr>
              <w:t>陶瓷面全钢抗静电地板，铺设高度为</w:t>
            </w:r>
            <w:r>
              <w:rPr>
                <w:rFonts w:ascii="宋体" w:hAnsi="宋体" w:cs="宋体"/>
                <w:color w:val="auto"/>
                <w:kern w:val="0"/>
                <w:sz w:val="20"/>
                <w:szCs w:val="20"/>
                <w:highlight w:val="none"/>
              </w:rPr>
              <w:t>40cm</w:t>
            </w:r>
            <w:r>
              <w:rPr>
                <w:rFonts w:hint="eastAsia" w:ascii="宋体" w:hAnsi="宋体" w:cs="宋体"/>
                <w:color w:val="auto"/>
                <w:kern w:val="0"/>
                <w:sz w:val="20"/>
                <w:szCs w:val="20"/>
                <w:highlight w:val="none"/>
              </w:rPr>
              <w:t>，入门处设跨步台阶；静电地板下安装机柜、配电柜、精密空调、电池组等设备角钢底座，并做空调挡水坝，设置</w:t>
            </w:r>
            <w:r>
              <w:rPr>
                <w:rFonts w:ascii="宋体" w:hAnsi="宋体" w:cs="宋体"/>
                <w:color w:val="auto"/>
                <w:kern w:val="0"/>
                <w:sz w:val="20"/>
                <w:szCs w:val="20"/>
                <w:highlight w:val="none"/>
              </w:rPr>
              <w:t xml:space="preserve"> 300mm*100mm*1.0mm </w:t>
            </w:r>
            <w:r>
              <w:rPr>
                <w:rFonts w:hint="eastAsia" w:ascii="宋体" w:hAnsi="宋体" w:cs="宋体"/>
                <w:color w:val="auto"/>
                <w:kern w:val="0"/>
                <w:sz w:val="20"/>
                <w:szCs w:val="20"/>
                <w:highlight w:val="none"/>
              </w:rPr>
              <w:t>厚的强弱电镀锌桥架。</w:t>
            </w:r>
            <w:r>
              <w:rPr>
                <w:rFonts w:ascii="宋体" w:hAnsi="宋体" w:cs="宋体"/>
                <w:color w:val="auto"/>
                <w:kern w:val="0"/>
                <w:sz w:val="20"/>
                <w:szCs w:val="20"/>
                <w:highlight w:val="none"/>
              </w:rPr>
              <w:t xml:space="preserve"> </w:t>
            </w:r>
          </w:p>
        </w:tc>
      </w:tr>
      <w:tr>
        <w:tblPrEx>
          <w:tblCellMar>
            <w:top w:w="0" w:type="dxa"/>
            <w:left w:w="108" w:type="dxa"/>
            <w:bottom w:w="0" w:type="dxa"/>
            <w:right w:w="108" w:type="dxa"/>
          </w:tblCellMar>
        </w:tblPrEx>
        <w:trPr>
          <w:trHeight w:val="900" w:hRule="atLeast"/>
          <w:jc w:val="center"/>
        </w:trPr>
        <w:tc>
          <w:tcPr>
            <w:tcW w:w="798" w:type="dxa"/>
            <w:vMerge w:val="continue"/>
            <w:tcBorders>
              <w:left w:val="single" w:color="auto" w:sz="4" w:space="0"/>
              <w:right w:val="single" w:color="auto" w:sz="4" w:space="0"/>
            </w:tcBorders>
            <w:vAlign w:val="center"/>
          </w:tcPr>
          <w:p>
            <w:pPr>
              <w:jc w:val="left"/>
              <w:rPr>
                <w:rFonts w:ascii="宋体" w:cs="Times New Roman"/>
                <w:color w:val="auto"/>
                <w:kern w:val="0"/>
                <w:sz w:val="20"/>
                <w:szCs w:val="20"/>
                <w:highlight w:val="none"/>
              </w:rPr>
            </w:pPr>
          </w:p>
        </w:tc>
        <w:tc>
          <w:tcPr>
            <w:tcW w:w="976" w:type="dxa"/>
            <w:vMerge w:val="continue"/>
            <w:tcBorders>
              <w:left w:val="single" w:color="auto" w:sz="4" w:space="0"/>
              <w:right w:val="single" w:color="auto" w:sz="4" w:space="0"/>
            </w:tcBorders>
            <w:vAlign w:val="center"/>
          </w:tcPr>
          <w:p>
            <w:pPr>
              <w:jc w:val="center"/>
              <w:rPr>
                <w:rFonts w:ascii="宋体" w:cs="Times New Roman"/>
                <w:color w:val="auto"/>
                <w:kern w:val="0"/>
                <w:sz w:val="20"/>
                <w:szCs w:val="20"/>
                <w:highlight w:val="none"/>
              </w:rPr>
            </w:pPr>
          </w:p>
        </w:tc>
        <w:tc>
          <w:tcPr>
            <w:tcW w:w="78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auto"/>
                <w:kern w:val="0"/>
                <w:sz w:val="20"/>
                <w:szCs w:val="20"/>
                <w:highlight w:val="none"/>
              </w:rPr>
            </w:pPr>
            <w:r>
              <w:rPr>
                <w:rFonts w:hint="eastAsia" w:ascii="宋体" w:hAnsi="宋体" w:cs="宋体"/>
                <w:color w:val="auto"/>
                <w:kern w:val="0"/>
                <w:sz w:val="20"/>
                <w:szCs w:val="20"/>
                <w:highlight w:val="none"/>
              </w:rPr>
              <w:t>墙面</w:t>
            </w:r>
            <w:r>
              <w:rPr>
                <w:rFonts w:ascii="Times New Roman" w:hAnsi="Times New Roman" w:cs="Times New Roman"/>
                <w:color w:val="auto"/>
                <w:kern w:val="0"/>
                <w:sz w:val="20"/>
                <w:szCs w:val="20"/>
                <w:highlight w:val="none"/>
              </w:rPr>
              <w:t xml:space="preserve"> </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机房墙面及柱面应做防尘、防水处理，使用彩钢板饰面，基础框架为加厚轻钢龙骨，饰面材料为</w:t>
            </w:r>
            <w:r>
              <w:rPr>
                <w:rFonts w:ascii="宋体" w:hAnsi="宋体" w:cs="宋体"/>
                <w:color w:val="auto"/>
                <w:kern w:val="0"/>
                <w:sz w:val="20"/>
                <w:szCs w:val="20"/>
                <w:highlight w:val="none"/>
              </w:rPr>
              <w:t xml:space="preserve"> 12MM </w:t>
            </w:r>
            <w:r>
              <w:rPr>
                <w:rFonts w:hint="eastAsia" w:ascii="宋体" w:hAnsi="宋体" w:cs="宋体"/>
                <w:color w:val="auto"/>
                <w:kern w:val="0"/>
                <w:sz w:val="20"/>
                <w:szCs w:val="20"/>
                <w:highlight w:val="none"/>
              </w:rPr>
              <w:t>石膏板和</w:t>
            </w:r>
            <w:r>
              <w:rPr>
                <w:rFonts w:ascii="宋体" w:hAnsi="宋体" w:cs="宋体"/>
                <w:color w:val="auto"/>
                <w:kern w:val="0"/>
                <w:sz w:val="20"/>
                <w:szCs w:val="20"/>
                <w:highlight w:val="none"/>
              </w:rPr>
              <w:t xml:space="preserve"> 0.6MM </w:t>
            </w:r>
            <w:r>
              <w:rPr>
                <w:rFonts w:hint="eastAsia" w:ascii="宋体" w:hAnsi="宋体" w:cs="宋体"/>
                <w:color w:val="auto"/>
                <w:kern w:val="0"/>
                <w:sz w:val="20"/>
                <w:szCs w:val="20"/>
                <w:highlight w:val="none"/>
              </w:rPr>
              <w:t>彩钢板；墙壁与地板接缝处采用拉丝不锈钢踢脚线。</w:t>
            </w:r>
            <w:r>
              <w:rPr>
                <w:rFonts w:ascii="宋体" w:hAnsi="宋体" w:cs="宋体"/>
                <w:color w:val="auto"/>
                <w:kern w:val="0"/>
                <w:sz w:val="20"/>
                <w:szCs w:val="20"/>
                <w:highlight w:val="none"/>
              </w:rPr>
              <w:t xml:space="preserve"> </w:t>
            </w:r>
          </w:p>
        </w:tc>
      </w:tr>
      <w:tr>
        <w:tblPrEx>
          <w:tblCellMar>
            <w:top w:w="0" w:type="dxa"/>
            <w:left w:w="108" w:type="dxa"/>
            <w:bottom w:w="0" w:type="dxa"/>
            <w:right w:w="108" w:type="dxa"/>
          </w:tblCellMar>
        </w:tblPrEx>
        <w:trPr>
          <w:trHeight w:val="370" w:hRule="atLeast"/>
          <w:jc w:val="center"/>
        </w:trPr>
        <w:tc>
          <w:tcPr>
            <w:tcW w:w="798" w:type="dxa"/>
            <w:vMerge w:val="continue"/>
            <w:tcBorders>
              <w:left w:val="single" w:color="auto" w:sz="4" w:space="0"/>
              <w:right w:val="single" w:color="auto" w:sz="4" w:space="0"/>
            </w:tcBorders>
            <w:vAlign w:val="center"/>
          </w:tcPr>
          <w:p>
            <w:pPr>
              <w:jc w:val="left"/>
              <w:rPr>
                <w:rFonts w:ascii="宋体" w:cs="Times New Roman"/>
                <w:color w:val="auto"/>
                <w:kern w:val="0"/>
                <w:sz w:val="20"/>
                <w:szCs w:val="20"/>
                <w:highlight w:val="none"/>
              </w:rPr>
            </w:pPr>
          </w:p>
        </w:tc>
        <w:tc>
          <w:tcPr>
            <w:tcW w:w="976" w:type="dxa"/>
            <w:vMerge w:val="continue"/>
            <w:tcBorders>
              <w:left w:val="single" w:color="auto" w:sz="4" w:space="0"/>
              <w:right w:val="single" w:color="auto" w:sz="4" w:space="0"/>
            </w:tcBorders>
            <w:vAlign w:val="center"/>
          </w:tcPr>
          <w:p>
            <w:pPr>
              <w:jc w:val="center"/>
              <w:rPr>
                <w:rFonts w:ascii="宋体" w:cs="Times New Roman"/>
                <w:color w:val="auto"/>
                <w:kern w:val="0"/>
                <w:sz w:val="20"/>
                <w:szCs w:val="20"/>
                <w:highlight w:val="none"/>
              </w:rPr>
            </w:pP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门窗</w:t>
            </w:r>
            <w:r>
              <w:rPr>
                <w:rFonts w:ascii="Times New Roman" w:hAnsi="Times New Roman" w:cs="Times New Roman"/>
                <w:color w:val="auto"/>
                <w:kern w:val="0"/>
                <w:sz w:val="20"/>
                <w:szCs w:val="20"/>
                <w:highlight w:val="none"/>
              </w:rPr>
              <w:t xml:space="preserve"> </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机房原有窗户进行防水处理及内外双层</w:t>
            </w:r>
            <w:r>
              <w:rPr>
                <w:rFonts w:ascii="宋体" w:hAnsi="宋体" w:cs="宋体"/>
                <w:color w:val="auto"/>
                <w:kern w:val="0"/>
                <w:sz w:val="20"/>
                <w:szCs w:val="20"/>
                <w:highlight w:val="none"/>
              </w:rPr>
              <w:t xml:space="preserve"> 9mm </w:t>
            </w:r>
            <w:r>
              <w:rPr>
                <w:rFonts w:hint="eastAsia" w:ascii="宋体" w:hAnsi="宋体" w:cs="宋体"/>
                <w:color w:val="auto"/>
                <w:kern w:val="0"/>
                <w:sz w:val="20"/>
                <w:szCs w:val="20"/>
                <w:highlight w:val="none"/>
              </w:rPr>
              <w:t>石膏板封堵；机房主入口和紧急出口采用甲级钢制双开防火门。</w:t>
            </w:r>
          </w:p>
        </w:tc>
      </w:tr>
      <w:tr>
        <w:tblPrEx>
          <w:tblCellMar>
            <w:top w:w="0" w:type="dxa"/>
            <w:left w:w="108" w:type="dxa"/>
            <w:bottom w:w="0" w:type="dxa"/>
            <w:right w:w="108" w:type="dxa"/>
          </w:tblCellMar>
        </w:tblPrEx>
        <w:trPr>
          <w:trHeight w:val="640" w:hRule="atLeast"/>
          <w:jc w:val="center"/>
        </w:trPr>
        <w:tc>
          <w:tcPr>
            <w:tcW w:w="798" w:type="dxa"/>
            <w:vMerge w:val="continue"/>
            <w:tcBorders>
              <w:left w:val="single" w:color="auto" w:sz="4" w:space="0"/>
              <w:right w:val="single" w:color="auto" w:sz="4" w:space="0"/>
            </w:tcBorders>
            <w:vAlign w:val="center"/>
          </w:tcPr>
          <w:p>
            <w:pPr>
              <w:jc w:val="left"/>
              <w:rPr>
                <w:rFonts w:ascii="宋体" w:cs="Times New Roman"/>
                <w:color w:val="auto"/>
                <w:kern w:val="0"/>
                <w:sz w:val="20"/>
                <w:szCs w:val="20"/>
                <w:highlight w:val="none"/>
              </w:rPr>
            </w:pPr>
          </w:p>
        </w:tc>
        <w:tc>
          <w:tcPr>
            <w:tcW w:w="976" w:type="dxa"/>
            <w:vMerge w:val="continue"/>
            <w:tcBorders>
              <w:left w:val="single" w:color="auto" w:sz="4" w:space="0"/>
              <w:right w:val="single" w:color="auto" w:sz="4" w:space="0"/>
            </w:tcBorders>
            <w:vAlign w:val="center"/>
          </w:tcPr>
          <w:p>
            <w:pPr>
              <w:jc w:val="center"/>
              <w:rPr>
                <w:rFonts w:ascii="宋体" w:cs="Times New Roman"/>
                <w:color w:val="auto"/>
                <w:kern w:val="0"/>
                <w:sz w:val="20"/>
                <w:szCs w:val="20"/>
                <w:highlight w:val="none"/>
              </w:rPr>
            </w:pPr>
          </w:p>
        </w:tc>
        <w:tc>
          <w:tcPr>
            <w:tcW w:w="784" w:type="dxa"/>
            <w:tcBorders>
              <w:top w:val="nil"/>
              <w:left w:val="nil"/>
              <w:bottom w:val="single" w:color="auto" w:sz="4" w:space="0"/>
              <w:right w:val="single" w:color="auto" w:sz="4" w:space="0"/>
            </w:tcBorders>
            <w:noWrap/>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玻璃隔断</w:t>
            </w:r>
            <w:r>
              <w:rPr>
                <w:rFonts w:ascii="宋体" w:hAnsi="宋体" w:cs="宋体"/>
                <w:color w:val="auto"/>
                <w:kern w:val="0"/>
                <w:sz w:val="20"/>
                <w:szCs w:val="20"/>
                <w:highlight w:val="none"/>
              </w:rPr>
              <w:t xml:space="preserve"> </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机房建设玻璃隔断墙，划分主机房区域、操作间及配电间，玻璃隔断框架采用</w:t>
            </w:r>
            <w:r>
              <w:rPr>
                <w:rFonts w:ascii="宋体" w:hAnsi="宋体" w:cs="宋体"/>
                <w:color w:val="auto"/>
                <w:kern w:val="0"/>
                <w:sz w:val="20"/>
                <w:szCs w:val="20"/>
                <w:highlight w:val="none"/>
              </w:rPr>
              <w:t xml:space="preserve"> 40mm*80mm </w:t>
            </w:r>
            <w:r>
              <w:rPr>
                <w:rFonts w:hint="eastAsia" w:ascii="宋体" w:hAnsi="宋体" w:cs="宋体"/>
                <w:color w:val="auto"/>
                <w:kern w:val="0"/>
                <w:sz w:val="20"/>
                <w:szCs w:val="20"/>
                <w:highlight w:val="none"/>
              </w:rPr>
              <w:t>槽钢及</w:t>
            </w:r>
            <w:r>
              <w:rPr>
                <w:rFonts w:ascii="宋体" w:hAnsi="宋体" w:cs="宋体"/>
                <w:color w:val="auto"/>
                <w:kern w:val="0"/>
                <w:sz w:val="20"/>
                <w:szCs w:val="20"/>
                <w:highlight w:val="none"/>
              </w:rPr>
              <w:t xml:space="preserve"> 50mm*50mm </w:t>
            </w:r>
            <w:r>
              <w:rPr>
                <w:rFonts w:hint="eastAsia" w:ascii="宋体" w:hAnsi="宋体" w:cs="宋体"/>
                <w:color w:val="auto"/>
                <w:kern w:val="0"/>
                <w:sz w:val="20"/>
                <w:szCs w:val="20"/>
                <w:highlight w:val="none"/>
              </w:rPr>
              <w:t>角钢，外饰拉丝不锈钢，两侧采用</w:t>
            </w:r>
            <w:r>
              <w:rPr>
                <w:rFonts w:ascii="宋体" w:hAnsi="宋体" w:cs="宋体"/>
                <w:color w:val="auto"/>
                <w:kern w:val="0"/>
                <w:sz w:val="20"/>
                <w:szCs w:val="20"/>
                <w:highlight w:val="none"/>
              </w:rPr>
              <w:t xml:space="preserve">9mm </w:t>
            </w:r>
            <w:r>
              <w:rPr>
                <w:rFonts w:hint="eastAsia" w:ascii="宋体" w:hAnsi="宋体" w:cs="宋体"/>
                <w:color w:val="auto"/>
                <w:kern w:val="0"/>
                <w:sz w:val="20"/>
                <w:szCs w:val="20"/>
                <w:highlight w:val="none"/>
              </w:rPr>
              <w:t>石膏板，上下封堵</w:t>
            </w:r>
            <w:r>
              <w:rPr>
                <w:rFonts w:ascii="宋体" w:hAnsi="宋体" w:cs="宋体"/>
                <w:color w:val="auto"/>
                <w:kern w:val="0"/>
                <w:sz w:val="20"/>
                <w:szCs w:val="20"/>
                <w:highlight w:val="none"/>
              </w:rPr>
              <w:t xml:space="preserve"> 75 </w:t>
            </w:r>
            <w:r>
              <w:rPr>
                <w:rFonts w:hint="eastAsia" w:ascii="宋体" w:hAnsi="宋体" w:cs="宋体"/>
                <w:color w:val="auto"/>
                <w:kern w:val="0"/>
                <w:sz w:val="20"/>
                <w:szCs w:val="20"/>
                <w:highlight w:val="none"/>
              </w:rPr>
              <w:t>型加厚轻钢龙骨；隔断材料为</w:t>
            </w:r>
            <w:r>
              <w:rPr>
                <w:rFonts w:ascii="宋体" w:hAnsi="宋体" w:cs="宋体"/>
                <w:color w:val="auto"/>
                <w:kern w:val="0"/>
                <w:sz w:val="20"/>
                <w:szCs w:val="20"/>
                <w:highlight w:val="none"/>
              </w:rPr>
              <w:t xml:space="preserve"> 12mm </w:t>
            </w:r>
            <w:r>
              <w:rPr>
                <w:rFonts w:hint="eastAsia" w:ascii="宋体" w:hAnsi="宋体" w:cs="宋体"/>
                <w:color w:val="auto"/>
                <w:kern w:val="0"/>
                <w:sz w:val="20"/>
                <w:szCs w:val="20"/>
                <w:highlight w:val="none"/>
              </w:rPr>
              <w:t>钢化防火玻璃，并设置玻璃门。</w:t>
            </w:r>
          </w:p>
        </w:tc>
      </w:tr>
      <w:tr>
        <w:tblPrEx>
          <w:tblCellMar>
            <w:top w:w="0" w:type="dxa"/>
            <w:left w:w="108" w:type="dxa"/>
            <w:bottom w:w="0" w:type="dxa"/>
            <w:right w:w="108" w:type="dxa"/>
          </w:tblCellMar>
        </w:tblPrEx>
        <w:trPr>
          <w:trHeight w:val="640"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auto"/>
                <w:kern w:val="0"/>
                <w:sz w:val="20"/>
                <w:szCs w:val="20"/>
                <w:highlight w:val="none"/>
              </w:rPr>
            </w:pPr>
          </w:p>
        </w:tc>
        <w:tc>
          <w:tcPr>
            <w:tcW w:w="976" w:type="dxa"/>
            <w:vMerge w:val="continue"/>
            <w:tcBorders>
              <w:left w:val="single" w:color="auto" w:sz="4" w:space="0"/>
              <w:bottom w:val="single" w:color="auto" w:sz="4" w:space="0"/>
              <w:right w:val="single" w:color="auto" w:sz="4" w:space="0"/>
            </w:tcBorders>
            <w:vAlign w:val="center"/>
          </w:tcPr>
          <w:p>
            <w:pPr>
              <w:jc w:val="center"/>
              <w:rPr>
                <w:rFonts w:ascii="宋体" w:cs="Times New Roman"/>
                <w:color w:val="auto"/>
                <w:kern w:val="0"/>
                <w:sz w:val="20"/>
                <w:szCs w:val="20"/>
                <w:highlight w:val="none"/>
              </w:rPr>
            </w:pPr>
          </w:p>
        </w:tc>
        <w:tc>
          <w:tcPr>
            <w:tcW w:w="784" w:type="dxa"/>
            <w:tcBorders>
              <w:top w:val="nil"/>
              <w:left w:val="nil"/>
              <w:bottom w:val="single" w:color="auto" w:sz="4" w:space="0"/>
              <w:right w:val="single" w:color="auto" w:sz="4" w:space="0"/>
            </w:tcBorders>
            <w:noWrap/>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防水隔层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机室内顶棚做隔板层及防水层（吊顶上方</w:t>
            </w:r>
            <w:r>
              <w:rPr>
                <w:rFonts w:ascii="宋体" w:hAnsi="宋体" w:cs="宋体"/>
                <w:color w:val="auto"/>
                <w:kern w:val="0"/>
                <w:sz w:val="20"/>
                <w:szCs w:val="20"/>
                <w:highlight w:val="none"/>
              </w:rPr>
              <w:t>50CM</w:t>
            </w:r>
            <w:r>
              <w:rPr>
                <w:rFonts w:hint="eastAsia" w:ascii="宋体" w:hAnsi="宋体" w:cs="宋体"/>
                <w:color w:val="auto"/>
                <w:kern w:val="0"/>
                <w:sz w:val="20"/>
                <w:szCs w:val="20"/>
                <w:highlight w:val="none"/>
              </w:rPr>
              <w:t>）：立柱为</w:t>
            </w:r>
            <w:r>
              <w:rPr>
                <w:rFonts w:ascii="宋体" w:hAnsi="宋体" w:cs="宋体"/>
                <w:color w:val="auto"/>
                <w:kern w:val="0"/>
                <w:sz w:val="20"/>
                <w:szCs w:val="20"/>
                <w:highlight w:val="none"/>
              </w:rPr>
              <w:t>100*100</w:t>
            </w:r>
            <w:r>
              <w:rPr>
                <w:rFonts w:hint="eastAsia" w:ascii="宋体" w:hAnsi="宋体" w:cs="宋体"/>
                <w:color w:val="auto"/>
                <w:kern w:val="0"/>
                <w:sz w:val="20"/>
                <w:szCs w:val="20"/>
                <w:highlight w:val="none"/>
              </w:rPr>
              <w:t>方钢，用</w:t>
            </w:r>
            <w:r>
              <w:rPr>
                <w:rFonts w:ascii="宋体" w:hAnsi="宋体" w:cs="宋体"/>
                <w:color w:val="auto"/>
                <w:kern w:val="0"/>
                <w:sz w:val="20"/>
                <w:szCs w:val="20"/>
                <w:highlight w:val="none"/>
              </w:rPr>
              <w:t>40*80</w:t>
            </w:r>
            <w:r>
              <w:rPr>
                <w:rFonts w:hint="eastAsia" w:ascii="宋体" w:hAnsi="宋体" w:cs="宋体"/>
                <w:color w:val="auto"/>
                <w:kern w:val="0"/>
                <w:sz w:val="20"/>
                <w:szCs w:val="20"/>
                <w:highlight w:val="none"/>
              </w:rPr>
              <w:t>方钢拼接做梁，分割为不大于</w:t>
            </w:r>
            <w:r>
              <w:rPr>
                <w:rFonts w:ascii="宋体" w:hAnsi="宋体" w:cs="宋体"/>
                <w:color w:val="auto"/>
                <w:kern w:val="0"/>
                <w:sz w:val="20"/>
                <w:szCs w:val="20"/>
                <w:highlight w:val="none"/>
              </w:rPr>
              <w:t>500mm*500mm</w:t>
            </w:r>
            <w:r>
              <w:rPr>
                <w:rFonts w:hint="eastAsia" w:ascii="宋体" w:hAnsi="宋体" w:cs="宋体"/>
                <w:color w:val="auto"/>
                <w:kern w:val="0"/>
                <w:sz w:val="20"/>
                <w:szCs w:val="20"/>
                <w:highlight w:val="none"/>
              </w:rPr>
              <w:t>，上铺水泥板（并满足隔板层荷载大于</w:t>
            </w:r>
            <w:r>
              <w:rPr>
                <w:rFonts w:ascii="宋体" w:hAnsi="宋体" w:cs="宋体"/>
                <w:color w:val="auto"/>
                <w:kern w:val="0"/>
                <w:sz w:val="20"/>
                <w:szCs w:val="20"/>
                <w:highlight w:val="none"/>
              </w:rPr>
              <w:t>800KG/</w:t>
            </w:r>
            <w:r>
              <w:rPr>
                <w:rFonts w:hint="eastAsia" w:ascii="宋体" w:hAnsi="宋体" w:cs="宋体"/>
                <w:color w:val="auto"/>
                <w:kern w:val="0"/>
                <w:sz w:val="20"/>
                <w:szCs w:val="20"/>
                <w:highlight w:val="none"/>
              </w:rPr>
              <w:t>平方及防火要求），上做找平层，冷铺卷材防水两道，此房间所有顶棚有排水管处，加不锈钢收集槽，并汇聚排水管道到主管道</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内附漏水告警检测</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。中标单位中标后自行优化并设计此图纸并经原土建设计院复核后方可施工，本次室内顶棚做隔板层及防水层报价为包干总价，发包方不再追加此费用。</w:t>
            </w:r>
          </w:p>
        </w:tc>
      </w:tr>
      <w:tr>
        <w:tblPrEx>
          <w:tblCellMar>
            <w:top w:w="0" w:type="dxa"/>
            <w:left w:w="108" w:type="dxa"/>
            <w:bottom w:w="0" w:type="dxa"/>
            <w:right w:w="108" w:type="dxa"/>
          </w:tblCellMar>
        </w:tblPrEx>
        <w:trPr>
          <w:trHeight w:val="7476" w:hRule="atLeast"/>
          <w:jc w:val="center"/>
        </w:trPr>
        <w:tc>
          <w:tcPr>
            <w:tcW w:w="798" w:type="dxa"/>
            <w:vMerge w:val="restart"/>
            <w:tcBorders>
              <w:top w:val="single" w:color="auto" w:sz="4" w:space="0"/>
              <w:left w:val="single" w:color="auto" w:sz="4" w:space="0"/>
              <w:bottom w:val="nil"/>
              <w:right w:val="single" w:color="auto" w:sz="4" w:space="0"/>
            </w:tcBorders>
            <w:vAlign w:val="center"/>
          </w:tcPr>
          <w:p>
            <w:pPr>
              <w:widowControl/>
              <w:jc w:val="left"/>
              <w:rPr>
                <w:rFonts w:ascii="宋体" w:cs="宋体"/>
                <w:color w:val="auto"/>
                <w:kern w:val="0"/>
                <w:sz w:val="20"/>
                <w:szCs w:val="20"/>
                <w:highlight w:val="none"/>
              </w:rPr>
            </w:pPr>
            <w:r>
              <w:rPr>
                <w:rFonts w:ascii="宋体" w:cs="宋体"/>
                <w:color w:val="auto"/>
                <w:kern w:val="0"/>
                <w:sz w:val="20"/>
                <w:szCs w:val="20"/>
                <w:highlight w:val="none"/>
              </w:rPr>
              <w:t>UPS</w:t>
            </w:r>
          </w:p>
          <w:p>
            <w:pPr>
              <w:jc w:val="left"/>
              <w:rPr>
                <w:rFonts w:ascii="宋体" w:cs="Times New Roman"/>
                <w:color w:val="auto"/>
                <w:kern w:val="0"/>
                <w:sz w:val="20"/>
                <w:szCs w:val="20"/>
                <w:highlight w:val="none"/>
              </w:rPr>
            </w:pPr>
            <w:r>
              <w:rPr>
                <w:rFonts w:hint="eastAsia" w:ascii="宋体" w:cs="宋体"/>
                <w:color w:val="auto"/>
                <w:kern w:val="0"/>
                <w:sz w:val="20"/>
                <w:szCs w:val="20"/>
                <w:highlight w:val="none"/>
              </w:rPr>
              <w:t>系统</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widowControl/>
              <w:jc w:val="center"/>
              <w:rPr>
                <w:rFonts w:ascii="宋体" w:cs="Times New Roman"/>
                <w:color w:val="auto"/>
                <w:kern w:val="0"/>
                <w:sz w:val="20"/>
                <w:szCs w:val="20"/>
                <w:highlight w:val="none"/>
              </w:rPr>
            </w:pPr>
          </w:p>
          <w:p>
            <w:pPr>
              <w:jc w:val="center"/>
              <w:rPr>
                <w:rFonts w:ascii="宋体" w:cs="Times New Roman"/>
                <w:color w:val="auto"/>
                <w:kern w:val="0"/>
                <w:sz w:val="20"/>
                <w:szCs w:val="20"/>
                <w:highlight w:val="none"/>
              </w:rPr>
            </w:pP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主机</w:t>
            </w:r>
          </w:p>
        </w:tc>
        <w:tc>
          <w:tcPr>
            <w:tcW w:w="784"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single" w:color="auto" w:sz="4" w:space="0"/>
              <w:left w:val="nil"/>
              <w:bottom w:val="single" w:color="auto" w:sz="4" w:space="0"/>
              <w:right w:val="single" w:color="auto" w:sz="4" w:space="0"/>
            </w:tcBorders>
            <w:vAlign w:val="center"/>
          </w:tcPr>
          <w:p>
            <w:pPr>
              <w:jc w:val="left"/>
              <w:rPr>
                <w:rFonts w:ascii="宋体" w:cs="Times New Roman"/>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 xml:space="preserve">60KVA </w:t>
            </w:r>
            <w:r>
              <w:rPr>
                <w:rFonts w:hint="eastAsia" w:ascii="宋体" w:hAnsi="宋体" w:cs="宋体"/>
                <w:color w:val="auto"/>
                <w:kern w:val="0"/>
                <w:sz w:val="20"/>
                <w:szCs w:val="20"/>
                <w:highlight w:val="none"/>
              </w:rPr>
              <w:t>在线式</w:t>
            </w:r>
            <w:r>
              <w:rPr>
                <w:rFonts w:ascii="宋体" w:hAnsi="宋体" w:cs="宋体"/>
                <w:color w:val="auto"/>
                <w:kern w:val="0"/>
                <w:sz w:val="20"/>
                <w:szCs w:val="20"/>
                <w:highlight w:val="none"/>
              </w:rPr>
              <w:t xml:space="preserve">UPS </w:t>
            </w:r>
            <w:r>
              <w:rPr>
                <w:rFonts w:hint="eastAsia" w:ascii="宋体" w:hAnsi="宋体" w:cs="宋体"/>
                <w:color w:val="auto"/>
                <w:kern w:val="0"/>
                <w:sz w:val="20"/>
                <w:szCs w:val="20"/>
                <w:highlight w:val="none"/>
              </w:rPr>
              <w:t>，要求为包含有全功率整流器和逆变器的在线式双变换</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）规范要求：工作温度：</w:t>
            </w:r>
            <w:r>
              <w:rPr>
                <w:rFonts w:ascii="宋体" w:hAnsi="宋体" w:cs="宋体"/>
                <w:color w:val="auto"/>
                <w:kern w:val="0"/>
                <w:sz w:val="20"/>
                <w:szCs w:val="20"/>
                <w:highlight w:val="none"/>
              </w:rPr>
              <w:t>0~+40</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40</w:t>
            </w:r>
            <w:r>
              <w:rPr>
                <w:rFonts w:hint="eastAsia" w:ascii="宋体" w:hAnsi="宋体" w:cs="宋体"/>
                <w:color w:val="auto"/>
                <w:kern w:val="0"/>
                <w:sz w:val="20"/>
                <w:szCs w:val="20"/>
                <w:highlight w:val="none"/>
              </w:rPr>
              <w:t>℃环境下可带满载运行；相对湿度：≤</w:t>
            </w:r>
            <w:r>
              <w:rPr>
                <w:rFonts w:ascii="宋体" w:hAnsi="宋体" w:cs="宋体"/>
                <w:color w:val="auto"/>
                <w:kern w:val="0"/>
                <w:sz w:val="20"/>
                <w:szCs w:val="20"/>
                <w:highlight w:val="none"/>
              </w:rPr>
              <w:t>95%</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25</w:t>
            </w:r>
            <w:r>
              <w:rPr>
                <w:rFonts w:hint="eastAsia" w:ascii="宋体" w:hAnsi="宋体" w:cs="宋体"/>
                <w:color w:val="auto"/>
                <w:kern w:val="0"/>
                <w:sz w:val="20"/>
                <w:szCs w:val="20"/>
                <w:highlight w:val="none"/>
              </w:rPr>
              <w:t>℃</w:t>
            </w:r>
            <w:r>
              <w:rPr>
                <w:rFonts w:ascii="宋体" w:cs="宋体"/>
                <w:color w:val="auto"/>
                <w:kern w:val="0"/>
                <w:sz w:val="20"/>
                <w:szCs w:val="20"/>
                <w:highlight w:val="none"/>
              </w:rPr>
              <w:t>,</w:t>
            </w:r>
            <w:r>
              <w:rPr>
                <w:rFonts w:hint="eastAsia" w:ascii="宋体" w:hAnsi="宋体" w:cs="宋体"/>
                <w:color w:val="auto"/>
                <w:kern w:val="0"/>
                <w:sz w:val="20"/>
                <w:szCs w:val="20"/>
                <w:highlight w:val="none"/>
              </w:rPr>
              <w:t>无凝露）；输入电压：</w:t>
            </w:r>
            <w:r>
              <w:rPr>
                <w:rFonts w:ascii="宋体" w:hAnsi="宋体" w:cs="宋体"/>
                <w:color w:val="auto"/>
                <w:kern w:val="0"/>
                <w:sz w:val="20"/>
                <w:szCs w:val="20"/>
                <w:highlight w:val="none"/>
              </w:rPr>
              <w:t xml:space="preserve">380VAC </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20%</w:t>
            </w:r>
            <w:r>
              <w:rPr>
                <w:rFonts w:hint="eastAsia" w:ascii="宋体" w:hAnsi="宋体" w:cs="宋体"/>
                <w:color w:val="auto"/>
                <w:kern w:val="0"/>
                <w:sz w:val="20"/>
                <w:szCs w:val="20"/>
                <w:highlight w:val="none"/>
              </w:rPr>
              <w:t>；</w:t>
            </w:r>
            <w:r>
              <w:rPr>
                <w:rFonts w:ascii="宋体" w:cs="Times New Roman"/>
                <w:color w:val="auto"/>
                <w:kern w:val="0"/>
                <w:sz w:val="20"/>
                <w:szCs w:val="20"/>
                <w:highlight w:val="none"/>
              </w:rPr>
              <w:br w:type="textWrapping"/>
            </w:r>
            <w:r>
              <w:rPr>
                <w:rFonts w:hint="eastAsia" w:ascii="宋体" w:hAnsi="宋体" w:cs="宋体"/>
                <w:color w:val="auto"/>
                <w:kern w:val="0"/>
                <w:sz w:val="20"/>
                <w:szCs w:val="20"/>
                <w:highlight w:val="none"/>
              </w:rPr>
              <w:t>输入频率：</w:t>
            </w:r>
            <w:r>
              <w:rPr>
                <w:rFonts w:ascii="宋体" w:hAnsi="宋体" w:cs="宋体"/>
                <w:color w:val="auto"/>
                <w:kern w:val="0"/>
                <w:sz w:val="20"/>
                <w:szCs w:val="20"/>
                <w:highlight w:val="none"/>
              </w:rPr>
              <w:t>50</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10%</w:t>
            </w:r>
            <w:r>
              <w:rPr>
                <w:rFonts w:hint="eastAsia" w:ascii="宋体" w:hAnsi="宋体" w:cs="宋体"/>
                <w:color w:val="auto"/>
                <w:kern w:val="0"/>
                <w:sz w:val="20"/>
                <w:szCs w:val="20"/>
                <w:highlight w:val="none"/>
              </w:rPr>
              <w:t>；电压精度：±</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％，具有电池均充功能，能够自动控制均充和浮充转换，具备充电温度补偿功能和电池定期自动测试功能；逆变器输出电压：</w:t>
            </w:r>
            <w:r>
              <w:rPr>
                <w:rFonts w:ascii="宋体" w:hAnsi="宋体" w:cs="宋体"/>
                <w:color w:val="auto"/>
                <w:kern w:val="0"/>
                <w:sz w:val="20"/>
                <w:szCs w:val="20"/>
                <w:highlight w:val="none"/>
              </w:rPr>
              <w:t>380VAC(</w:t>
            </w:r>
            <w:r>
              <w:rPr>
                <w:rFonts w:hint="eastAsia" w:ascii="宋体" w:hAnsi="宋体" w:cs="宋体"/>
                <w:color w:val="auto"/>
                <w:kern w:val="0"/>
                <w:sz w:val="20"/>
                <w:szCs w:val="20"/>
                <w:highlight w:val="none"/>
              </w:rPr>
              <w:t>线</w:t>
            </w:r>
            <w:r>
              <w:rPr>
                <w:rFonts w:ascii="宋体" w:hAnsi="宋体" w:cs="宋体"/>
                <w:color w:val="auto"/>
                <w:kern w:val="0"/>
                <w:sz w:val="20"/>
                <w:szCs w:val="20"/>
                <w:highlight w:val="none"/>
              </w:rPr>
              <w:t>)/220VAC</w:t>
            </w:r>
            <w:r>
              <w:rPr>
                <w:rFonts w:hint="eastAsia" w:ascii="宋体" w:hAnsi="宋体" w:cs="宋体"/>
                <w:color w:val="auto"/>
                <w:kern w:val="0"/>
                <w:sz w:val="20"/>
                <w:szCs w:val="20"/>
                <w:highlight w:val="none"/>
              </w:rPr>
              <w:t>（相），稳态精度：±</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％；内置手动维修旁路；</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）满载时双变换模式工作效率：≥</w:t>
            </w:r>
            <w:r>
              <w:rPr>
                <w:rFonts w:ascii="宋体" w:hAnsi="宋体" w:cs="宋体"/>
                <w:color w:val="auto"/>
                <w:kern w:val="0"/>
                <w:sz w:val="20"/>
                <w:szCs w:val="20"/>
                <w:highlight w:val="none"/>
              </w:rPr>
              <w:t>95</w:t>
            </w:r>
            <w:r>
              <w:rPr>
                <w:rFonts w:hint="eastAsia" w:ascii="宋体" w:hAnsi="宋体" w:cs="宋体"/>
                <w:color w:val="auto"/>
                <w:kern w:val="0"/>
                <w:sz w:val="20"/>
                <w:szCs w:val="20"/>
                <w:highlight w:val="none"/>
              </w:rPr>
              <w:t>％；并机能力：具有多台</w:t>
            </w:r>
            <w:r>
              <w:rPr>
                <w:rFonts w:ascii="宋体" w:hAnsi="宋体" w:cs="宋体"/>
                <w:color w:val="auto"/>
                <w:kern w:val="0"/>
                <w:sz w:val="20"/>
                <w:szCs w:val="20"/>
                <w:highlight w:val="none"/>
              </w:rPr>
              <w:t>N+1</w:t>
            </w:r>
            <w:r>
              <w:rPr>
                <w:rFonts w:hint="eastAsia" w:ascii="宋体" w:hAnsi="宋体" w:cs="宋体"/>
                <w:color w:val="auto"/>
                <w:kern w:val="0"/>
                <w:sz w:val="20"/>
                <w:szCs w:val="20"/>
                <w:highlight w:val="none"/>
              </w:rPr>
              <w:t>直接并联工作及负载均分性能，各机负载电流不平衡度</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额定输出电流，可并联数量≥</w:t>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，多机并联或扩容时无需增加并机柜等设备；</w:t>
            </w:r>
            <w:r>
              <w:rPr>
                <w:rFonts w:ascii="宋体" w:hAnsi="宋体" w:cs="宋体"/>
                <w:color w:val="auto"/>
                <w:kern w:val="0"/>
                <w:sz w:val="20"/>
                <w:szCs w:val="20"/>
                <w:highlight w:val="none"/>
              </w:rPr>
              <w:t>MTBF</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30</w:t>
            </w:r>
            <w:r>
              <w:rPr>
                <w:rFonts w:hint="eastAsia" w:ascii="宋体" w:hAnsi="宋体" w:cs="宋体"/>
                <w:color w:val="auto"/>
                <w:kern w:val="0"/>
                <w:sz w:val="20"/>
                <w:szCs w:val="20"/>
                <w:highlight w:val="none"/>
              </w:rPr>
              <w:t>万小时。</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）系统应具有三遥性能，遥测项目：三相输入电压，直流输入电压，三相输出电压，三相输出电流，输出频率；遥信项目：同步</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不同步状态，</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旁路供电，蓄电池放电电压低，市电故障，整流器故障，逆变器故障，旁路故障；对遥信项目：要求设备能够对每一类故障或状态提供继电器干接点。</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）系统应具备通信接口：具备</w:t>
            </w:r>
            <w:r>
              <w:rPr>
                <w:rFonts w:ascii="宋体" w:hAnsi="宋体" w:cs="宋体"/>
                <w:color w:val="auto"/>
                <w:kern w:val="0"/>
                <w:sz w:val="20"/>
                <w:szCs w:val="20"/>
                <w:highlight w:val="none"/>
              </w:rPr>
              <w:t>RS232</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RS485(</w:t>
            </w:r>
            <w:r>
              <w:rPr>
                <w:rFonts w:hint="eastAsia" w:ascii="宋体" w:hAnsi="宋体" w:cs="宋体"/>
                <w:color w:val="auto"/>
                <w:kern w:val="0"/>
                <w:sz w:val="20"/>
                <w:szCs w:val="20"/>
                <w:highlight w:val="none"/>
              </w:rPr>
              <w:t>或</w:t>
            </w:r>
            <w:r>
              <w:rPr>
                <w:rFonts w:ascii="宋体" w:hAnsi="宋体" w:cs="宋体"/>
                <w:color w:val="auto"/>
                <w:kern w:val="0"/>
                <w:sz w:val="20"/>
                <w:szCs w:val="20"/>
                <w:highlight w:val="none"/>
              </w:rPr>
              <w:t>RS422)</w:t>
            </w:r>
            <w:r>
              <w:rPr>
                <w:rFonts w:hint="eastAsia" w:ascii="宋体" w:hAnsi="宋体" w:cs="宋体"/>
                <w:color w:val="auto"/>
                <w:kern w:val="0"/>
                <w:sz w:val="20"/>
                <w:szCs w:val="20"/>
                <w:highlight w:val="none"/>
              </w:rPr>
              <w:t>或</w:t>
            </w:r>
            <w:r>
              <w:rPr>
                <w:rFonts w:ascii="宋体" w:hAnsi="宋体" w:cs="宋体"/>
                <w:color w:val="auto"/>
                <w:kern w:val="0"/>
                <w:sz w:val="20"/>
                <w:szCs w:val="20"/>
                <w:highlight w:val="none"/>
              </w:rPr>
              <w:t>SNMP</w:t>
            </w:r>
            <w:r>
              <w:rPr>
                <w:rFonts w:hint="eastAsia" w:ascii="宋体" w:hAnsi="宋体" w:cs="宋体"/>
                <w:color w:val="auto"/>
                <w:kern w:val="0"/>
                <w:sz w:val="20"/>
                <w:szCs w:val="20"/>
                <w:highlight w:val="none"/>
              </w:rPr>
              <w:t>接口协议，且应具有良好的电气隔离</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信号端子对地承受直流电压</w:t>
            </w:r>
            <w:r>
              <w:rPr>
                <w:rFonts w:ascii="宋体" w:hAnsi="宋体" w:cs="宋体"/>
                <w:color w:val="auto"/>
                <w:kern w:val="0"/>
                <w:sz w:val="20"/>
                <w:szCs w:val="20"/>
                <w:highlight w:val="none"/>
              </w:rPr>
              <w:t>500V</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分钟不击穿或闪烁</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6</w:t>
            </w:r>
            <w:r>
              <w:rPr>
                <w:rFonts w:hint="eastAsia" w:ascii="宋体" w:hAnsi="宋体" w:cs="宋体"/>
                <w:color w:val="auto"/>
                <w:kern w:val="0"/>
                <w:sz w:val="20"/>
                <w:szCs w:val="20"/>
                <w:highlight w:val="none"/>
              </w:rPr>
              <w:t>）设备应具有智能判断功能，对于超常规的参数设置（错误命令），应能自动拒绝。</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7</w:t>
            </w:r>
            <w:r>
              <w:rPr>
                <w:rFonts w:hint="eastAsia" w:ascii="宋体" w:hAnsi="宋体" w:cs="宋体"/>
                <w:color w:val="auto"/>
                <w:kern w:val="0"/>
                <w:sz w:val="20"/>
                <w:szCs w:val="20"/>
                <w:highlight w:val="none"/>
              </w:rPr>
              <w:t>）★投标人提供的</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主机产品提供工信部泰尔认证证书，且</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主机的泰尔证书中，申请单位、生产制造单位</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生产厂家均与本次项目的投标品牌厂商一致（即完全不存在</w:t>
            </w:r>
            <w:r>
              <w:rPr>
                <w:rFonts w:ascii="宋体" w:hAnsi="宋体" w:cs="宋体"/>
                <w:color w:val="auto"/>
                <w:kern w:val="0"/>
                <w:sz w:val="20"/>
                <w:szCs w:val="20"/>
                <w:highlight w:val="none"/>
              </w:rPr>
              <w:t>OEM</w:t>
            </w:r>
            <w:r>
              <w:rPr>
                <w:rFonts w:hint="eastAsia" w:ascii="宋体" w:hAnsi="宋体" w:cs="宋体"/>
                <w:color w:val="auto"/>
                <w:kern w:val="0"/>
                <w:sz w:val="20"/>
                <w:szCs w:val="20"/>
                <w:highlight w:val="none"/>
              </w:rPr>
              <w:t>），提供加盖厂商公章的复印件。</w:t>
            </w:r>
          </w:p>
        </w:tc>
      </w:tr>
      <w:tr>
        <w:tblPrEx>
          <w:tblCellMar>
            <w:top w:w="0" w:type="dxa"/>
            <w:left w:w="108" w:type="dxa"/>
            <w:bottom w:w="0" w:type="dxa"/>
            <w:right w:w="108" w:type="dxa"/>
          </w:tblCellMar>
        </w:tblPrEx>
        <w:trPr>
          <w:trHeight w:val="640" w:hRule="atLeast"/>
          <w:jc w:val="center"/>
        </w:trPr>
        <w:tc>
          <w:tcPr>
            <w:tcW w:w="798" w:type="dxa"/>
            <w:vMerge w:val="continue"/>
            <w:tcBorders>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电池组</w:t>
            </w:r>
          </w:p>
        </w:tc>
        <w:tc>
          <w:tcPr>
            <w:tcW w:w="784" w:type="dxa"/>
            <w:tcBorders>
              <w:top w:val="nil"/>
              <w:left w:val="nil"/>
              <w:bottom w:val="single" w:color="auto" w:sz="4" w:space="0"/>
              <w:right w:val="single" w:color="auto" w:sz="4" w:space="0"/>
            </w:tcBorders>
            <w:noWrap/>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）后备电池必须达到中华人民共和国通信行业标准</w:t>
            </w:r>
            <w:r>
              <w:rPr>
                <w:rFonts w:ascii="宋体" w:hAnsi="宋体" w:cs="宋体"/>
                <w:color w:val="auto"/>
                <w:kern w:val="0"/>
                <w:sz w:val="20"/>
                <w:szCs w:val="20"/>
                <w:highlight w:val="none"/>
              </w:rPr>
              <w:t>YD/T 799-2002</w:t>
            </w:r>
            <w:r>
              <w:rPr>
                <w:rFonts w:hint="eastAsia" w:ascii="宋体" w:hAnsi="宋体" w:cs="宋体"/>
                <w:color w:val="auto"/>
                <w:kern w:val="0"/>
                <w:sz w:val="20"/>
                <w:szCs w:val="20"/>
                <w:highlight w:val="none"/>
              </w:rPr>
              <w:t>《通信用阀控式密封蓄电池》的技术要求；</w:t>
            </w:r>
            <w:r>
              <w:rPr>
                <w:rFonts w:ascii="宋体" w:hAnsi="宋体" w:cs="宋体"/>
                <w:color w:val="auto"/>
                <w:kern w:val="0"/>
                <w:sz w:val="20"/>
                <w:szCs w:val="20"/>
                <w:highlight w:val="none"/>
              </w:rPr>
              <w:t xml:space="preserve"> </w:t>
            </w:r>
            <w:r>
              <w:rPr>
                <w:rFonts w:ascii="宋体" w:hAnsi="宋体" w:cs="宋体"/>
                <w:color w:val="auto"/>
                <w:kern w:val="0"/>
                <w:sz w:val="20"/>
                <w:szCs w:val="20"/>
                <w:highlight w:val="none"/>
              </w:rPr>
              <w:br w:type="textWrapping"/>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）★要求蓄电池与</w:t>
            </w:r>
            <w:r>
              <w:rPr>
                <w:rFonts w:ascii="宋体" w:hAnsi="宋体" w:cs="宋体"/>
                <w:color w:val="auto"/>
                <w:kern w:val="0"/>
                <w:sz w:val="20"/>
                <w:szCs w:val="20"/>
                <w:highlight w:val="none"/>
              </w:rPr>
              <w:t>UPS</w:t>
            </w:r>
            <w:r>
              <w:rPr>
                <w:rFonts w:hint="eastAsia" w:ascii="宋体" w:hAnsi="宋体" w:cs="宋体"/>
                <w:color w:val="auto"/>
                <w:kern w:val="0"/>
                <w:sz w:val="20"/>
                <w:szCs w:val="20"/>
                <w:highlight w:val="none"/>
              </w:rPr>
              <w:t>主机为同一品牌产品；</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）在</w:t>
            </w:r>
            <w:r>
              <w:rPr>
                <w:rFonts w:ascii="宋体" w:hAnsi="宋体" w:cs="宋体"/>
                <w:color w:val="auto"/>
                <w:kern w:val="0"/>
                <w:sz w:val="20"/>
                <w:szCs w:val="20"/>
                <w:highlight w:val="none"/>
              </w:rPr>
              <w:t>25</w:t>
            </w:r>
            <w:r>
              <w:rPr>
                <w:rFonts w:hint="eastAsia" w:ascii="宋体" w:hAnsi="宋体" w:cs="宋体"/>
                <w:color w:val="auto"/>
                <w:kern w:val="0"/>
                <w:sz w:val="20"/>
                <w:szCs w:val="20"/>
                <w:highlight w:val="none"/>
              </w:rPr>
              <w:t>℃的环境温度下，电池浮冲寿命不低于</w:t>
            </w:r>
            <w:r>
              <w:rPr>
                <w:rFonts w:ascii="宋体" w:hAnsi="宋体" w:cs="宋体"/>
                <w:color w:val="auto"/>
                <w:kern w:val="0"/>
                <w:sz w:val="20"/>
                <w:szCs w:val="20"/>
                <w:highlight w:val="none"/>
              </w:rPr>
              <w:t>10</w:t>
            </w:r>
            <w:r>
              <w:rPr>
                <w:rFonts w:hint="eastAsia" w:ascii="宋体" w:hAnsi="宋体" w:cs="宋体"/>
                <w:color w:val="auto"/>
                <w:kern w:val="0"/>
                <w:sz w:val="20"/>
                <w:szCs w:val="20"/>
                <w:highlight w:val="none"/>
              </w:rPr>
              <w:t>年，电池外壳须选用防火材料。</w:t>
            </w:r>
            <w:r>
              <w:rPr>
                <w:rFonts w:ascii="宋体" w:cs="Times New Roman"/>
                <w:color w:val="auto"/>
                <w:kern w:val="0"/>
                <w:sz w:val="20"/>
                <w:szCs w:val="20"/>
                <w:highlight w:val="none"/>
              </w:rPr>
              <w:br w:type="textWrapping"/>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）★单只蓄电池容量≥</w:t>
            </w:r>
            <w:r>
              <w:rPr>
                <w:rFonts w:ascii="宋体" w:hAnsi="宋体" w:cs="宋体"/>
                <w:color w:val="auto"/>
                <w:kern w:val="0"/>
                <w:sz w:val="20"/>
                <w:szCs w:val="20"/>
                <w:highlight w:val="none"/>
              </w:rPr>
              <w:t>150AH,</w:t>
            </w:r>
            <w:r>
              <w:rPr>
                <w:rFonts w:hint="eastAsia" w:ascii="宋体" w:hAnsi="宋体" w:cs="宋体"/>
                <w:color w:val="auto"/>
                <w:kern w:val="0"/>
                <w:sz w:val="20"/>
                <w:szCs w:val="20"/>
                <w:highlight w:val="none"/>
              </w:rPr>
              <w:t>共</w:t>
            </w:r>
            <w:r>
              <w:rPr>
                <w:rFonts w:ascii="宋体" w:hAnsi="宋体" w:cs="宋体"/>
                <w:color w:val="auto"/>
                <w:kern w:val="0"/>
                <w:sz w:val="20"/>
                <w:szCs w:val="20"/>
                <w:highlight w:val="none"/>
              </w:rPr>
              <w:t>32</w:t>
            </w:r>
            <w:r>
              <w:rPr>
                <w:rFonts w:hint="eastAsia" w:ascii="宋体" w:hAnsi="宋体" w:cs="宋体"/>
                <w:color w:val="auto"/>
                <w:kern w:val="0"/>
                <w:sz w:val="20"/>
                <w:szCs w:val="20"/>
                <w:highlight w:val="none"/>
              </w:rPr>
              <w:t>支。</w:t>
            </w:r>
          </w:p>
        </w:tc>
      </w:tr>
      <w:tr>
        <w:tblPrEx>
          <w:tblCellMar>
            <w:top w:w="0" w:type="dxa"/>
            <w:left w:w="108" w:type="dxa"/>
            <w:bottom w:w="0" w:type="dxa"/>
            <w:right w:w="108" w:type="dxa"/>
          </w:tblCellMar>
        </w:tblPrEx>
        <w:trPr>
          <w:trHeight w:val="1500" w:hRule="atLeast"/>
          <w:jc w:val="center"/>
        </w:trPr>
        <w:tc>
          <w:tcPr>
            <w:tcW w:w="79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新风排烟</w:t>
            </w:r>
            <w:r>
              <w:rPr>
                <w:rFonts w:ascii="宋体" w:hAnsi="宋体" w:cs="宋体"/>
                <w:color w:val="auto"/>
                <w:kern w:val="0"/>
                <w:sz w:val="20"/>
                <w:szCs w:val="20"/>
                <w:highlight w:val="none"/>
              </w:rPr>
              <w:t xml:space="preserve"> </w:t>
            </w: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新风排烟系统</w:t>
            </w:r>
            <w:r>
              <w:rPr>
                <w:rFonts w:ascii="宋体" w:hAnsi="宋体" w:cs="宋体"/>
                <w:color w:val="auto"/>
                <w:kern w:val="0"/>
                <w:sz w:val="20"/>
                <w:szCs w:val="20"/>
                <w:highlight w:val="none"/>
              </w:rPr>
              <w:t xml:space="preserve"> </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机房新风系统满足机房新风量供给及机房正压需要；配置新风换气主机，风量≥</w:t>
            </w:r>
            <w:r>
              <w:rPr>
                <w:rFonts w:ascii="宋体" w:hAnsi="宋体" w:cs="宋体"/>
                <w:color w:val="auto"/>
                <w:kern w:val="0"/>
                <w:sz w:val="20"/>
                <w:szCs w:val="20"/>
                <w:highlight w:val="none"/>
              </w:rPr>
              <w:t>1000m3/</w:t>
            </w:r>
            <w:r>
              <w:rPr>
                <w:rFonts w:hint="eastAsia" w:ascii="宋体" w:hAnsi="宋体" w:cs="宋体"/>
                <w:color w:val="auto"/>
                <w:kern w:val="0"/>
                <w:sz w:val="20"/>
                <w:szCs w:val="20"/>
                <w:highlight w:val="none"/>
              </w:rPr>
              <w:t>小时，具备制冷加热功能；</w:t>
            </w:r>
            <w:r>
              <w:rPr>
                <w:rFonts w:ascii="宋体" w:hAnsi="宋体" w:cs="宋体"/>
                <w:color w:val="auto"/>
                <w:kern w:val="0"/>
                <w:sz w:val="20"/>
                <w:szCs w:val="20"/>
                <w:highlight w:val="none"/>
              </w:rPr>
              <w:t>70</w:t>
            </w:r>
            <w:r>
              <w:rPr>
                <w:rFonts w:hint="eastAsia" w:ascii="宋体" w:hAnsi="宋体" w:cs="宋体"/>
                <w:color w:val="auto"/>
                <w:kern w:val="0"/>
                <w:sz w:val="20"/>
                <w:szCs w:val="20"/>
                <w:highlight w:val="none"/>
              </w:rPr>
              <w:t>℃电动防火阀两套，新风及污风口采用防锈防水材料。根据消防规范要求，火灾事故发生后，为避免造成二次事故，应安装排烟系统；配置排烟主机，风量≥</w:t>
            </w:r>
            <w:r>
              <w:rPr>
                <w:rFonts w:ascii="宋体" w:hAnsi="宋体" w:cs="宋体"/>
                <w:color w:val="auto"/>
                <w:kern w:val="0"/>
                <w:sz w:val="20"/>
                <w:szCs w:val="20"/>
                <w:highlight w:val="none"/>
              </w:rPr>
              <w:t>2000m3/</w:t>
            </w:r>
            <w:r>
              <w:rPr>
                <w:rFonts w:hint="eastAsia" w:ascii="宋体" w:hAnsi="宋体" w:cs="宋体"/>
                <w:color w:val="auto"/>
                <w:kern w:val="0"/>
                <w:sz w:val="20"/>
                <w:szCs w:val="20"/>
                <w:highlight w:val="none"/>
              </w:rPr>
              <w:t>小时，</w:t>
            </w:r>
            <w:r>
              <w:rPr>
                <w:rFonts w:ascii="宋体" w:hAnsi="宋体" w:cs="宋体"/>
                <w:color w:val="auto"/>
                <w:kern w:val="0"/>
                <w:sz w:val="20"/>
                <w:szCs w:val="20"/>
                <w:highlight w:val="none"/>
              </w:rPr>
              <w:t xml:space="preserve"> 150</w:t>
            </w:r>
            <w:r>
              <w:rPr>
                <w:rFonts w:hint="eastAsia" w:ascii="宋体" w:hAnsi="宋体" w:cs="宋体"/>
                <w:color w:val="auto"/>
                <w:kern w:val="0"/>
                <w:sz w:val="20"/>
                <w:szCs w:val="20"/>
                <w:highlight w:val="none"/>
              </w:rPr>
              <w:t>℃电动防火阀。配置风机智能控制箱，防雨百叶，风管采用白铁板镀锌风道及</w:t>
            </w:r>
            <w:r>
              <w:rPr>
                <w:rFonts w:ascii="宋体" w:hAnsi="宋体" w:cs="宋体"/>
                <w:color w:val="auto"/>
                <w:kern w:val="0"/>
                <w:sz w:val="20"/>
                <w:szCs w:val="20"/>
                <w:highlight w:val="none"/>
              </w:rPr>
              <w:t xml:space="preserve"> 10mm </w:t>
            </w:r>
            <w:r>
              <w:rPr>
                <w:rFonts w:hint="eastAsia" w:ascii="宋体" w:hAnsi="宋体" w:cs="宋体"/>
                <w:color w:val="auto"/>
                <w:kern w:val="0"/>
                <w:sz w:val="20"/>
                <w:szCs w:val="20"/>
                <w:highlight w:val="none"/>
              </w:rPr>
              <w:t>阻燃橡塑保温棉。</w:t>
            </w:r>
            <w:r>
              <w:rPr>
                <w:rFonts w:ascii="宋体" w:hAnsi="宋体" w:cs="宋体"/>
                <w:color w:val="auto"/>
                <w:kern w:val="0"/>
                <w:sz w:val="20"/>
                <w:szCs w:val="20"/>
                <w:highlight w:val="none"/>
              </w:rPr>
              <w:t xml:space="preserve"> </w:t>
            </w:r>
          </w:p>
        </w:tc>
      </w:tr>
      <w:tr>
        <w:tblPrEx>
          <w:tblCellMar>
            <w:top w:w="0" w:type="dxa"/>
            <w:left w:w="108" w:type="dxa"/>
            <w:bottom w:w="0" w:type="dxa"/>
            <w:right w:w="108" w:type="dxa"/>
          </w:tblCellMar>
        </w:tblPrEx>
        <w:trPr>
          <w:trHeight w:val="840" w:hRule="atLeast"/>
          <w:jc w:val="center"/>
        </w:trPr>
        <w:tc>
          <w:tcPr>
            <w:tcW w:w="79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门禁及视频监控</w:t>
            </w:r>
            <w:r>
              <w:rPr>
                <w:rFonts w:ascii="宋体" w:hAnsi="宋体" w:cs="宋体"/>
                <w:color w:val="auto"/>
                <w:kern w:val="0"/>
                <w:sz w:val="20"/>
                <w:szCs w:val="20"/>
                <w:highlight w:val="none"/>
              </w:rPr>
              <w:t xml:space="preserve"> </w:t>
            </w: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门禁</w:t>
            </w:r>
            <w:r>
              <w:rPr>
                <w:rFonts w:ascii="宋体" w:hAnsi="宋体" w:cs="宋体"/>
                <w:color w:val="auto"/>
                <w:kern w:val="0"/>
                <w:sz w:val="20"/>
                <w:szCs w:val="20"/>
                <w:highlight w:val="none"/>
              </w:rPr>
              <w:t xml:space="preserve"> </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机房出入设置门禁系统两套，人员进门采用人脸识别</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指纹</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密码</w:t>
            </w:r>
            <w:r>
              <w:rPr>
                <w:rFonts w:ascii="宋体" w:hAnsi="宋体" w:cs="宋体"/>
                <w:color w:val="auto"/>
                <w:kern w:val="0"/>
                <w:sz w:val="20"/>
                <w:szCs w:val="20"/>
                <w:highlight w:val="none"/>
              </w:rPr>
              <w:t>+IC</w:t>
            </w:r>
            <w:r>
              <w:rPr>
                <w:rFonts w:hint="eastAsia" w:ascii="宋体" w:hAnsi="宋体" w:cs="宋体"/>
                <w:color w:val="auto"/>
                <w:kern w:val="0"/>
                <w:sz w:val="20"/>
                <w:szCs w:val="20"/>
                <w:highlight w:val="none"/>
              </w:rPr>
              <w:t>卡方式，采用双联磁力锁，出门采用出门按钮方式，对出入人员进行权限认定、登记；需接入医院整体门禁系统（如发生对接费用，中标人自理）。</w:t>
            </w:r>
          </w:p>
        </w:tc>
      </w:tr>
      <w:tr>
        <w:tblPrEx>
          <w:tblCellMar>
            <w:top w:w="0" w:type="dxa"/>
            <w:left w:w="108" w:type="dxa"/>
            <w:bottom w:w="0" w:type="dxa"/>
            <w:right w:w="108" w:type="dxa"/>
          </w:tblCellMar>
        </w:tblPrEx>
        <w:trPr>
          <w:trHeight w:val="570" w:hRule="atLeast"/>
          <w:jc w:val="center"/>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视频监控</w:t>
            </w:r>
            <w:r>
              <w:rPr>
                <w:rFonts w:ascii="宋体" w:hAnsi="宋体" w:cs="宋体"/>
                <w:color w:val="auto"/>
                <w:kern w:val="0"/>
                <w:sz w:val="20"/>
                <w:szCs w:val="20"/>
                <w:highlight w:val="none"/>
              </w:rPr>
              <w:t xml:space="preserve"> </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cs="宋体"/>
                <w:color w:val="auto"/>
                <w:kern w:val="0"/>
                <w:sz w:val="20"/>
                <w:szCs w:val="20"/>
                <w:highlight w:val="none"/>
              </w:rPr>
              <w:t>≥</w:t>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路网络硬盘录像机，存储空间：</w:t>
            </w:r>
            <w:r>
              <w:rPr>
                <w:rFonts w:hint="eastAsia" w:ascii="宋体" w:cs="宋体"/>
                <w:color w:val="auto"/>
                <w:kern w:val="0"/>
                <w:sz w:val="20"/>
                <w:szCs w:val="20"/>
                <w:highlight w:val="none"/>
              </w:rPr>
              <w:t>≥</w:t>
            </w:r>
            <w:r>
              <w:rPr>
                <w:rFonts w:ascii="宋体" w:hAnsi="宋体" w:cs="宋体"/>
                <w:color w:val="auto"/>
                <w:kern w:val="0"/>
                <w:sz w:val="20"/>
                <w:szCs w:val="20"/>
                <w:highlight w:val="none"/>
              </w:rPr>
              <w:t xml:space="preserve">8T </w:t>
            </w:r>
            <w:r>
              <w:rPr>
                <w:rFonts w:hint="eastAsia" w:ascii="宋体" w:hAnsi="宋体" w:cs="宋体"/>
                <w:color w:val="auto"/>
                <w:kern w:val="0"/>
                <w:sz w:val="20"/>
                <w:szCs w:val="20"/>
                <w:highlight w:val="none"/>
              </w:rPr>
              <w:t>硬盘（满足</w:t>
            </w:r>
            <w:r>
              <w:rPr>
                <w:rFonts w:ascii="宋体" w:hAnsi="宋体" w:cs="宋体"/>
                <w:color w:val="auto"/>
                <w:kern w:val="0"/>
                <w:sz w:val="20"/>
                <w:szCs w:val="20"/>
                <w:highlight w:val="none"/>
              </w:rPr>
              <w:t>90</w:t>
            </w:r>
            <w:r>
              <w:rPr>
                <w:rFonts w:hint="eastAsia" w:ascii="宋体" w:hAnsi="宋体" w:cs="宋体"/>
                <w:color w:val="auto"/>
                <w:kern w:val="0"/>
                <w:sz w:val="20"/>
                <w:szCs w:val="20"/>
                <w:highlight w:val="none"/>
              </w:rPr>
              <w:t>天音视频存储和查询），具有高清录像功能；具有拾音功能，</w:t>
            </w:r>
            <w:r>
              <w:rPr>
                <w:rFonts w:hint="eastAsia" w:ascii="宋体" w:cs="宋体"/>
                <w:color w:val="auto"/>
                <w:kern w:val="0"/>
                <w:sz w:val="20"/>
                <w:szCs w:val="20"/>
                <w:highlight w:val="none"/>
              </w:rPr>
              <w:t>≥</w:t>
            </w:r>
            <w:r>
              <w:rPr>
                <w:rFonts w:ascii="宋体" w:hAnsi="宋体" w:cs="宋体"/>
                <w:color w:val="auto"/>
                <w:kern w:val="0"/>
                <w:sz w:val="20"/>
                <w:szCs w:val="20"/>
                <w:highlight w:val="none"/>
              </w:rPr>
              <w:t>200</w:t>
            </w:r>
            <w:r>
              <w:rPr>
                <w:rFonts w:hint="eastAsia" w:ascii="宋体" w:hAnsi="宋体" w:cs="宋体"/>
                <w:color w:val="auto"/>
                <w:kern w:val="0"/>
                <w:sz w:val="20"/>
                <w:szCs w:val="20"/>
                <w:highlight w:val="none"/>
              </w:rPr>
              <w:t>万像素高清半球网络摄像机，吸顶式安装；配备光电交换机一台：</w:t>
            </w:r>
            <w:r>
              <w:rPr>
                <w:rFonts w:hint="eastAsia" w:ascii="宋体" w:cs="宋体"/>
                <w:color w:val="auto"/>
                <w:kern w:val="0"/>
                <w:sz w:val="20"/>
                <w:szCs w:val="20"/>
                <w:highlight w:val="none"/>
              </w:rPr>
              <w:t>≥</w:t>
            </w:r>
            <w:r>
              <w:rPr>
                <w:rFonts w:ascii="宋体" w:hAnsi="宋体" w:cs="宋体"/>
                <w:color w:val="auto"/>
                <w:kern w:val="0"/>
                <w:sz w:val="20"/>
                <w:szCs w:val="20"/>
                <w:highlight w:val="none"/>
              </w:rPr>
              <w:t>8</w:t>
            </w:r>
            <w:r>
              <w:rPr>
                <w:rFonts w:hint="eastAsia" w:ascii="宋体" w:hAnsi="宋体" w:cs="宋体"/>
                <w:color w:val="auto"/>
                <w:kern w:val="0"/>
                <w:sz w:val="20"/>
                <w:szCs w:val="20"/>
                <w:highlight w:val="none"/>
              </w:rPr>
              <w:t>口</w:t>
            </w:r>
            <w:r>
              <w:rPr>
                <w:rFonts w:ascii="宋体" w:hAnsi="宋体" w:cs="宋体"/>
                <w:color w:val="auto"/>
                <w:kern w:val="0"/>
                <w:sz w:val="20"/>
                <w:szCs w:val="20"/>
                <w:highlight w:val="none"/>
              </w:rPr>
              <w:t>100BASE-T</w:t>
            </w:r>
            <w:r>
              <w:rPr>
                <w:rFonts w:hint="eastAsia" w:ascii="宋体" w:hAnsi="宋体" w:cs="宋体"/>
                <w:color w:val="auto"/>
                <w:kern w:val="0"/>
                <w:sz w:val="20"/>
                <w:szCs w:val="20"/>
                <w:highlight w:val="none"/>
              </w:rPr>
              <w:t>接口，</w:t>
            </w:r>
            <w:r>
              <w:rPr>
                <w:rFonts w:hint="eastAsia" w:ascii="宋体" w:cs="宋体"/>
                <w:color w:val="auto"/>
                <w:kern w:val="0"/>
                <w:sz w:val="20"/>
                <w:szCs w:val="20"/>
                <w:highlight w:val="none"/>
              </w:rPr>
              <w:t>≥</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千兆光电接口；需接入模块化机柜的动环系统。</w:t>
            </w:r>
          </w:p>
        </w:tc>
      </w:tr>
      <w:tr>
        <w:tblPrEx>
          <w:tblCellMar>
            <w:top w:w="0" w:type="dxa"/>
            <w:left w:w="108" w:type="dxa"/>
            <w:bottom w:w="0" w:type="dxa"/>
            <w:right w:w="108" w:type="dxa"/>
          </w:tblCellMar>
        </w:tblPrEx>
        <w:trPr>
          <w:trHeight w:val="570" w:hRule="atLeast"/>
          <w:jc w:val="center"/>
        </w:trPr>
        <w:tc>
          <w:tcPr>
            <w:tcW w:w="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监控大屏</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65</w:t>
            </w:r>
            <w:r>
              <w:rPr>
                <w:rFonts w:hint="eastAsia" w:ascii="宋体" w:hAnsi="宋体" w:cs="宋体"/>
                <w:color w:val="auto"/>
                <w:kern w:val="0"/>
                <w:sz w:val="20"/>
                <w:szCs w:val="20"/>
                <w:highlight w:val="none"/>
              </w:rPr>
              <w:t>英寸，</w:t>
            </w:r>
            <w:r>
              <w:rPr>
                <w:rFonts w:ascii="宋体" w:hAnsi="宋体" w:cs="宋体"/>
                <w:color w:val="auto"/>
                <w:kern w:val="0"/>
                <w:sz w:val="20"/>
                <w:szCs w:val="20"/>
                <w:highlight w:val="none"/>
              </w:rPr>
              <w:t>4K</w:t>
            </w:r>
            <w:r>
              <w:rPr>
                <w:rFonts w:hint="eastAsia" w:ascii="宋体" w:hAnsi="宋体" w:cs="宋体"/>
                <w:color w:val="auto"/>
                <w:kern w:val="0"/>
                <w:sz w:val="20"/>
                <w:szCs w:val="20"/>
                <w:highlight w:val="none"/>
              </w:rPr>
              <w:t>分辨率，支持多种接入模式，提供动环系统、网管系统、综合运维系统的显示功能。</w:t>
            </w:r>
          </w:p>
        </w:tc>
      </w:tr>
      <w:tr>
        <w:tblPrEx>
          <w:tblCellMar>
            <w:top w:w="0" w:type="dxa"/>
            <w:left w:w="108" w:type="dxa"/>
            <w:bottom w:w="0" w:type="dxa"/>
            <w:right w:w="108" w:type="dxa"/>
          </w:tblCellMar>
        </w:tblPrEx>
        <w:trPr>
          <w:trHeight w:val="900" w:hRule="atLeast"/>
          <w:jc w:val="center"/>
        </w:trPr>
        <w:tc>
          <w:tcPr>
            <w:tcW w:w="79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防雷接地</w:t>
            </w:r>
            <w:r>
              <w:rPr>
                <w:rFonts w:ascii="宋体" w:hAnsi="宋体" w:cs="宋体"/>
                <w:color w:val="auto"/>
                <w:kern w:val="0"/>
                <w:sz w:val="20"/>
                <w:szCs w:val="20"/>
                <w:highlight w:val="none"/>
              </w:rPr>
              <w:t xml:space="preserve"> </w:t>
            </w: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防雷接地</w:t>
            </w:r>
            <w:r>
              <w:rPr>
                <w:rFonts w:ascii="宋体" w:hAnsi="宋体" w:cs="宋体"/>
                <w:color w:val="auto"/>
                <w:kern w:val="0"/>
                <w:sz w:val="20"/>
                <w:szCs w:val="20"/>
                <w:highlight w:val="none"/>
              </w:rPr>
              <w:t xml:space="preserve"> </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采用接地阻值≯</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Ω的室外独立接地系统，</w:t>
            </w:r>
            <w:r>
              <w:rPr>
                <w:rFonts w:hint="eastAsia" w:ascii="宋体" w:cs="宋体"/>
                <w:color w:val="auto"/>
                <w:kern w:val="0"/>
                <w:sz w:val="20"/>
                <w:szCs w:val="20"/>
                <w:highlight w:val="none"/>
              </w:rPr>
              <w:t>≥</w:t>
            </w:r>
            <w:r>
              <w:rPr>
                <w:rFonts w:ascii="宋体" w:hAnsi="宋体" w:cs="宋体"/>
                <w:color w:val="auto"/>
                <w:kern w:val="0"/>
                <w:sz w:val="20"/>
                <w:szCs w:val="20"/>
                <w:highlight w:val="none"/>
              </w:rPr>
              <w:t xml:space="preserve">30*3mm </w:t>
            </w:r>
            <w:r>
              <w:rPr>
                <w:rFonts w:hint="eastAsia" w:ascii="宋体" w:hAnsi="宋体" w:cs="宋体"/>
                <w:color w:val="auto"/>
                <w:kern w:val="0"/>
                <w:sz w:val="20"/>
                <w:szCs w:val="20"/>
                <w:highlight w:val="none"/>
              </w:rPr>
              <w:t>等电位汇流排，</w:t>
            </w:r>
            <w:r>
              <w:rPr>
                <w:rFonts w:ascii="宋体" w:hAnsi="宋体" w:cs="宋体"/>
                <w:color w:val="auto"/>
                <w:kern w:val="0"/>
                <w:sz w:val="20"/>
                <w:szCs w:val="20"/>
                <w:highlight w:val="none"/>
              </w:rPr>
              <w:t xml:space="preserve">40*0.05mm </w:t>
            </w:r>
            <w:r>
              <w:rPr>
                <w:rFonts w:hint="eastAsia" w:ascii="宋体" w:hAnsi="宋体" w:cs="宋体"/>
                <w:color w:val="auto"/>
                <w:kern w:val="0"/>
                <w:sz w:val="20"/>
                <w:szCs w:val="20"/>
                <w:highlight w:val="none"/>
              </w:rPr>
              <w:t>静电地板等电位铜箔，</w:t>
            </w:r>
            <w:r>
              <w:rPr>
                <w:rFonts w:ascii="宋体" w:hAnsi="宋体" w:cs="宋体"/>
                <w:color w:val="auto"/>
                <w:kern w:val="0"/>
                <w:sz w:val="20"/>
                <w:szCs w:val="20"/>
                <w:highlight w:val="none"/>
              </w:rPr>
              <w:t xml:space="preserve">50mm </w:t>
            </w:r>
            <w:r>
              <w:rPr>
                <w:rFonts w:hint="eastAsia" w:ascii="宋体" w:hAnsi="宋体" w:cs="宋体"/>
                <w:color w:val="auto"/>
                <w:kern w:val="0"/>
                <w:sz w:val="20"/>
                <w:szCs w:val="20"/>
                <w:highlight w:val="none"/>
              </w:rPr>
              <w:t>接地母线，</w:t>
            </w:r>
            <w:r>
              <w:rPr>
                <w:rFonts w:ascii="宋体" w:hAnsi="宋体" w:cs="宋体"/>
                <w:color w:val="auto"/>
                <w:kern w:val="0"/>
                <w:sz w:val="20"/>
                <w:szCs w:val="20"/>
                <w:highlight w:val="none"/>
              </w:rPr>
              <w:t xml:space="preserve">10mm2 </w:t>
            </w:r>
            <w:r>
              <w:rPr>
                <w:rFonts w:hint="eastAsia" w:ascii="宋体" w:hAnsi="宋体" w:cs="宋体"/>
                <w:color w:val="auto"/>
                <w:kern w:val="0"/>
                <w:sz w:val="20"/>
                <w:szCs w:val="20"/>
                <w:highlight w:val="none"/>
              </w:rPr>
              <w:t>接地电缆，</w:t>
            </w:r>
            <w:r>
              <w:rPr>
                <w:rFonts w:ascii="宋体" w:hAnsi="宋体" w:cs="宋体"/>
                <w:color w:val="auto"/>
                <w:kern w:val="0"/>
                <w:sz w:val="20"/>
                <w:szCs w:val="20"/>
                <w:highlight w:val="none"/>
              </w:rPr>
              <w:t xml:space="preserve">400*300*150mm </w:t>
            </w:r>
            <w:r>
              <w:rPr>
                <w:rFonts w:hint="eastAsia" w:ascii="宋体" w:hAnsi="宋体" w:cs="宋体"/>
                <w:color w:val="auto"/>
                <w:kern w:val="0"/>
                <w:sz w:val="20"/>
                <w:szCs w:val="20"/>
                <w:highlight w:val="none"/>
              </w:rPr>
              <w:t>等电位汇流箱。</w:t>
            </w:r>
            <w:r>
              <w:rPr>
                <w:rFonts w:ascii="宋体" w:hAnsi="宋体" w:cs="宋体"/>
                <w:color w:val="auto"/>
                <w:kern w:val="0"/>
                <w:sz w:val="20"/>
                <w:szCs w:val="20"/>
                <w:highlight w:val="none"/>
              </w:rPr>
              <w:t xml:space="preserve"> </w:t>
            </w:r>
          </w:p>
        </w:tc>
      </w:tr>
      <w:tr>
        <w:tblPrEx>
          <w:tblCellMar>
            <w:top w:w="0" w:type="dxa"/>
            <w:left w:w="108" w:type="dxa"/>
            <w:bottom w:w="0" w:type="dxa"/>
            <w:right w:w="108" w:type="dxa"/>
          </w:tblCellMar>
        </w:tblPrEx>
        <w:trPr>
          <w:trHeight w:val="350" w:hRule="atLeast"/>
          <w:jc w:val="center"/>
        </w:trPr>
        <w:tc>
          <w:tcPr>
            <w:tcW w:w="79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气体灭火</w:t>
            </w:r>
            <w:r>
              <w:rPr>
                <w:rFonts w:ascii="宋体" w:hAnsi="宋体" w:cs="宋体"/>
                <w:color w:val="auto"/>
                <w:kern w:val="0"/>
                <w:sz w:val="20"/>
                <w:szCs w:val="20"/>
                <w:highlight w:val="none"/>
              </w:rPr>
              <w:t xml:space="preserve"> </w:t>
            </w: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气体灭火控制器</w:t>
            </w:r>
            <w:r>
              <w:rPr>
                <w:rFonts w:ascii="宋体" w:hAnsi="宋体" w:cs="宋体"/>
                <w:color w:val="auto"/>
                <w:kern w:val="0"/>
                <w:sz w:val="20"/>
                <w:szCs w:val="20"/>
                <w:highlight w:val="none"/>
              </w:rPr>
              <w:t xml:space="preserve"> </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气体灭火控制器一套，实现防区的火灾检测报警联动灭火功能，火灾探测和</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气体灭火联动控制功能，实现气体灭火设备的自动喷洒。保证消防及二甲医院验收条件，需接入医院整体消防系统（如发生对接费用，中标人自理）</w:t>
            </w:r>
            <w:r>
              <w:rPr>
                <w:rFonts w:ascii="宋体" w:hAnsi="宋体" w:cs="宋体"/>
                <w:color w:val="auto"/>
                <w:kern w:val="0"/>
                <w:sz w:val="20"/>
                <w:szCs w:val="20"/>
                <w:highlight w:val="none"/>
              </w:rPr>
              <w:t xml:space="preserve"> </w:t>
            </w:r>
          </w:p>
        </w:tc>
      </w:tr>
      <w:tr>
        <w:tblPrEx>
          <w:tblCellMar>
            <w:top w:w="0" w:type="dxa"/>
            <w:left w:w="108" w:type="dxa"/>
            <w:bottom w:w="0" w:type="dxa"/>
            <w:right w:w="108" w:type="dxa"/>
          </w:tblCellMar>
        </w:tblPrEx>
        <w:trPr>
          <w:trHeight w:val="520"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七氟丙烷柜式灭火装置</w:t>
            </w:r>
            <w:r>
              <w:rPr>
                <w:rFonts w:ascii="宋体" w:hAnsi="宋体" w:cs="宋体"/>
                <w:color w:val="auto"/>
                <w:kern w:val="0"/>
                <w:sz w:val="20"/>
                <w:szCs w:val="20"/>
                <w:highlight w:val="none"/>
              </w:rPr>
              <w:t xml:space="preserve"> </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七氟丙烷柜式灭火装置一套，灭火材料为无色、无味、不导电、无二次污染</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的七氟丙烷化学药剂，含柜体、钢瓶等设备，并根据现场情况安装泄压阀、防火阀等安全设备。</w:t>
            </w:r>
            <w:r>
              <w:rPr>
                <w:rFonts w:ascii="宋体" w:hAnsi="宋体" w:cs="宋体"/>
                <w:color w:val="auto"/>
                <w:kern w:val="0"/>
                <w:sz w:val="20"/>
                <w:szCs w:val="20"/>
                <w:highlight w:val="none"/>
              </w:rPr>
              <w:t xml:space="preserve"> </w:t>
            </w:r>
          </w:p>
        </w:tc>
      </w:tr>
      <w:tr>
        <w:tblPrEx>
          <w:tblCellMar>
            <w:top w:w="0" w:type="dxa"/>
            <w:left w:w="108" w:type="dxa"/>
            <w:bottom w:w="0" w:type="dxa"/>
            <w:right w:w="108" w:type="dxa"/>
          </w:tblCellMar>
        </w:tblPrEx>
        <w:trPr>
          <w:trHeight w:val="520" w:hRule="atLeast"/>
          <w:jc w:val="center"/>
        </w:trPr>
        <w:tc>
          <w:tcPr>
            <w:tcW w:w="79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服务要求</w:t>
            </w:r>
            <w:r>
              <w:rPr>
                <w:rFonts w:ascii="宋体" w:hAnsi="宋体" w:cs="宋体"/>
                <w:color w:val="auto"/>
                <w:kern w:val="0"/>
                <w:sz w:val="20"/>
                <w:szCs w:val="20"/>
                <w:highlight w:val="none"/>
              </w:rPr>
              <w:t xml:space="preserve"> </w:t>
            </w:r>
          </w:p>
        </w:tc>
        <w:tc>
          <w:tcPr>
            <w:tcW w:w="976"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模块化机房产品</w:t>
            </w:r>
          </w:p>
        </w:tc>
        <w:tc>
          <w:tcPr>
            <w:tcW w:w="784"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sz w:val="20"/>
                <w:szCs w:val="20"/>
                <w:highlight w:val="none"/>
              </w:rPr>
            </w:pPr>
            <w:r>
              <w:rPr>
                <w:rFonts w:hint="eastAsia" w:ascii="宋体" w:hAnsi="宋体" w:cs="宋体"/>
                <w:color w:val="auto"/>
                <w:kern w:val="0"/>
                <w:sz w:val="20"/>
                <w:szCs w:val="20"/>
                <w:highlight w:val="none"/>
              </w:rPr>
              <w:t>技术要求</w:t>
            </w:r>
          </w:p>
        </w:tc>
        <w:tc>
          <w:tcPr>
            <w:tcW w:w="6728"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0"/>
                <w:szCs w:val="20"/>
                <w:highlight w:val="none"/>
              </w:rPr>
            </w:pPr>
            <w:r>
              <w:rPr>
                <w:rFonts w:hint="eastAsia" w:ascii="宋体" w:hAnsi="宋体" w:cs="宋体"/>
                <w:color w:val="auto"/>
                <w:kern w:val="0"/>
                <w:sz w:val="20"/>
                <w:szCs w:val="20"/>
                <w:highlight w:val="none"/>
              </w:rPr>
              <w:t>★提供三年原厂服务，提供生产厂商出具的三年售后服务承诺函原件，须加</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盖生产厂商公章，提供设备生产厂商针对此项目出具的原厂授权函，加盖生产厂商投标专用章或公章。</w:t>
            </w:r>
          </w:p>
        </w:tc>
      </w:tr>
    </w:tbl>
    <w:p>
      <w:pPr>
        <w:rPr>
          <w:rFonts w:cs="Times New Roman"/>
          <w:color w:val="auto"/>
          <w:highlight w:val="none"/>
        </w:rPr>
      </w:pPr>
      <w:r>
        <w:rPr>
          <w:rFonts w:hint="eastAsia" w:cs="宋体"/>
          <w:color w:val="auto"/>
          <w:highlight w:val="none"/>
        </w:rPr>
        <w:t>三、安全设备技术参数：</w:t>
      </w:r>
    </w:p>
    <w:tbl>
      <w:tblPr>
        <w:tblStyle w:val="23"/>
        <w:tblW w:w="8980" w:type="dxa"/>
        <w:jc w:val="center"/>
        <w:tblLayout w:type="fixed"/>
        <w:tblCellMar>
          <w:top w:w="0" w:type="dxa"/>
          <w:left w:w="108" w:type="dxa"/>
          <w:bottom w:w="0" w:type="dxa"/>
          <w:right w:w="108" w:type="dxa"/>
        </w:tblCellMar>
      </w:tblPr>
      <w:tblGrid>
        <w:gridCol w:w="1350"/>
        <w:gridCol w:w="7630"/>
      </w:tblGrid>
      <w:tr>
        <w:tblPrEx>
          <w:tblCellMar>
            <w:top w:w="0" w:type="dxa"/>
            <w:left w:w="108" w:type="dxa"/>
            <w:bottom w:w="0" w:type="dxa"/>
            <w:right w:w="108" w:type="dxa"/>
          </w:tblCellMar>
        </w:tblPrEx>
        <w:trPr>
          <w:trHeight w:val="300" w:hRule="atLeast"/>
          <w:jc w:val="center"/>
        </w:trPr>
        <w:tc>
          <w:tcPr>
            <w:tcW w:w="898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color w:val="auto"/>
                <w:kern w:val="0"/>
                <w:sz w:val="24"/>
                <w:szCs w:val="24"/>
                <w:highlight w:val="none"/>
              </w:rPr>
            </w:pPr>
            <w:r>
              <w:rPr>
                <w:rFonts w:hint="eastAsia" w:ascii="宋体" w:hAnsi="宋体" w:cs="宋体"/>
                <w:b/>
                <w:bCs/>
                <w:color w:val="auto"/>
                <w:kern w:val="0"/>
                <w:sz w:val="24"/>
                <w:szCs w:val="24"/>
                <w:highlight w:val="none"/>
              </w:rPr>
              <w:t>日志审计</w:t>
            </w:r>
          </w:p>
        </w:tc>
      </w:tr>
      <w:tr>
        <w:tblPrEx>
          <w:tblCellMar>
            <w:top w:w="0" w:type="dxa"/>
            <w:left w:w="108" w:type="dxa"/>
            <w:bottom w:w="0" w:type="dxa"/>
            <w:right w:w="108" w:type="dxa"/>
          </w:tblCellMar>
        </w:tblPrEx>
        <w:trPr>
          <w:trHeight w:val="42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技术指标</w:t>
            </w:r>
          </w:p>
        </w:tc>
        <w:tc>
          <w:tcPr>
            <w:tcW w:w="7630" w:type="dxa"/>
            <w:tcBorders>
              <w:top w:val="nil"/>
              <w:left w:val="nil"/>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指标要求</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硬件规格</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标准</w:t>
            </w:r>
            <w:r>
              <w:rPr>
                <w:rFonts w:ascii="宋体" w:hAnsi="宋体" w:cs="宋体"/>
                <w:color w:val="auto"/>
                <w:kern w:val="0"/>
                <w:sz w:val="22"/>
                <w:szCs w:val="22"/>
                <w:highlight w:val="none"/>
              </w:rPr>
              <w:t>1U</w:t>
            </w:r>
            <w:r>
              <w:rPr>
                <w:rFonts w:hint="eastAsia" w:ascii="宋体" w:hAnsi="宋体" w:cs="宋体"/>
                <w:color w:val="auto"/>
                <w:kern w:val="0"/>
                <w:sz w:val="22"/>
                <w:szCs w:val="22"/>
                <w:highlight w:val="none"/>
              </w:rPr>
              <w:t>机箱，</w:t>
            </w:r>
            <w:r>
              <w:rPr>
                <w:rFonts w:hint="eastAsia" w:ascii="宋体" w:cs="宋体"/>
                <w:color w:val="auto"/>
                <w:kern w:val="0"/>
                <w:sz w:val="20"/>
                <w:szCs w:val="20"/>
                <w:highlight w:val="none"/>
              </w:rPr>
              <w:t>≥</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个千兆电口，</w:t>
            </w:r>
            <w:r>
              <w:rPr>
                <w:rFonts w:hint="eastAsia" w:ascii="宋体" w:cs="宋体"/>
                <w:color w:val="auto"/>
                <w:kern w:val="0"/>
                <w:sz w:val="20"/>
                <w:szCs w:val="20"/>
                <w:highlight w:val="none"/>
              </w:rPr>
              <w:t>≥</w:t>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个扩展插槽（可选</w:t>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万兆光、</w:t>
            </w: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千兆电、</w:t>
            </w: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千兆光），</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Console</w:t>
            </w:r>
            <w:r>
              <w:rPr>
                <w:rFonts w:hint="eastAsia" w:ascii="宋体" w:hAnsi="宋体" w:cs="宋体"/>
                <w:color w:val="auto"/>
                <w:kern w:val="0"/>
                <w:sz w:val="22"/>
                <w:szCs w:val="22"/>
                <w:highlight w:val="none"/>
              </w:rPr>
              <w:t>接口，单电源，</w:t>
            </w:r>
            <w:r>
              <w:rPr>
                <w:rFonts w:ascii="宋体" w:hAnsi="宋体" w:cs="宋体"/>
                <w:color w:val="auto"/>
                <w:kern w:val="0"/>
                <w:sz w:val="22"/>
                <w:szCs w:val="22"/>
                <w:highlight w:val="none"/>
              </w:rPr>
              <w:t>4T</w:t>
            </w:r>
            <w:r>
              <w:rPr>
                <w:rFonts w:hint="eastAsia" w:ascii="宋体" w:hAnsi="宋体" w:cs="宋体"/>
                <w:color w:val="auto"/>
                <w:kern w:val="0"/>
                <w:sz w:val="22"/>
                <w:szCs w:val="22"/>
                <w:highlight w:val="none"/>
              </w:rPr>
              <w:t>硬盘</w:t>
            </w:r>
          </w:p>
        </w:tc>
      </w:tr>
      <w:tr>
        <w:tblPrEx>
          <w:tblCellMar>
            <w:top w:w="0" w:type="dxa"/>
            <w:left w:w="108" w:type="dxa"/>
            <w:bottom w:w="0" w:type="dxa"/>
            <w:right w:w="108" w:type="dxa"/>
          </w:tblCellMar>
        </w:tblPrEx>
        <w:trPr>
          <w:trHeight w:val="39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性能</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事件采集性能≥</w:t>
            </w:r>
            <w:r>
              <w:rPr>
                <w:rFonts w:ascii="宋体" w:hAnsi="宋体" w:cs="宋体"/>
                <w:color w:val="auto"/>
                <w:kern w:val="0"/>
                <w:sz w:val="22"/>
                <w:szCs w:val="22"/>
                <w:highlight w:val="none"/>
              </w:rPr>
              <w:t>10000</w:t>
            </w:r>
            <w:r>
              <w:rPr>
                <w:rFonts w:hint="eastAsia" w:ascii="宋体" w:hAnsi="宋体" w:cs="宋体"/>
                <w:color w:val="auto"/>
                <w:kern w:val="0"/>
                <w:sz w:val="22"/>
                <w:szCs w:val="22"/>
                <w:highlight w:val="none"/>
              </w:rPr>
              <w:t>条每秒，事件处理性能≥</w:t>
            </w:r>
            <w:r>
              <w:rPr>
                <w:rFonts w:ascii="宋体" w:hAnsi="宋体" w:cs="宋体"/>
                <w:color w:val="auto"/>
                <w:kern w:val="0"/>
                <w:sz w:val="22"/>
                <w:szCs w:val="22"/>
                <w:highlight w:val="none"/>
              </w:rPr>
              <w:t>3000</w:t>
            </w:r>
            <w:r>
              <w:rPr>
                <w:rFonts w:hint="eastAsia" w:ascii="宋体" w:hAnsi="宋体" w:cs="宋体"/>
                <w:color w:val="auto"/>
                <w:kern w:val="0"/>
                <w:sz w:val="22"/>
                <w:szCs w:val="22"/>
                <w:highlight w:val="none"/>
              </w:rPr>
              <w:t>条每秒；</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部署模式</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支持单一部署，也支持级联部署，管理中心内嵌数据库，用户无需另外安装数据库管理系统</w:t>
            </w:r>
          </w:p>
        </w:tc>
      </w:tr>
      <w:tr>
        <w:tblPrEx>
          <w:tblCellMar>
            <w:top w:w="0" w:type="dxa"/>
            <w:left w:w="108" w:type="dxa"/>
            <w:bottom w:w="0" w:type="dxa"/>
            <w:right w:w="108" w:type="dxa"/>
          </w:tblCellMar>
        </w:tblPrEx>
        <w:trPr>
          <w:trHeight w:val="54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使用模式</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界面是</w:t>
            </w:r>
            <w:r>
              <w:rPr>
                <w:rFonts w:ascii="宋体" w:hAnsi="宋体" w:cs="宋体"/>
                <w:color w:val="auto"/>
                <w:kern w:val="0"/>
                <w:sz w:val="22"/>
                <w:szCs w:val="22"/>
                <w:highlight w:val="none"/>
              </w:rPr>
              <w:t>B/S</w:t>
            </w:r>
            <w:r>
              <w:rPr>
                <w:rFonts w:hint="eastAsia" w:ascii="宋体" w:hAnsi="宋体" w:cs="宋体"/>
                <w:color w:val="auto"/>
                <w:kern w:val="0"/>
                <w:sz w:val="22"/>
                <w:szCs w:val="22"/>
                <w:highlight w:val="none"/>
              </w:rPr>
              <w:t>模式，无需安装客户端，使用浏览器访问管理中心，支持</w:t>
            </w:r>
            <w:r>
              <w:rPr>
                <w:rFonts w:ascii="宋体" w:hAnsi="宋体" w:cs="宋体"/>
                <w:color w:val="auto"/>
                <w:kern w:val="0"/>
                <w:sz w:val="22"/>
                <w:szCs w:val="22"/>
                <w:highlight w:val="none"/>
              </w:rPr>
              <w:t xml:space="preserve">  IE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Chrome</w:t>
            </w:r>
            <w:r>
              <w:rPr>
                <w:rFonts w:hint="eastAsia" w:ascii="宋体" w:hAnsi="宋体" w:cs="宋体"/>
                <w:color w:val="auto"/>
                <w:kern w:val="0"/>
                <w:sz w:val="22"/>
                <w:szCs w:val="22"/>
                <w:highlight w:val="none"/>
              </w:rPr>
              <w:t>浏览器，浏览器端无需安装</w:t>
            </w:r>
            <w:r>
              <w:rPr>
                <w:rFonts w:ascii="宋体" w:hAnsi="宋体" w:cs="宋体"/>
                <w:color w:val="auto"/>
                <w:kern w:val="0"/>
                <w:sz w:val="22"/>
                <w:szCs w:val="22"/>
                <w:highlight w:val="none"/>
              </w:rPr>
              <w:t>Java</w:t>
            </w:r>
            <w:r>
              <w:rPr>
                <w:rFonts w:hint="eastAsia" w:ascii="宋体" w:hAnsi="宋体" w:cs="宋体"/>
                <w:color w:val="auto"/>
                <w:kern w:val="0"/>
                <w:sz w:val="22"/>
                <w:szCs w:val="22"/>
                <w:highlight w:val="none"/>
              </w:rPr>
              <w:t>运行环境。</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审计对象</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支持审计各种网络设备（路由器、交换机等）配置日志、运行日志、告警日志等；</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支持审计各种安全设备（防火墙、</w:t>
            </w:r>
            <w:r>
              <w:rPr>
                <w:rFonts w:ascii="宋体" w:hAnsi="宋体" w:cs="宋体"/>
                <w:color w:val="auto"/>
                <w:kern w:val="0"/>
                <w:sz w:val="22"/>
                <w:szCs w:val="22"/>
                <w:highlight w:val="none"/>
              </w:rPr>
              <w:t>IDS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IPS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VPN</w:t>
            </w:r>
            <w:r>
              <w:rPr>
                <w:rFonts w:hint="eastAsia" w:ascii="宋体" w:hAnsi="宋体" w:cs="宋体"/>
                <w:color w:val="auto"/>
                <w:kern w:val="0"/>
                <w:sz w:val="22"/>
                <w:szCs w:val="22"/>
                <w:highlight w:val="none"/>
              </w:rPr>
              <w:t>、防病毒网关，网闸，防</w:t>
            </w:r>
            <w:r>
              <w:rPr>
                <w:rFonts w:ascii="宋体" w:hAnsi="宋体" w:cs="宋体"/>
                <w:color w:val="auto"/>
                <w:kern w:val="0"/>
                <w:sz w:val="22"/>
                <w:szCs w:val="22"/>
                <w:highlight w:val="none"/>
              </w:rPr>
              <w:t>DDOS</w:t>
            </w:r>
            <w:r>
              <w:rPr>
                <w:rFonts w:hint="eastAsia" w:ascii="宋体" w:hAnsi="宋体" w:cs="宋体"/>
                <w:color w:val="auto"/>
                <w:kern w:val="0"/>
                <w:sz w:val="22"/>
                <w:szCs w:val="22"/>
                <w:highlight w:val="none"/>
              </w:rPr>
              <w:t>攻击，</w:t>
            </w:r>
            <w:r>
              <w:rPr>
                <w:rFonts w:ascii="宋体" w:hAnsi="宋体" w:cs="宋体"/>
                <w:color w:val="auto"/>
                <w:kern w:val="0"/>
                <w:sz w:val="22"/>
                <w:szCs w:val="22"/>
                <w:highlight w:val="none"/>
              </w:rPr>
              <w:t>Web</w:t>
            </w:r>
            <w:r>
              <w:rPr>
                <w:rFonts w:hint="eastAsia" w:ascii="宋体" w:hAnsi="宋体" w:cs="宋体"/>
                <w:color w:val="auto"/>
                <w:kern w:val="0"/>
                <w:sz w:val="22"/>
                <w:szCs w:val="22"/>
                <w:highlight w:val="none"/>
              </w:rPr>
              <w:t>应用防火墙、等）配置日志、运行日志、告警日志等；</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支持审计各种主机操作系统（包括</w:t>
            </w:r>
            <w:r>
              <w:rPr>
                <w:rFonts w:ascii="宋体" w:hAnsi="宋体" w:cs="宋体"/>
                <w:color w:val="auto"/>
                <w:kern w:val="0"/>
                <w:sz w:val="22"/>
                <w:szCs w:val="22"/>
                <w:highlight w:val="none"/>
              </w:rPr>
              <w:t>Windows,Solaris, Linux, AIX, HP-UX,UNIX,AS400</w:t>
            </w:r>
            <w:r>
              <w:rPr>
                <w:rFonts w:hint="eastAsia" w:ascii="宋体" w:hAnsi="宋体" w:cs="宋体"/>
                <w:color w:val="auto"/>
                <w:kern w:val="0"/>
                <w:sz w:val="22"/>
                <w:szCs w:val="22"/>
                <w:highlight w:val="none"/>
              </w:rPr>
              <w:t>）配置日志、运行日志、告警日志等；</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支持审计各种数据库（</w:t>
            </w:r>
            <w:r>
              <w:rPr>
                <w:rFonts w:ascii="宋体" w:hAnsi="宋体" w:cs="宋体"/>
                <w:color w:val="auto"/>
                <w:kern w:val="0"/>
                <w:sz w:val="22"/>
                <w:szCs w:val="22"/>
                <w:highlight w:val="none"/>
              </w:rPr>
              <w:t>Oracle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Sqlserver</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Mysql</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DB2</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Sybase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Informix</w:t>
            </w:r>
            <w:r>
              <w:rPr>
                <w:rFonts w:hint="eastAsia" w:ascii="宋体" w:hAnsi="宋体" w:cs="宋体"/>
                <w:color w:val="auto"/>
                <w:kern w:val="0"/>
                <w:sz w:val="22"/>
                <w:szCs w:val="22"/>
                <w:highlight w:val="none"/>
              </w:rPr>
              <w:t>）配置日志、运行日志、告警日志等；</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支持审计各种中间件（</w:t>
            </w:r>
            <w:r>
              <w:rPr>
                <w:rFonts w:ascii="宋体" w:hAnsi="宋体" w:cs="宋体"/>
                <w:color w:val="auto"/>
                <w:kern w:val="0"/>
                <w:sz w:val="22"/>
                <w:szCs w:val="22"/>
                <w:highlight w:val="none"/>
              </w:rPr>
              <w:t>tomcat</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apache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webshpere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weblogic</w:t>
            </w:r>
            <w:r>
              <w:rPr>
                <w:rFonts w:hint="eastAsia" w:ascii="宋体" w:hAnsi="宋体" w:cs="宋体"/>
                <w:color w:val="auto"/>
                <w:kern w:val="0"/>
                <w:sz w:val="22"/>
                <w:szCs w:val="22"/>
                <w:highlight w:val="none"/>
              </w:rPr>
              <w:t>等）配置日志、运行日志、告警日志等；</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支持各种应用各种应用系统（邮件，</w:t>
            </w:r>
            <w:r>
              <w:rPr>
                <w:rFonts w:ascii="宋体" w:hAnsi="宋体" w:cs="宋体"/>
                <w:color w:val="auto"/>
                <w:kern w:val="0"/>
                <w:sz w:val="22"/>
                <w:szCs w:val="22"/>
                <w:highlight w:val="none"/>
              </w:rPr>
              <w:t>Web</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FTP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Telnet</w:t>
            </w:r>
            <w:r>
              <w:rPr>
                <w:rFonts w:hint="eastAsia" w:ascii="宋体" w:hAnsi="宋体" w:cs="宋体"/>
                <w:color w:val="auto"/>
                <w:kern w:val="0"/>
                <w:sz w:val="22"/>
                <w:szCs w:val="22"/>
                <w:highlight w:val="none"/>
              </w:rPr>
              <w:t>、等）配置日志、运行日志、告警日志等；</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采集方式</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支持通过</w:t>
            </w:r>
            <w:r>
              <w:rPr>
                <w:rFonts w:ascii="宋体" w:hAnsi="宋体" w:cs="宋体"/>
                <w:color w:val="auto"/>
                <w:kern w:val="0"/>
                <w:sz w:val="22"/>
                <w:szCs w:val="22"/>
                <w:highlight w:val="none"/>
              </w:rPr>
              <w:t>syslog</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snmp trap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netflow</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jdbc</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odbc</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agent</w:t>
            </w:r>
            <w:r>
              <w:rPr>
                <w:rFonts w:hint="eastAsia" w:ascii="宋体" w:hAnsi="宋体" w:cs="宋体"/>
                <w:color w:val="auto"/>
                <w:kern w:val="0"/>
                <w:sz w:val="22"/>
                <w:szCs w:val="22"/>
                <w:highlight w:val="none"/>
              </w:rPr>
              <w:t>代理、</w:t>
            </w:r>
            <w:r>
              <w:rPr>
                <w:rFonts w:ascii="宋体" w:hAnsi="宋体" w:cs="宋体"/>
                <w:color w:val="auto"/>
                <w:kern w:val="0"/>
                <w:sz w:val="22"/>
                <w:szCs w:val="22"/>
                <w:highlight w:val="none"/>
              </w:rPr>
              <w:t>wmi</w:t>
            </w:r>
            <w:r>
              <w:rPr>
                <w:rFonts w:hint="eastAsia" w:ascii="宋体" w:hAnsi="宋体" w:cs="宋体"/>
                <w:color w:val="auto"/>
                <w:kern w:val="0"/>
                <w:sz w:val="22"/>
                <w:szCs w:val="22"/>
                <w:highlight w:val="none"/>
              </w:rPr>
              <w:t>等多种方式完成各种日志的收集功能；</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对</w:t>
            </w:r>
            <w:r>
              <w:rPr>
                <w:rFonts w:ascii="宋体" w:hAnsi="宋体" w:cs="宋体"/>
                <w:color w:val="auto"/>
                <w:kern w:val="0"/>
                <w:sz w:val="22"/>
                <w:szCs w:val="22"/>
                <w:highlight w:val="none"/>
              </w:rPr>
              <w:t>windows</w:t>
            </w:r>
            <w:r>
              <w:rPr>
                <w:rFonts w:hint="eastAsia" w:ascii="宋体" w:hAnsi="宋体" w:cs="宋体"/>
                <w:color w:val="auto"/>
                <w:kern w:val="0"/>
                <w:sz w:val="22"/>
                <w:szCs w:val="22"/>
                <w:highlight w:val="none"/>
              </w:rPr>
              <w:t>服务器（系统、应用和安全）日志和文件类型日志，可免日志代理或插件，支持用户环境中</w:t>
            </w:r>
            <w:r>
              <w:rPr>
                <w:rFonts w:ascii="宋体" w:hAnsi="宋体" w:cs="宋体"/>
                <w:color w:val="auto"/>
                <w:kern w:val="0"/>
                <w:sz w:val="22"/>
                <w:szCs w:val="22"/>
                <w:highlight w:val="none"/>
              </w:rPr>
              <w:t>EVT</w:t>
            </w:r>
            <w:r>
              <w:rPr>
                <w:rFonts w:hint="eastAsia" w:ascii="宋体" w:hAnsi="宋体" w:cs="宋体"/>
                <w:color w:val="auto"/>
                <w:kern w:val="0"/>
                <w:sz w:val="22"/>
                <w:szCs w:val="22"/>
                <w:highlight w:val="none"/>
              </w:rPr>
              <w:t>格式的业务系统日志采集。</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资产管理</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按照设备资产重要程度和管理域的方式组织设备资产，提供便捷的添加、修改、删除、查询与统计功能；</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支持对资产日志进行过滤，设置允许接收和拒绝接收日志，并可以对资产设置一定时间范围内未收到事件后进行主动告警。</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日志归一化</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支持采集后的日志和保留原始日志，方便用户对关键日志快速定位，和事后取证；</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日志收集后进行字段和安全等级的归一化处理，系统归一化字段不少于</w:t>
            </w:r>
            <w:r>
              <w:rPr>
                <w:rFonts w:ascii="宋体" w:hAnsi="宋体" w:cs="宋体"/>
                <w:color w:val="auto"/>
                <w:kern w:val="0"/>
                <w:sz w:val="22"/>
                <w:szCs w:val="22"/>
                <w:highlight w:val="none"/>
              </w:rPr>
              <w:t>50</w:t>
            </w:r>
            <w:r>
              <w:rPr>
                <w:rFonts w:hint="eastAsia" w:ascii="宋体" w:hAnsi="宋体" w:cs="宋体"/>
                <w:color w:val="auto"/>
                <w:kern w:val="0"/>
                <w:sz w:val="22"/>
                <w:szCs w:val="22"/>
                <w:highlight w:val="none"/>
              </w:rPr>
              <w:t>个字段</w:t>
            </w:r>
            <w:r>
              <w:rPr>
                <w:rFonts w:ascii="宋体" w:cs="宋体"/>
                <w:color w:val="auto"/>
                <w:kern w:val="0"/>
                <w:sz w:val="22"/>
                <w:szCs w:val="22"/>
                <w:highlight w:val="none"/>
              </w:rPr>
              <w:t>,</w:t>
            </w:r>
            <w:r>
              <w:rPr>
                <w:rFonts w:hint="eastAsia" w:ascii="宋体" w:hAnsi="宋体" w:cs="宋体"/>
                <w:color w:val="auto"/>
                <w:kern w:val="0"/>
                <w:sz w:val="22"/>
                <w:szCs w:val="22"/>
                <w:highlight w:val="none"/>
              </w:rPr>
              <w:t>并至少有</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个可自定义字段；</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系统提供灵活简单的归一化方式</w:t>
            </w:r>
            <w:r>
              <w:rPr>
                <w:rFonts w:ascii="宋体" w:cs="宋体"/>
                <w:color w:val="auto"/>
                <w:kern w:val="0"/>
                <w:sz w:val="22"/>
                <w:szCs w:val="22"/>
                <w:highlight w:val="none"/>
              </w:rPr>
              <w:t>,</w:t>
            </w:r>
            <w:r>
              <w:rPr>
                <w:rFonts w:hint="eastAsia" w:ascii="宋体" w:hAnsi="宋体" w:cs="宋体"/>
                <w:color w:val="auto"/>
                <w:kern w:val="0"/>
                <w:sz w:val="22"/>
                <w:szCs w:val="22"/>
                <w:highlight w:val="none"/>
              </w:rPr>
              <w:t>对系统新增的日志类型只需修改配置文件即可支持</w:t>
            </w:r>
            <w:r>
              <w:rPr>
                <w:rFonts w:ascii="宋体" w:cs="宋体"/>
                <w:color w:val="auto"/>
                <w:kern w:val="0"/>
                <w:sz w:val="22"/>
                <w:szCs w:val="22"/>
                <w:highlight w:val="none"/>
              </w:rPr>
              <w:t>,</w:t>
            </w:r>
            <w:r>
              <w:rPr>
                <w:rFonts w:hint="eastAsia" w:ascii="宋体" w:hAnsi="宋体" w:cs="宋体"/>
                <w:color w:val="auto"/>
                <w:kern w:val="0"/>
                <w:sz w:val="22"/>
                <w:szCs w:val="22"/>
                <w:highlight w:val="none"/>
              </w:rPr>
              <w:t>不需修改系统程序。</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日志查询</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所有日志采用统一的日志查询界面，支持自定义查询场景，并以树形结构组织保存</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查询结果可支持导出、支持对查询结果任意字段进行排序；</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实时监视</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支持实时的日志滚动显示，可通过雷达图等直观显示目前日志量和日志详细信息。</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支持自定义实时监视场景，提供可视化规则编辑视图，对关注的事件进行实时展示。</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支持鼠标放在日志对应字段上界面可悬浮提示资产信息和常用端口信息。</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实时分析</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可对收集的日志进行分类实时分析和统计，从而快速识别安全事故；</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支持自定义实时分析场景，提供可视化规则编辑视图，根据实际业务编写分析规则；</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支持对于关联事件进行追溯，查看导致该关联事件的所有原始事件。</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可视化展现</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能够在世界地图上实时定位事件源</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目的</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地址的地理位置（包括二维及三维显示方式）；</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关联分析</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系统内置针对服务器和其他安全设备的访问</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地址、访问账户和访问时间的访问控制规则；</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告警规则可按照树型结构组织，并可在该树型结构上直接查看该规则的告警信息，</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可对不同类型设备的日志之间进行关联分析，支持递归关联，统计关联，时序关联，这几种关联方式能同时应用于一个关联分析规则；</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报表管理</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提供自定义报表，用户可根据自身需要进行定制。报表可根据设置自动运行</w:t>
            </w:r>
            <w:r>
              <w:rPr>
                <w:rFonts w:ascii="宋体" w:cs="宋体"/>
                <w:color w:val="auto"/>
                <w:kern w:val="0"/>
                <w:sz w:val="22"/>
                <w:szCs w:val="22"/>
                <w:highlight w:val="none"/>
              </w:rPr>
              <w:t>,</w:t>
            </w:r>
            <w:r>
              <w:rPr>
                <w:rFonts w:hint="eastAsia" w:ascii="宋体" w:hAnsi="宋体" w:cs="宋体"/>
                <w:color w:val="auto"/>
                <w:kern w:val="0"/>
                <w:sz w:val="22"/>
                <w:szCs w:val="22"/>
                <w:highlight w:val="none"/>
              </w:rPr>
              <w:t>调度生成日报、周报和月报。</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备份归档</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支持各种配置项的备份和导入。支持各种配置项的一键备份和恢复；</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当磁盘空间日志存储量达到预设值时可设定为删除磁盘中的历史日志或接收的日志不再入库，并进行告警；手动备份和恢复时，可以显示恢复和备份的进度。</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监控主页</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系统应提供从总体上把握日志告警和日志统计分析的实时综合性监控界面。界面由多个监控组件组成，用户可以自定义监控主页。</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厂商资质证书</w:t>
            </w: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具有公安部《计算机信息系统专用产品销售许可证》</w:t>
            </w:r>
            <w:r>
              <w:rPr>
                <w:rFonts w:ascii="宋体" w:cs="宋体"/>
                <w:color w:val="auto"/>
                <w:kern w:val="0"/>
                <w:sz w:val="22"/>
                <w:szCs w:val="22"/>
                <w:highlight w:val="none"/>
              </w:rPr>
              <w:t>,</w:t>
            </w:r>
            <w:r>
              <w:rPr>
                <w:rFonts w:hint="eastAsia" w:ascii="宋体" w:hAnsi="宋体" w:cs="宋体"/>
                <w:color w:val="auto"/>
                <w:kern w:val="0"/>
                <w:sz w:val="22"/>
                <w:szCs w:val="22"/>
                <w:highlight w:val="none"/>
              </w:rPr>
              <w:t>（行标</w:t>
            </w:r>
            <w:r>
              <w:rPr>
                <w:rFonts w:ascii="宋体" w:cs="宋体"/>
                <w:color w:val="auto"/>
                <w:kern w:val="0"/>
                <w:sz w:val="22"/>
                <w:szCs w:val="22"/>
                <w:highlight w:val="none"/>
              </w:rPr>
              <w:t>-</w:t>
            </w:r>
            <w:r>
              <w:rPr>
                <w:rFonts w:hint="eastAsia" w:ascii="宋体" w:hAnsi="宋体" w:cs="宋体"/>
                <w:color w:val="auto"/>
                <w:kern w:val="0"/>
                <w:sz w:val="22"/>
                <w:szCs w:val="22"/>
                <w:highlight w:val="none"/>
              </w:rPr>
              <w:t>三级），提供加盖厂商公章的复印件。</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具有中国信息安全认证中心《中国国家安全产品认证证书》（</w:t>
            </w:r>
            <w:r>
              <w:rPr>
                <w:rFonts w:ascii="宋体" w:hAnsi="宋体" w:cs="宋体"/>
                <w:color w:val="auto"/>
                <w:kern w:val="0"/>
                <w:sz w:val="22"/>
                <w:szCs w:val="22"/>
                <w:highlight w:val="none"/>
              </w:rPr>
              <w:t>3C</w:t>
            </w:r>
            <w:r>
              <w:rPr>
                <w:rFonts w:hint="eastAsia" w:ascii="宋体" w:hAnsi="宋体" w:cs="宋体"/>
                <w:color w:val="auto"/>
                <w:kern w:val="0"/>
                <w:sz w:val="22"/>
                <w:szCs w:val="22"/>
                <w:highlight w:val="none"/>
              </w:rPr>
              <w:t>），增强级，提供加盖厂商公章的复印件</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具有《计算机软件著作权登记证书》，提供加盖厂商公章的复印件</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具有国家信息安全测评中心颁发的《信息技术产品安全测试证书》</w:t>
            </w:r>
            <w:r>
              <w:rPr>
                <w:rFonts w:ascii="宋体" w:hAnsi="宋体" w:cs="宋体"/>
                <w:color w:val="auto"/>
                <w:kern w:val="0"/>
                <w:sz w:val="22"/>
                <w:szCs w:val="22"/>
                <w:highlight w:val="none"/>
              </w:rPr>
              <w:t>EAL3+</w:t>
            </w:r>
            <w:r>
              <w:rPr>
                <w:rFonts w:hint="eastAsia" w:ascii="宋体" w:hAnsi="宋体" w:cs="宋体"/>
                <w:color w:val="auto"/>
                <w:kern w:val="0"/>
                <w:sz w:val="22"/>
                <w:szCs w:val="22"/>
                <w:highlight w:val="none"/>
              </w:rPr>
              <w:t>，提供加盖厂商公章的复印件</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cs="宋体"/>
                <w:color w:val="auto"/>
                <w:kern w:val="0"/>
                <w:sz w:val="22"/>
                <w:szCs w:val="22"/>
                <w:highlight w:val="none"/>
              </w:rPr>
              <w:t>服务要求</w:t>
            </w:r>
          </w:p>
        </w:tc>
        <w:tc>
          <w:tcPr>
            <w:tcW w:w="7630" w:type="dxa"/>
            <w:tcBorders>
              <w:top w:val="nil"/>
              <w:left w:val="nil"/>
              <w:bottom w:val="single" w:color="auto" w:sz="4" w:space="0"/>
              <w:right w:val="single" w:color="auto" w:sz="4" w:space="0"/>
            </w:tcBorders>
            <w:vAlign w:val="center"/>
          </w:tcPr>
          <w:p>
            <w:pPr>
              <w:pStyle w:val="2"/>
              <w:rPr>
                <w:rFonts w:ascii="宋体" w:eastAsia="宋体" w:cs="Times New Roman"/>
                <w:color w:val="auto"/>
                <w:sz w:val="22"/>
                <w:szCs w:val="22"/>
                <w:highlight w:val="none"/>
              </w:rPr>
            </w:pPr>
            <w:r>
              <w:rPr>
                <w:rFonts w:hint="eastAsia"/>
                <w:color w:val="auto"/>
                <w:sz w:val="18"/>
                <w:szCs w:val="18"/>
                <w:highlight w:val="none"/>
              </w:rPr>
              <w:t>提供原厂商针对本项目三年原厂售后服务承诺函（原件），并加盖设备原生产厂商公章。</w:t>
            </w:r>
            <w:r>
              <w:rPr>
                <w:color w:val="auto"/>
                <w:sz w:val="18"/>
                <w:szCs w:val="18"/>
                <w:highlight w:val="none"/>
              </w:rPr>
              <w:t xml:space="preserve"> </w:t>
            </w:r>
            <w:r>
              <w:rPr>
                <w:rFonts w:hint="eastAsia" w:ascii="宋体" w:hAnsi="宋体"/>
                <w:color w:val="auto"/>
                <w:sz w:val="18"/>
                <w:szCs w:val="18"/>
                <w:highlight w:val="none"/>
              </w:rPr>
              <w:t>三年内软硬件质保及软件和特征库等的免费升级，厂家工程师定期巡检等服务。</w:t>
            </w:r>
          </w:p>
        </w:tc>
      </w:tr>
      <w:tr>
        <w:tblPrEx>
          <w:tblCellMar>
            <w:top w:w="0" w:type="dxa"/>
            <w:left w:w="108" w:type="dxa"/>
            <w:bottom w:w="0" w:type="dxa"/>
            <w:right w:w="108" w:type="dxa"/>
          </w:tblCellMar>
        </w:tblPrEx>
        <w:trPr>
          <w:trHeight w:val="300" w:hRule="atLeast"/>
          <w:jc w:val="center"/>
        </w:trPr>
        <w:tc>
          <w:tcPr>
            <w:tcW w:w="8980" w:type="dxa"/>
            <w:gridSpan w:val="2"/>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宋体" w:cs="Times New Roman"/>
                <w:b/>
                <w:bCs/>
                <w:color w:val="auto"/>
                <w:kern w:val="0"/>
                <w:sz w:val="24"/>
                <w:szCs w:val="24"/>
                <w:highlight w:val="none"/>
              </w:rPr>
            </w:pPr>
            <w:r>
              <w:rPr>
                <w:rFonts w:hint="eastAsia" w:ascii="宋体" w:hAnsi="宋体" w:cs="宋体"/>
                <w:b/>
                <w:bCs/>
                <w:color w:val="auto"/>
                <w:kern w:val="0"/>
                <w:sz w:val="24"/>
                <w:szCs w:val="24"/>
                <w:highlight w:val="none"/>
              </w:rPr>
              <w:t>网闸</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技术指标</w:t>
            </w:r>
          </w:p>
        </w:tc>
        <w:tc>
          <w:tcPr>
            <w:tcW w:w="7630" w:type="dxa"/>
            <w:tcBorders>
              <w:top w:val="nil"/>
              <w:left w:val="nil"/>
              <w:bottom w:val="single" w:color="auto" w:sz="4" w:space="0"/>
              <w:right w:val="single" w:color="auto" w:sz="4" w:space="0"/>
            </w:tcBorders>
            <w:noWrap/>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指标要求</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硬件架构</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系统内部采用“</w:t>
            </w:r>
            <w:r>
              <w:rPr>
                <w:rFonts w:ascii="宋体" w:hAnsi="宋体" w:cs="宋体"/>
                <w:color w:val="auto"/>
                <w:kern w:val="0"/>
                <w:sz w:val="22"/>
                <w:szCs w:val="22"/>
                <w:highlight w:val="none"/>
              </w:rPr>
              <w:t>2+1</w:t>
            </w:r>
            <w:r>
              <w:rPr>
                <w:rFonts w:hint="eastAsia" w:ascii="宋体" w:hAnsi="宋体" w:cs="宋体"/>
                <w:color w:val="auto"/>
                <w:kern w:val="0"/>
                <w:sz w:val="22"/>
                <w:szCs w:val="22"/>
                <w:highlight w:val="none"/>
              </w:rPr>
              <w:t>”模块结构设计，即包括外网主机模块、内网主机模块和隔离交换模块；</w:t>
            </w:r>
            <w:r>
              <w:rPr>
                <w:rFonts w:ascii="宋体" w:hAnsi="宋体" w:cs="宋体"/>
                <w:color w:val="auto"/>
                <w:kern w:val="0"/>
                <w:sz w:val="22"/>
                <w:szCs w:val="22"/>
                <w:highlight w:val="none"/>
              </w:rPr>
              <w:t>2U</w:t>
            </w:r>
            <w:r>
              <w:rPr>
                <w:rFonts w:hint="eastAsia" w:ascii="宋体" w:hAnsi="宋体" w:cs="宋体"/>
                <w:color w:val="auto"/>
                <w:kern w:val="0"/>
                <w:sz w:val="22"/>
                <w:szCs w:val="22"/>
                <w:highlight w:val="none"/>
              </w:rPr>
              <w:t>机箱，冗余电源；</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接口要求</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内、外网分别具有独立的</w:t>
            </w:r>
            <w:r>
              <w:rPr>
                <w:rFonts w:ascii="宋体" w:hAnsi="宋体" w:cs="宋体"/>
                <w:color w:val="auto"/>
                <w:kern w:val="0"/>
                <w:sz w:val="22"/>
                <w:szCs w:val="22"/>
                <w:highlight w:val="none"/>
              </w:rPr>
              <w:t>HA</w:t>
            </w:r>
            <w:r>
              <w:rPr>
                <w:rFonts w:hint="eastAsia" w:ascii="宋体" w:hAnsi="宋体" w:cs="宋体"/>
                <w:color w:val="auto"/>
                <w:kern w:val="0"/>
                <w:sz w:val="22"/>
                <w:szCs w:val="22"/>
                <w:highlight w:val="none"/>
              </w:rPr>
              <w:t>口，实现双机热备及负载均衡；</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内、外网分别≥</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10/100/1000Base-T</w:t>
            </w:r>
            <w:r>
              <w:rPr>
                <w:rFonts w:hint="eastAsia" w:ascii="宋体" w:hAnsi="宋体" w:cs="宋体"/>
                <w:color w:val="auto"/>
                <w:kern w:val="0"/>
                <w:sz w:val="22"/>
                <w:szCs w:val="22"/>
                <w:highlight w:val="none"/>
              </w:rPr>
              <w:t>端口，≥</w:t>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SFP</w:t>
            </w:r>
            <w:r>
              <w:rPr>
                <w:rFonts w:hint="eastAsia" w:ascii="宋体" w:hAnsi="宋体" w:cs="宋体"/>
                <w:color w:val="auto"/>
                <w:kern w:val="0"/>
                <w:sz w:val="22"/>
                <w:szCs w:val="22"/>
                <w:highlight w:val="none"/>
              </w:rPr>
              <w:t>接口，</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Console</w:t>
            </w:r>
            <w:r>
              <w:rPr>
                <w:rFonts w:hint="eastAsia" w:ascii="宋体" w:hAnsi="宋体" w:cs="宋体"/>
                <w:color w:val="auto"/>
                <w:kern w:val="0"/>
                <w:sz w:val="22"/>
                <w:szCs w:val="22"/>
                <w:highlight w:val="none"/>
              </w:rPr>
              <w:t>口，≥</w:t>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USB</w:t>
            </w:r>
            <w:r>
              <w:rPr>
                <w:rFonts w:hint="eastAsia" w:ascii="宋体" w:hAnsi="宋体" w:cs="宋体"/>
                <w:color w:val="auto"/>
                <w:kern w:val="0"/>
                <w:sz w:val="22"/>
                <w:szCs w:val="22"/>
                <w:highlight w:val="none"/>
              </w:rPr>
              <w:t>口；</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性能要求</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吞吐量≥</w:t>
            </w:r>
            <w:r>
              <w:rPr>
                <w:rFonts w:ascii="宋体" w:hAnsi="宋体" w:cs="宋体"/>
                <w:color w:val="auto"/>
                <w:kern w:val="0"/>
                <w:sz w:val="22"/>
                <w:szCs w:val="22"/>
                <w:highlight w:val="none"/>
              </w:rPr>
              <w:t>800Mbps</w:t>
            </w:r>
          </w:p>
        </w:tc>
      </w:tr>
      <w:tr>
        <w:tblPrEx>
          <w:tblCellMar>
            <w:top w:w="0" w:type="dxa"/>
            <w:left w:w="108" w:type="dxa"/>
            <w:bottom w:w="0" w:type="dxa"/>
            <w:right w:w="108" w:type="dxa"/>
          </w:tblCellMar>
        </w:tblPrEx>
        <w:trPr>
          <w:trHeight w:val="84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安全管理</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内、外网分别具有独立的管理接口，而不是通过网络接口管理，也不是通过内网一个管理接口完成全部管理，提供基于</w:t>
            </w:r>
            <w:r>
              <w:rPr>
                <w:rFonts w:ascii="宋体" w:hAnsi="宋体" w:cs="宋体"/>
                <w:color w:val="auto"/>
                <w:kern w:val="0"/>
                <w:sz w:val="22"/>
                <w:szCs w:val="22"/>
                <w:highlight w:val="none"/>
              </w:rPr>
              <w:t>https</w:t>
            </w:r>
            <w:r>
              <w:rPr>
                <w:rFonts w:hint="eastAsia" w:ascii="宋体" w:hAnsi="宋体" w:cs="宋体"/>
                <w:color w:val="auto"/>
                <w:kern w:val="0"/>
                <w:sz w:val="22"/>
                <w:szCs w:val="22"/>
                <w:highlight w:val="none"/>
              </w:rPr>
              <w:t>的图形化安全管理，支持用户名</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口令、数字证书、</w:t>
            </w:r>
            <w:r>
              <w:rPr>
                <w:rFonts w:ascii="宋体" w:hAnsi="宋体" w:cs="宋体"/>
                <w:color w:val="auto"/>
                <w:kern w:val="0"/>
                <w:sz w:val="22"/>
                <w:szCs w:val="22"/>
                <w:highlight w:val="none"/>
              </w:rPr>
              <w:t>U-KEY</w:t>
            </w:r>
            <w:r>
              <w:rPr>
                <w:rFonts w:hint="eastAsia" w:ascii="宋体" w:hAnsi="宋体" w:cs="宋体"/>
                <w:color w:val="auto"/>
                <w:kern w:val="0"/>
                <w:sz w:val="22"/>
                <w:szCs w:val="22"/>
                <w:highlight w:val="none"/>
              </w:rPr>
              <w:t>以及上述结合的双因子认证管理方式</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支持带内管理，可通过业务口进行网闸管理工作；用户可自行选择是否启用带内管理功能；</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提供调制工具，其中包括：</w:t>
            </w:r>
            <w:r>
              <w:rPr>
                <w:rFonts w:ascii="宋体" w:hAnsi="宋体" w:cs="宋体"/>
                <w:color w:val="auto"/>
                <w:kern w:val="0"/>
                <w:sz w:val="22"/>
                <w:szCs w:val="22"/>
                <w:highlight w:val="none"/>
              </w:rPr>
              <w:t>trace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ping</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telnet</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arp</w:t>
            </w:r>
            <w:r>
              <w:rPr>
                <w:rFonts w:hint="eastAsia" w:ascii="宋体" w:hAnsi="宋体" w:cs="宋体"/>
                <w:color w:val="auto"/>
                <w:kern w:val="0"/>
                <w:sz w:val="22"/>
                <w:szCs w:val="22"/>
                <w:highlight w:val="none"/>
              </w:rPr>
              <w:t>等</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集中监控与数据分析</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支持集中监控与数据分析中心，可对多台网闸进行统一监控和审计，记录每台设备的系统资源运行情况；</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提供日志审计中心功能，可将监控的多台网闸日志统一收集至数据分析中心，并可根据日志类型进行详细分类，如：操作日志、业务日志、轨迹日志、威胁日志；</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提供轨迹追踪模式，可通过数据相关元素，如：时间、任务名、文件名、文件大小、文件类型、源目</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、数据库名、数据表名等信息，追踪并展现数据摆渡路径，提供异常数据追查功能。</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支持设备健康状态追踪，通过可视化界面实时显示设备健康状态；</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文件交换</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NFS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SMB</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FTP</w:t>
            </w:r>
            <w:r>
              <w:rPr>
                <w:rFonts w:hint="eastAsia" w:ascii="宋体" w:hAnsi="宋体" w:cs="宋体"/>
                <w:color w:val="auto"/>
                <w:kern w:val="0"/>
                <w:sz w:val="22"/>
                <w:szCs w:val="22"/>
                <w:highlight w:val="none"/>
              </w:rPr>
              <w:t>等文件传输协议实现文件同步。支持不同文件传输协议之间的文件同步。</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支持多种同步模式：完全一致、完全复制、首次复制</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新增、源端移动、源端删除等多种模式。</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文件交换模块支持病毒检测功能，支持通过文件大小控制病毒查杀；</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数据库同步</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支持客户端、无客户端多种部署方式实现数据库同步；</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无客户端模式同步由网闸主动发起并完成，不需要第三方软件支持（即无需在数据库安装任何第三方软件），支持</w:t>
            </w:r>
            <w:r>
              <w:rPr>
                <w:rFonts w:ascii="宋体" w:hAnsi="宋体" w:cs="宋体"/>
                <w:color w:val="auto"/>
                <w:kern w:val="0"/>
                <w:sz w:val="22"/>
                <w:szCs w:val="22"/>
                <w:highlight w:val="none"/>
              </w:rPr>
              <w:t>windows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linux</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unix</w:t>
            </w:r>
            <w:r>
              <w:rPr>
                <w:rFonts w:hint="eastAsia" w:ascii="宋体" w:hAnsi="宋体" w:cs="宋体"/>
                <w:color w:val="auto"/>
                <w:kern w:val="0"/>
                <w:sz w:val="22"/>
                <w:szCs w:val="22"/>
                <w:highlight w:val="none"/>
              </w:rPr>
              <w:t>等多种数据库操作系统类型。</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支持周期复制、实时复制、增量更新等多种同步方式。</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数据库访问</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支持达梦、人大金仓、神通等国产数据库访问</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MySQL</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ORCLE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SQL Server</w:t>
            </w:r>
            <w:r>
              <w:rPr>
                <w:rFonts w:hint="eastAsia" w:ascii="宋体" w:hAnsi="宋体" w:cs="宋体"/>
                <w:color w:val="auto"/>
                <w:kern w:val="0"/>
                <w:sz w:val="22"/>
                <w:szCs w:val="22"/>
                <w:highlight w:val="none"/>
              </w:rPr>
              <w:t>数据库命令控制，可对数据库</w:t>
            </w:r>
            <w:r>
              <w:rPr>
                <w:rFonts w:ascii="宋体" w:hAnsi="宋体" w:cs="宋体"/>
                <w:color w:val="auto"/>
                <w:kern w:val="0"/>
                <w:sz w:val="22"/>
                <w:szCs w:val="22"/>
                <w:highlight w:val="none"/>
              </w:rPr>
              <w:t>SQL</w:t>
            </w:r>
            <w:r>
              <w:rPr>
                <w:rFonts w:hint="eastAsia" w:ascii="宋体" w:hAnsi="宋体" w:cs="宋体"/>
                <w:color w:val="auto"/>
                <w:kern w:val="0"/>
                <w:sz w:val="22"/>
                <w:szCs w:val="22"/>
                <w:highlight w:val="none"/>
              </w:rPr>
              <w:t>语句进行过滤；</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数据库库名控制、数据库表控制，可以根据用户与数据库表对应关系，进行相应数据库操作过滤；</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安全</w:t>
            </w:r>
            <w:r>
              <w:rPr>
                <w:rFonts w:ascii="宋体" w:hAnsi="宋体" w:cs="宋体"/>
                <w:color w:val="auto"/>
                <w:kern w:val="0"/>
                <w:sz w:val="22"/>
                <w:szCs w:val="22"/>
                <w:highlight w:val="none"/>
              </w:rPr>
              <w:t>FTP</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支持透明模式、代理模式及混合模式</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ascii="宋体" w:hAnsi="宋体" w:cs="宋体"/>
                <w:color w:val="auto"/>
                <w:kern w:val="0"/>
                <w:sz w:val="22"/>
                <w:szCs w:val="22"/>
                <w:highlight w:val="none"/>
              </w:rPr>
              <w:t>FTP</w:t>
            </w:r>
            <w:r>
              <w:rPr>
                <w:rFonts w:hint="eastAsia" w:ascii="宋体" w:hAnsi="宋体" w:cs="宋体"/>
                <w:color w:val="auto"/>
                <w:kern w:val="0"/>
                <w:sz w:val="22"/>
                <w:szCs w:val="22"/>
                <w:highlight w:val="none"/>
              </w:rPr>
              <w:t>访问模块支持病毒检测功能，支持通过文件大小控制病毒查杀；</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支持传输文件扩展名过滤，同时也支持根据文件内容识别进行文件类型过滤。</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邮件访问</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SMTP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POP3</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IMAP</w:t>
            </w:r>
            <w:r>
              <w:rPr>
                <w:rFonts w:hint="eastAsia" w:ascii="宋体" w:hAnsi="宋体" w:cs="宋体"/>
                <w:color w:val="auto"/>
                <w:kern w:val="0"/>
                <w:sz w:val="22"/>
                <w:szCs w:val="22"/>
                <w:highlight w:val="none"/>
              </w:rPr>
              <w:t>等多种邮件通用协议；</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邮件模块支持病毒检测功能；支持通过文件大小控制病毒查杀；支持超长邮件限定是否接受；</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84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安全浏览</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安全浏览模块支持代理模式、透明模式两种部署方式；支持病毒检测功能，支持通过内容长度控制病毒查杀；支持图片文件、媒体文件等文件类型病毒检查；可设定病毒扫描内容最大长度。</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MIME</w:t>
            </w:r>
            <w:r>
              <w:rPr>
                <w:rFonts w:hint="eastAsia" w:ascii="宋体" w:hAnsi="宋体" w:cs="宋体"/>
                <w:color w:val="auto"/>
                <w:kern w:val="0"/>
                <w:sz w:val="22"/>
                <w:szCs w:val="22"/>
                <w:highlight w:val="none"/>
              </w:rPr>
              <w:t>类型细粒度控制，如网页中的应用程序、视频、音频、图像、文本等进行细粒度控制；支持对</w:t>
            </w:r>
            <w:r>
              <w:rPr>
                <w:rFonts w:ascii="宋体" w:hAnsi="宋体" w:cs="宋体"/>
                <w:color w:val="auto"/>
                <w:kern w:val="0"/>
                <w:sz w:val="22"/>
                <w:szCs w:val="22"/>
                <w:highlight w:val="none"/>
              </w:rPr>
              <w:t>HTML</w:t>
            </w:r>
            <w:r>
              <w:rPr>
                <w:rFonts w:hint="eastAsia" w:ascii="宋体" w:hAnsi="宋体" w:cs="宋体"/>
                <w:color w:val="auto"/>
                <w:kern w:val="0"/>
                <w:sz w:val="22"/>
                <w:szCs w:val="22"/>
                <w:highlight w:val="none"/>
              </w:rPr>
              <w:t>细粒度控制，如网页中的</w:t>
            </w:r>
            <w:r>
              <w:rPr>
                <w:rFonts w:ascii="宋体" w:hAnsi="宋体" w:cs="宋体"/>
                <w:color w:val="auto"/>
                <w:kern w:val="0"/>
                <w:sz w:val="22"/>
                <w:szCs w:val="22"/>
                <w:highlight w:val="none"/>
              </w:rPr>
              <w:t>Script</w:t>
            </w:r>
            <w:r>
              <w:rPr>
                <w:rFonts w:hint="eastAsia" w:ascii="宋体" w:hAnsi="宋体" w:cs="宋体"/>
                <w:color w:val="auto"/>
                <w:kern w:val="0"/>
                <w:sz w:val="22"/>
                <w:szCs w:val="22"/>
                <w:highlight w:val="none"/>
              </w:rPr>
              <w:t>脚本、</w:t>
            </w:r>
            <w:r>
              <w:rPr>
                <w:rFonts w:ascii="宋体" w:hAnsi="宋体" w:cs="宋体"/>
                <w:color w:val="auto"/>
                <w:kern w:val="0"/>
                <w:sz w:val="22"/>
                <w:szCs w:val="22"/>
                <w:highlight w:val="none"/>
              </w:rPr>
              <w:t>ActiveX</w:t>
            </w:r>
            <w:r>
              <w:rPr>
                <w:rFonts w:hint="eastAsia" w:ascii="宋体" w:hAnsi="宋体" w:cs="宋体"/>
                <w:color w:val="auto"/>
                <w:kern w:val="0"/>
                <w:sz w:val="22"/>
                <w:szCs w:val="22"/>
                <w:highlight w:val="none"/>
              </w:rPr>
              <w:t>脚本、</w:t>
            </w:r>
            <w:r>
              <w:rPr>
                <w:rFonts w:ascii="宋体" w:hAnsi="宋体" w:cs="宋体"/>
                <w:color w:val="auto"/>
                <w:kern w:val="0"/>
                <w:sz w:val="22"/>
                <w:szCs w:val="22"/>
                <w:highlight w:val="none"/>
              </w:rPr>
              <w:t>java applet</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cookie</w:t>
            </w:r>
            <w:r>
              <w:rPr>
                <w:rFonts w:hint="eastAsia" w:ascii="宋体" w:hAnsi="宋体" w:cs="宋体"/>
                <w:color w:val="auto"/>
                <w:kern w:val="0"/>
                <w:sz w:val="22"/>
                <w:szCs w:val="22"/>
                <w:highlight w:val="none"/>
              </w:rPr>
              <w:t>等；</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HTTP</w:t>
            </w:r>
            <w:r>
              <w:rPr>
                <w:rFonts w:hint="eastAsia" w:ascii="宋体" w:hAnsi="宋体" w:cs="宋体"/>
                <w:color w:val="auto"/>
                <w:kern w:val="0"/>
                <w:sz w:val="22"/>
                <w:szCs w:val="22"/>
                <w:highlight w:val="none"/>
              </w:rPr>
              <w:t>方法控制，如</w:t>
            </w:r>
            <w:r>
              <w:rPr>
                <w:rFonts w:ascii="宋体" w:hAnsi="宋体" w:cs="宋体"/>
                <w:color w:val="auto"/>
                <w:kern w:val="0"/>
                <w:sz w:val="22"/>
                <w:szCs w:val="22"/>
                <w:highlight w:val="none"/>
              </w:rPr>
              <w:t>POST</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GET</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HEAD</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CONNECT</w:t>
            </w:r>
            <w:r>
              <w:rPr>
                <w:rFonts w:hint="eastAsia" w:ascii="宋体" w:hAnsi="宋体" w:cs="宋体"/>
                <w:color w:val="auto"/>
                <w:kern w:val="0"/>
                <w:sz w:val="22"/>
                <w:szCs w:val="22"/>
                <w:highlight w:val="none"/>
              </w:rPr>
              <w:t>等。</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支持用户名口令认证、</w:t>
            </w:r>
            <w:r>
              <w:rPr>
                <w:rFonts w:ascii="宋体" w:hAnsi="宋体" w:cs="宋体"/>
                <w:color w:val="auto"/>
                <w:kern w:val="0"/>
                <w:sz w:val="22"/>
                <w:szCs w:val="22"/>
                <w:highlight w:val="none"/>
              </w:rPr>
              <w:t>LDAP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RADIUS</w:t>
            </w:r>
            <w:r>
              <w:rPr>
                <w:rFonts w:hint="eastAsia" w:ascii="宋体" w:hAnsi="宋体" w:cs="宋体"/>
                <w:color w:val="auto"/>
                <w:kern w:val="0"/>
                <w:sz w:val="22"/>
                <w:szCs w:val="22"/>
                <w:highlight w:val="none"/>
              </w:rPr>
              <w:t>等多种认证方式</w:t>
            </w:r>
          </w:p>
        </w:tc>
      </w:tr>
      <w:tr>
        <w:tblPrEx>
          <w:tblCellMar>
            <w:top w:w="0" w:type="dxa"/>
            <w:left w:w="108" w:type="dxa"/>
            <w:bottom w:w="0" w:type="dxa"/>
            <w:right w:w="108" w:type="dxa"/>
          </w:tblCellMar>
        </w:tblPrEx>
        <w:trPr>
          <w:trHeight w:val="312"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工控模块</w:t>
            </w:r>
          </w:p>
        </w:tc>
        <w:tc>
          <w:tcPr>
            <w:tcW w:w="763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支持工业</w:t>
            </w:r>
            <w:r>
              <w:rPr>
                <w:rFonts w:ascii="宋体" w:hAnsi="宋体" w:cs="宋体"/>
                <w:color w:val="auto"/>
                <w:kern w:val="0"/>
                <w:sz w:val="22"/>
                <w:szCs w:val="22"/>
                <w:highlight w:val="none"/>
              </w:rPr>
              <w:t>SCADA</w:t>
            </w:r>
            <w:r>
              <w:rPr>
                <w:rFonts w:hint="eastAsia" w:ascii="宋体" w:hAnsi="宋体" w:cs="宋体"/>
                <w:color w:val="auto"/>
                <w:kern w:val="0"/>
                <w:sz w:val="22"/>
                <w:szCs w:val="22"/>
                <w:highlight w:val="none"/>
              </w:rPr>
              <w:t>网络</w:t>
            </w:r>
            <w:r>
              <w:rPr>
                <w:rFonts w:ascii="宋体" w:hAnsi="宋体" w:cs="宋体"/>
                <w:color w:val="auto"/>
                <w:kern w:val="0"/>
                <w:sz w:val="22"/>
                <w:szCs w:val="22"/>
                <w:highlight w:val="none"/>
              </w:rPr>
              <w:t>OPC</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MODBUS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DNP3</w:t>
            </w:r>
            <w:r>
              <w:rPr>
                <w:rFonts w:hint="eastAsia" w:ascii="宋体" w:hAnsi="宋体" w:cs="宋体"/>
                <w:color w:val="auto"/>
                <w:kern w:val="0"/>
                <w:sz w:val="22"/>
                <w:szCs w:val="22"/>
                <w:highlight w:val="none"/>
              </w:rPr>
              <w:t>等工控协议访问；支持源地址、目的地址、关键字过滤功能；</w:t>
            </w:r>
          </w:p>
        </w:tc>
      </w:tr>
      <w:tr>
        <w:tblPrEx>
          <w:tblCellMar>
            <w:top w:w="0" w:type="dxa"/>
            <w:left w:w="108" w:type="dxa"/>
            <w:bottom w:w="0" w:type="dxa"/>
            <w:right w:w="108" w:type="dxa"/>
          </w:tblCellMar>
        </w:tblPrEx>
        <w:trPr>
          <w:trHeight w:val="312"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r>
      <w:tr>
        <w:tblPrEx>
          <w:tblCellMar>
            <w:top w:w="0" w:type="dxa"/>
            <w:left w:w="108" w:type="dxa"/>
            <w:bottom w:w="0" w:type="dxa"/>
            <w:right w:w="108" w:type="dxa"/>
          </w:tblCellMar>
        </w:tblPrEx>
        <w:trPr>
          <w:trHeight w:val="312"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定制模块</w:t>
            </w:r>
          </w:p>
        </w:tc>
        <w:tc>
          <w:tcPr>
            <w:tcW w:w="7630" w:type="dxa"/>
            <w:vMerge w:val="restart"/>
            <w:tcBorders>
              <w:top w:val="nil"/>
              <w:left w:val="single" w:color="auto" w:sz="4" w:space="0"/>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支持标准</w:t>
            </w:r>
            <w:r>
              <w:rPr>
                <w:rFonts w:ascii="宋体" w:hAnsi="宋体" w:cs="宋体"/>
                <w:color w:val="auto"/>
                <w:kern w:val="0"/>
                <w:sz w:val="22"/>
                <w:szCs w:val="22"/>
                <w:highlight w:val="none"/>
              </w:rPr>
              <w:t>TCP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UDP</w:t>
            </w:r>
            <w:r>
              <w:rPr>
                <w:rFonts w:hint="eastAsia" w:ascii="宋体" w:hAnsi="宋体" w:cs="宋体"/>
                <w:color w:val="auto"/>
                <w:kern w:val="0"/>
                <w:sz w:val="22"/>
                <w:szCs w:val="22"/>
                <w:highlight w:val="none"/>
              </w:rPr>
              <w:t>定制服务；支持源地址绑定、网络接口地址绑定功能；</w:t>
            </w:r>
          </w:p>
        </w:tc>
      </w:tr>
      <w:tr>
        <w:tblPrEx>
          <w:tblCellMar>
            <w:top w:w="0" w:type="dxa"/>
            <w:left w:w="108" w:type="dxa"/>
            <w:bottom w:w="0" w:type="dxa"/>
            <w:right w:w="108" w:type="dxa"/>
          </w:tblCellMar>
        </w:tblPrEx>
        <w:trPr>
          <w:trHeight w:val="312"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r>
      <w:tr>
        <w:tblPrEx>
          <w:tblCellMar>
            <w:top w:w="0" w:type="dxa"/>
            <w:left w:w="108" w:type="dxa"/>
            <w:bottom w:w="0" w:type="dxa"/>
            <w:right w:w="108" w:type="dxa"/>
          </w:tblCellMar>
        </w:tblPrEx>
        <w:trPr>
          <w:trHeight w:val="84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ascii="宋体" w:hAnsi="宋体" w:cs="宋体"/>
                <w:color w:val="auto"/>
                <w:kern w:val="0"/>
                <w:sz w:val="22"/>
                <w:szCs w:val="22"/>
                <w:highlight w:val="none"/>
              </w:rPr>
              <w:t>SSL</w:t>
            </w:r>
            <w:r>
              <w:rPr>
                <w:rFonts w:hint="eastAsia" w:ascii="宋体" w:hAnsi="宋体" w:cs="宋体"/>
                <w:color w:val="auto"/>
                <w:kern w:val="0"/>
                <w:sz w:val="22"/>
                <w:szCs w:val="22"/>
                <w:highlight w:val="none"/>
              </w:rPr>
              <w:t>通道</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SSL</w:t>
            </w:r>
            <w:r>
              <w:rPr>
                <w:rFonts w:hint="eastAsia" w:ascii="宋体" w:hAnsi="宋体" w:cs="宋体"/>
                <w:color w:val="auto"/>
                <w:kern w:val="0"/>
                <w:sz w:val="22"/>
                <w:szCs w:val="22"/>
                <w:highlight w:val="none"/>
              </w:rPr>
              <w:t>隧道访问模式，针对</w:t>
            </w:r>
            <w:r>
              <w:rPr>
                <w:rFonts w:ascii="宋体" w:hAnsi="宋体" w:cs="宋体"/>
                <w:color w:val="auto"/>
                <w:kern w:val="0"/>
                <w:sz w:val="22"/>
                <w:szCs w:val="22"/>
                <w:highlight w:val="none"/>
              </w:rPr>
              <w:t>FTP</w:t>
            </w:r>
            <w:r>
              <w:rPr>
                <w:rFonts w:hint="eastAsia" w:ascii="宋体" w:hAnsi="宋体" w:cs="宋体"/>
                <w:color w:val="auto"/>
                <w:kern w:val="0"/>
                <w:sz w:val="22"/>
                <w:szCs w:val="22"/>
                <w:highlight w:val="none"/>
              </w:rPr>
              <w:t>访问模块、数据库访问模块、邮件访问、定制模块等模块，通过网闸实现访问客户端认证、授权及访问链路加密，保证客户端访问合法性及访问链路的安全性。认证方式支持用户名口令认证及证书认证。</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双机负载</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热备检测通讯接口可以设置为</w:t>
            </w:r>
            <w:r>
              <w:rPr>
                <w:rFonts w:ascii="宋体" w:hAnsi="宋体" w:cs="宋体"/>
                <w:color w:val="auto"/>
                <w:kern w:val="0"/>
                <w:sz w:val="22"/>
                <w:szCs w:val="22"/>
                <w:highlight w:val="none"/>
              </w:rPr>
              <w:t>HA</w:t>
            </w:r>
            <w:r>
              <w:rPr>
                <w:rFonts w:hint="eastAsia" w:ascii="宋体" w:hAnsi="宋体" w:cs="宋体"/>
                <w:color w:val="auto"/>
                <w:kern w:val="0"/>
                <w:sz w:val="22"/>
                <w:szCs w:val="22"/>
                <w:highlight w:val="none"/>
              </w:rPr>
              <w:t>接口、网络接口等（非第三方软件实现）</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ping</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connect</w:t>
            </w:r>
            <w:r>
              <w:rPr>
                <w:rFonts w:hint="eastAsia" w:ascii="宋体" w:hAnsi="宋体" w:cs="宋体"/>
                <w:color w:val="auto"/>
                <w:kern w:val="0"/>
                <w:sz w:val="22"/>
                <w:szCs w:val="22"/>
                <w:highlight w:val="none"/>
              </w:rPr>
              <w:t>等多种主动链路探测，发现异常便实现主备切换</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支持双机配置同步功能，可将主闸配置主动同步到备闸，方便配置管理</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安全防护</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支持双引擎病毒模块，可根据用户需求选择需要的病毒引擎；</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支持在线升级、离线升级等病毒库升级方式。可针对文件交换、安全浏览、</w:t>
            </w:r>
            <w:r>
              <w:rPr>
                <w:rFonts w:ascii="宋体" w:hAnsi="宋体" w:cs="宋体"/>
                <w:color w:val="auto"/>
                <w:kern w:val="0"/>
                <w:sz w:val="22"/>
                <w:szCs w:val="22"/>
                <w:highlight w:val="none"/>
              </w:rPr>
              <w:t>FTP</w:t>
            </w:r>
            <w:r>
              <w:rPr>
                <w:rFonts w:hint="eastAsia" w:ascii="宋体" w:hAnsi="宋体" w:cs="宋体"/>
                <w:color w:val="auto"/>
                <w:kern w:val="0"/>
                <w:sz w:val="22"/>
                <w:szCs w:val="22"/>
                <w:highlight w:val="none"/>
              </w:rPr>
              <w:t>访问、邮件访问等多种模块进行病毒防护；</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支持弱口令防护功能，针对网闸隔离保护的服务器，防止暴力破解密码；</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厂商资质要求</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具有《计算机信息系统安全专用产品销售许可证》，提供加盖厂商公章的复印件。</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参与《军用网络安全隔离交换产品通用要求》标准编制，提供相关证明材料，并提供加盖</w:t>
            </w:r>
            <w:r>
              <w:rPr>
                <w:rFonts w:hint="eastAsia" w:ascii="宋体" w:hAnsi="宋体" w:cs="宋体"/>
                <w:color w:val="auto"/>
                <w:kern w:val="0"/>
                <w:sz w:val="20"/>
                <w:szCs w:val="20"/>
                <w:highlight w:val="none"/>
              </w:rPr>
              <w:t>厂商公章的复印件</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cs="宋体"/>
                <w:color w:val="auto"/>
                <w:kern w:val="0"/>
                <w:sz w:val="22"/>
                <w:szCs w:val="22"/>
                <w:highlight w:val="none"/>
              </w:rPr>
              <w:t>服务要求</w:t>
            </w:r>
          </w:p>
        </w:tc>
        <w:tc>
          <w:tcPr>
            <w:tcW w:w="7630" w:type="dxa"/>
            <w:tcBorders>
              <w:top w:val="nil"/>
              <w:left w:val="nil"/>
              <w:bottom w:val="single" w:color="auto" w:sz="4" w:space="0"/>
              <w:right w:val="single" w:color="auto" w:sz="4" w:space="0"/>
            </w:tcBorders>
            <w:vAlign w:val="center"/>
          </w:tcPr>
          <w:p>
            <w:pPr>
              <w:pStyle w:val="2"/>
              <w:rPr>
                <w:rFonts w:ascii="宋体" w:eastAsia="宋体" w:cs="Times New Roman"/>
                <w:color w:val="auto"/>
                <w:sz w:val="22"/>
                <w:szCs w:val="22"/>
                <w:highlight w:val="none"/>
              </w:rPr>
            </w:pPr>
            <w:r>
              <w:rPr>
                <w:rFonts w:hint="eastAsia"/>
                <w:color w:val="auto"/>
                <w:sz w:val="18"/>
                <w:szCs w:val="18"/>
                <w:highlight w:val="none"/>
              </w:rPr>
              <w:t>提供原厂商针对本项目三年原厂售后服务承诺函（原件），并加盖设备原生产厂商公章。</w:t>
            </w:r>
            <w:r>
              <w:rPr>
                <w:color w:val="auto"/>
                <w:sz w:val="18"/>
                <w:szCs w:val="18"/>
                <w:highlight w:val="none"/>
              </w:rPr>
              <w:t xml:space="preserve"> </w:t>
            </w:r>
            <w:r>
              <w:rPr>
                <w:rFonts w:hint="eastAsia" w:ascii="宋体" w:hAnsi="宋体"/>
                <w:color w:val="auto"/>
                <w:sz w:val="18"/>
                <w:szCs w:val="18"/>
                <w:highlight w:val="none"/>
              </w:rPr>
              <w:t>三年内软硬件质保及软件和特征库等的免费升级，厂家工程师定期巡检等服务。</w:t>
            </w:r>
          </w:p>
        </w:tc>
      </w:tr>
      <w:tr>
        <w:tblPrEx>
          <w:tblCellMar>
            <w:top w:w="0" w:type="dxa"/>
            <w:left w:w="108" w:type="dxa"/>
            <w:bottom w:w="0" w:type="dxa"/>
            <w:right w:w="108" w:type="dxa"/>
          </w:tblCellMar>
        </w:tblPrEx>
        <w:trPr>
          <w:trHeight w:val="310" w:hRule="atLeast"/>
          <w:jc w:val="center"/>
        </w:trPr>
        <w:tc>
          <w:tcPr>
            <w:tcW w:w="898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等线" w:hAnsi="等线" w:eastAsia="等线" w:cs="Times New Roman"/>
                <w:color w:val="auto"/>
                <w:kern w:val="0"/>
                <w:sz w:val="24"/>
                <w:szCs w:val="24"/>
                <w:highlight w:val="none"/>
              </w:rPr>
            </w:pPr>
            <w:r>
              <w:rPr>
                <w:rFonts w:hint="eastAsia" w:ascii="等线" w:hAnsi="等线" w:eastAsia="等线" w:cs="等线"/>
                <w:color w:val="auto"/>
                <w:kern w:val="0"/>
                <w:sz w:val="24"/>
                <w:szCs w:val="24"/>
                <w:highlight w:val="none"/>
              </w:rPr>
              <w:t>防火墙</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技术指标</w:t>
            </w:r>
          </w:p>
        </w:tc>
        <w:tc>
          <w:tcPr>
            <w:tcW w:w="7630" w:type="dxa"/>
            <w:tcBorders>
              <w:top w:val="nil"/>
              <w:left w:val="nil"/>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指标要求</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硬件规格</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多核</w:t>
            </w:r>
            <w:r>
              <w:rPr>
                <w:rFonts w:ascii="宋体" w:hAnsi="宋体" w:cs="宋体"/>
                <w:color w:val="auto"/>
                <w:kern w:val="0"/>
                <w:sz w:val="22"/>
                <w:szCs w:val="22"/>
                <w:highlight w:val="none"/>
              </w:rPr>
              <w:t>AMP+</w:t>
            </w:r>
            <w:r>
              <w:rPr>
                <w:rFonts w:hint="eastAsia" w:ascii="宋体" w:hAnsi="宋体" w:cs="宋体"/>
                <w:color w:val="auto"/>
                <w:kern w:val="0"/>
                <w:sz w:val="22"/>
                <w:szCs w:val="22"/>
                <w:highlight w:val="none"/>
              </w:rPr>
              <w:t>架构，并发连接≥</w:t>
            </w:r>
            <w:r>
              <w:rPr>
                <w:rFonts w:ascii="宋体" w:hAnsi="宋体" w:cs="宋体"/>
                <w:color w:val="auto"/>
                <w:kern w:val="0"/>
                <w:sz w:val="22"/>
                <w:szCs w:val="22"/>
                <w:highlight w:val="none"/>
              </w:rPr>
              <w:t>180</w:t>
            </w:r>
            <w:r>
              <w:rPr>
                <w:rFonts w:hint="eastAsia" w:ascii="宋体" w:hAnsi="宋体" w:cs="宋体"/>
                <w:color w:val="auto"/>
                <w:kern w:val="0"/>
                <w:sz w:val="22"/>
                <w:szCs w:val="22"/>
                <w:highlight w:val="none"/>
              </w:rPr>
              <w:t>万，每秒新建连接</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万</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秒，</w:t>
            </w:r>
            <w:r>
              <w:rPr>
                <w:rFonts w:ascii="宋体" w:hAnsi="宋体" w:cs="宋体"/>
                <w:color w:val="auto"/>
                <w:kern w:val="0"/>
                <w:sz w:val="22"/>
                <w:szCs w:val="22"/>
                <w:highlight w:val="none"/>
              </w:rPr>
              <w:t>1U</w:t>
            </w:r>
            <w:r>
              <w:rPr>
                <w:rFonts w:hint="eastAsia" w:ascii="宋体" w:hAnsi="宋体" w:cs="宋体"/>
                <w:color w:val="auto"/>
                <w:kern w:val="0"/>
                <w:sz w:val="22"/>
                <w:szCs w:val="22"/>
                <w:highlight w:val="none"/>
              </w:rPr>
              <w:t>机箱，单电源，配置≥</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10/100/1000M</w:t>
            </w:r>
            <w:r>
              <w:rPr>
                <w:rFonts w:hint="eastAsia" w:ascii="宋体" w:hAnsi="宋体" w:cs="宋体"/>
                <w:color w:val="auto"/>
                <w:kern w:val="0"/>
                <w:sz w:val="22"/>
                <w:szCs w:val="22"/>
                <w:highlight w:val="none"/>
              </w:rPr>
              <w:t>自适应电口，≥</w:t>
            </w: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SFP</w:t>
            </w:r>
            <w:r>
              <w:rPr>
                <w:rFonts w:hint="eastAsia" w:ascii="宋体" w:hAnsi="宋体" w:cs="宋体"/>
                <w:color w:val="auto"/>
                <w:kern w:val="0"/>
                <w:sz w:val="22"/>
                <w:szCs w:val="22"/>
                <w:highlight w:val="none"/>
              </w:rPr>
              <w:t>插槽，</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Console</w:t>
            </w:r>
            <w:r>
              <w:rPr>
                <w:rFonts w:hint="eastAsia" w:ascii="宋体" w:hAnsi="宋体" w:cs="宋体"/>
                <w:color w:val="auto"/>
                <w:kern w:val="0"/>
                <w:sz w:val="22"/>
                <w:szCs w:val="22"/>
                <w:highlight w:val="none"/>
              </w:rPr>
              <w:t>口</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性能要求</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网络层吞吐量≥</w:t>
            </w:r>
            <w:r>
              <w:rPr>
                <w:rFonts w:ascii="宋体" w:hAnsi="宋体" w:cs="宋体"/>
                <w:color w:val="auto"/>
                <w:kern w:val="0"/>
                <w:sz w:val="22"/>
                <w:szCs w:val="22"/>
                <w:highlight w:val="none"/>
              </w:rPr>
              <w:t>6Gbps</w:t>
            </w:r>
            <w:r>
              <w:rPr>
                <w:rFonts w:hint="eastAsia" w:ascii="宋体" w:hAnsi="宋体" w:cs="宋体"/>
                <w:color w:val="auto"/>
                <w:kern w:val="0"/>
                <w:sz w:val="22"/>
                <w:szCs w:val="22"/>
                <w:highlight w:val="none"/>
              </w:rPr>
              <w:t>，最大并发连接数≥</w:t>
            </w:r>
            <w:r>
              <w:rPr>
                <w:rFonts w:ascii="宋体" w:hAnsi="宋体" w:cs="宋体"/>
                <w:color w:val="auto"/>
                <w:kern w:val="0"/>
                <w:sz w:val="22"/>
                <w:szCs w:val="22"/>
                <w:highlight w:val="none"/>
              </w:rPr>
              <w:t>180</w:t>
            </w:r>
            <w:r>
              <w:rPr>
                <w:rFonts w:hint="eastAsia" w:ascii="宋体" w:hAnsi="宋体" w:cs="宋体"/>
                <w:color w:val="auto"/>
                <w:kern w:val="0"/>
                <w:sz w:val="22"/>
                <w:szCs w:val="22"/>
                <w:highlight w:val="none"/>
              </w:rPr>
              <w:t>万条，每秒新建连接数≥</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万条。</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基础组网</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产品支持路由、透明、交换以及混合模式接入，满足复杂应用环境的接入需求。支持旁路模式。</w:t>
            </w:r>
          </w:p>
        </w:tc>
      </w:tr>
      <w:tr>
        <w:tblPrEx>
          <w:tblCellMar>
            <w:top w:w="0" w:type="dxa"/>
            <w:left w:w="108" w:type="dxa"/>
            <w:bottom w:w="0" w:type="dxa"/>
            <w:right w:w="108" w:type="dxa"/>
          </w:tblCellMar>
        </w:tblPrEx>
        <w:trPr>
          <w:trHeight w:val="35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支持通过</w:t>
            </w:r>
            <w:r>
              <w:rPr>
                <w:rFonts w:ascii="宋体" w:hAnsi="宋体" w:cs="宋体"/>
                <w:color w:val="auto"/>
                <w:kern w:val="0"/>
                <w:sz w:val="22"/>
                <w:szCs w:val="22"/>
                <w:highlight w:val="none"/>
              </w:rPr>
              <w:t>802.3ad</w:t>
            </w:r>
            <w:r>
              <w:rPr>
                <w:rFonts w:hint="eastAsia" w:ascii="宋体" w:hAnsi="宋体" w:cs="宋体"/>
                <w:color w:val="auto"/>
                <w:kern w:val="0"/>
                <w:sz w:val="22"/>
                <w:szCs w:val="22"/>
                <w:highlight w:val="none"/>
              </w:rPr>
              <w:t>协议、轮询、热备等方式将多个物理口绑定为一个逻辑接口，实现接口级的冗余，并可根据：源目的</w:t>
            </w:r>
            <w:r>
              <w:rPr>
                <w:rFonts w:ascii="宋体" w:hAnsi="宋体" w:cs="宋体"/>
                <w:color w:val="auto"/>
                <w:kern w:val="0"/>
                <w:sz w:val="22"/>
                <w:szCs w:val="22"/>
                <w:highlight w:val="none"/>
              </w:rPr>
              <w:t>MAC</w:t>
            </w:r>
            <w:r>
              <w:rPr>
                <w:rFonts w:hint="eastAsia" w:ascii="宋体" w:hAnsi="宋体" w:cs="宋体"/>
                <w:color w:val="auto"/>
                <w:kern w:val="0"/>
                <w:sz w:val="22"/>
                <w:szCs w:val="22"/>
                <w:highlight w:val="none"/>
              </w:rPr>
              <w:t>组合、</w:t>
            </w:r>
            <w:r>
              <w:rPr>
                <w:rFonts w:ascii="宋体" w:hAnsi="宋体" w:cs="宋体"/>
                <w:color w:val="auto"/>
                <w:kern w:val="0"/>
                <w:sz w:val="22"/>
                <w:szCs w:val="22"/>
                <w:highlight w:val="none"/>
              </w:rPr>
              <w:t>MAC</w:t>
            </w:r>
            <w:r>
              <w:rPr>
                <w:rFonts w:hint="eastAsia" w:ascii="宋体" w:hAnsi="宋体" w:cs="宋体"/>
                <w:color w:val="auto"/>
                <w:kern w:val="0"/>
                <w:sz w:val="22"/>
                <w:szCs w:val="22"/>
                <w:highlight w:val="none"/>
              </w:rPr>
              <w:t>和</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组合或</w:t>
            </w:r>
            <w:r>
              <w:rPr>
                <w:rFonts w:ascii="宋体" w:hAnsi="宋体" w:cs="宋体"/>
                <w:color w:val="auto"/>
                <w:kern w:val="0"/>
                <w:sz w:val="22"/>
                <w:szCs w:val="22"/>
                <w:highlight w:val="none"/>
              </w:rPr>
              <w:t>TCP/UDP</w:t>
            </w:r>
            <w:r>
              <w:rPr>
                <w:rFonts w:hint="eastAsia" w:ascii="宋体" w:hAnsi="宋体" w:cs="宋体"/>
                <w:color w:val="auto"/>
                <w:kern w:val="0"/>
                <w:sz w:val="22"/>
                <w:szCs w:val="22"/>
                <w:highlight w:val="none"/>
              </w:rPr>
              <w:t>端口组合等方式实现负载和备份</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支持静态路由、策略路由及动态路由。策略路由支持用户自定义其优先级，动态路由应至少支持</w:t>
            </w:r>
            <w:r>
              <w:rPr>
                <w:rFonts w:ascii="宋体" w:hAnsi="宋体" w:cs="宋体"/>
                <w:color w:val="auto"/>
                <w:kern w:val="0"/>
                <w:sz w:val="22"/>
                <w:szCs w:val="22"/>
                <w:highlight w:val="none"/>
              </w:rPr>
              <w:t>RIP v1/v2/ng</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OSPFv2/v3</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BGP4/4+</w:t>
            </w:r>
            <w:r>
              <w:rPr>
                <w:rFonts w:hint="eastAsia" w:ascii="宋体" w:hAnsi="宋体" w:cs="宋体"/>
                <w:color w:val="auto"/>
                <w:kern w:val="0"/>
                <w:sz w:val="22"/>
                <w:szCs w:val="22"/>
                <w:highlight w:val="none"/>
              </w:rPr>
              <w:t>协议。</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支持全面的</w:t>
            </w:r>
            <w:r>
              <w:rPr>
                <w:rFonts w:ascii="宋体" w:hAnsi="宋体" w:cs="宋体"/>
                <w:color w:val="auto"/>
                <w:kern w:val="0"/>
                <w:sz w:val="22"/>
                <w:szCs w:val="22"/>
                <w:highlight w:val="none"/>
              </w:rPr>
              <w:t>NAT</w:t>
            </w:r>
            <w:r>
              <w:rPr>
                <w:rFonts w:hint="eastAsia" w:ascii="宋体" w:hAnsi="宋体" w:cs="宋体"/>
                <w:color w:val="auto"/>
                <w:kern w:val="0"/>
                <w:sz w:val="22"/>
                <w:szCs w:val="22"/>
                <w:highlight w:val="none"/>
              </w:rPr>
              <w:t>转换配置，包括一对一，一对多，多对一的源、目的地址转换，并至少支持</w:t>
            </w:r>
            <w:r>
              <w:rPr>
                <w:rFonts w:ascii="宋体" w:hAnsi="宋体" w:cs="宋体"/>
                <w:color w:val="auto"/>
                <w:kern w:val="0"/>
                <w:sz w:val="22"/>
                <w:szCs w:val="22"/>
                <w:highlight w:val="none"/>
              </w:rPr>
              <w:t>FULL_CONE</w:t>
            </w:r>
            <w:r>
              <w:rPr>
                <w:rFonts w:hint="eastAsia" w:ascii="宋体" w:hAnsi="宋体" w:cs="宋体"/>
                <w:color w:val="auto"/>
                <w:kern w:val="0"/>
                <w:sz w:val="22"/>
                <w:szCs w:val="22"/>
                <w:highlight w:val="none"/>
              </w:rPr>
              <w:t>和</w:t>
            </w:r>
            <w:r>
              <w:rPr>
                <w:rFonts w:ascii="宋体" w:hAnsi="宋体" w:cs="宋体"/>
                <w:color w:val="auto"/>
                <w:kern w:val="0"/>
                <w:sz w:val="22"/>
                <w:szCs w:val="22"/>
                <w:highlight w:val="none"/>
              </w:rPr>
              <w:t>SYMMETRIC</w:t>
            </w:r>
            <w:r>
              <w:rPr>
                <w:rFonts w:hint="eastAsia" w:ascii="宋体" w:hAnsi="宋体" w:cs="宋体"/>
                <w:color w:val="auto"/>
                <w:kern w:val="0"/>
                <w:sz w:val="22"/>
                <w:szCs w:val="22"/>
                <w:highlight w:val="none"/>
              </w:rPr>
              <w:t>模式。</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设备接口支持配置</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地址，并可使用</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地址管理设备。</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下静态路由及策略路由、动态路由，动态路由应包括</w:t>
            </w:r>
            <w:r>
              <w:rPr>
                <w:rFonts w:ascii="宋体" w:hAnsi="宋体" w:cs="宋体"/>
                <w:color w:val="auto"/>
                <w:kern w:val="0"/>
                <w:sz w:val="22"/>
                <w:szCs w:val="22"/>
                <w:highlight w:val="none"/>
              </w:rPr>
              <w:t>RIPng</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OSPFv3</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BGP4+</w:t>
            </w:r>
            <w:r>
              <w:rPr>
                <w:rFonts w:hint="eastAsia" w:ascii="宋体" w:hAnsi="宋体" w:cs="宋体"/>
                <w:color w:val="auto"/>
                <w:kern w:val="0"/>
                <w:sz w:val="22"/>
                <w:szCs w:val="22"/>
                <w:highlight w:val="none"/>
              </w:rPr>
              <w:t>。</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IPv4</w:t>
            </w:r>
            <w:r>
              <w:rPr>
                <w:rFonts w:hint="eastAsia" w:ascii="宋体" w:hAnsi="宋体" w:cs="宋体"/>
                <w:color w:val="auto"/>
                <w:kern w:val="0"/>
                <w:sz w:val="22"/>
                <w:szCs w:val="22"/>
                <w:highlight w:val="none"/>
              </w:rPr>
              <w:t>的</w:t>
            </w:r>
            <w:r>
              <w:rPr>
                <w:rFonts w:ascii="宋体" w:hAnsi="宋体" w:cs="宋体"/>
                <w:color w:val="auto"/>
                <w:kern w:val="0"/>
                <w:sz w:val="22"/>
                <w:szCs w:val="22"/>
                <w:highlight w:val="none"/>
              </w:rPr>
              <w:t>DNS</w:t>
            </w:r>
            <w:r>
              <w:rPr>
                <w:rFonts w:hint="eastAsia" w:ascii="宋体" w:hAnsi="宋体" w:cs="宋体"/>
                <w:color w:val="auto"/>
                <w:kern w:val="0"/>
                <w:sz w:val="22"/>
                <w:szCs w:val="22"/>
                <w:highlight w:val="none"/>
              </w:rPr>
              <w:t>代理功能，即从指定的入接口或源</w:t>
            </w:r>
            <w:r>
              <w:rPr>
                <w:rFonts w:ascii="宋体" w:hAnsi="宋体" w:cs="宋体"/>
                <w:color w:val="auto"/>
                <w:kern w:val="0"/>
                <w:sz w:val="22"/>
                <w:szCs w:val="22"/>
                <w:highlight w:val="none"/>
              </w:rPr>
              <w:t>ISP</w:t>
            </w:r>
            <w:r>
              <w:rPr>
                <w:rFonts w:hint="eastAsia" w:ascii="宋体" w:hAnsi="宋体" w:cs="宋体"/>
                <w:color w:val="auto"/>
                <w:kern w:val="0"/>
                <w:sz w:val="22"/>
                <w:szCs w:val="22"/>
                <w:highlight w:val="none"/>
              </w:rPr>
              <w:t>接收到的</w:t>
            </w:r>
            <w:r>
              <w:rPr>
                <w:rFonts w:ascii="宋体" w:hAnsi="宋体" w:cs="宋体"/>
                <w:color w:val="auto"/>
                <w:kern w:val="0"/>
                <w:sz w:val="22"/>
                <w:szCs w:val="22"/>
                <w:highlight w:val="none"/>
              </w:rPr>
              <w:t>DNS</w:t>
            </w:r>
            <w:r>
              <w:rPr>
                <w:rFonts w:hint="eastAsia" w:ascii="宋体" w:hAnsi="宋体" w:cs="宋体"/>
                <w:color w:val="auto"/>
                <w:kern w:val="0"/>
                <w:sz w:val="22"/>
                <w:szCs w:val="22"/>
                <w:highlight w:val="none"/>
              </w:rPr>
              <w:t>解析请求，设备可根据自定义的</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、域名对应关系，代理</w:t>
            </w:r>
            <w:r>
              <w:rPr>
                <w:rFonts w:ascii="宋体" w:hAnsi="宋体" w:cs="宋体"/>
                <w:color w:val="auto"/>
                <w:kern w:val="0"/>
                <w:sz w:val="22"/>
                <w:szCs w:val="22"/>
                <w:highlight w:val="none"/>
              </w:rPr>
              <w:t>DNS</w:t>
            </w:r>
            <w:r>
              <w:rPr>
                <w:rFonts w:hint="eastAsia" w:ascii="宋体" w:hAnsi="宋体" w:cs="宋体"/>
                <w:color w:val="auto"/>
                <w:kern w:val="0"/>
                <w:sz w:val="22"/>
                <w:szCs w:val="22"/>
                <w:highlight w:val="none"/>
              </w:rPr>
              <w:t>服务器返回查询结果。</w:t>
            </w:r>
          </w:p>
        </w:tc>
      </w:tr>
      <w:tr>
        <w:tblPrEx>
          <w:tblCellMar>
            <w:top w:w="0" w:type="dxa"/>
            <w:left w:w="108" w:type="dxa"/>
            <w:bottom w:w="0" w:type="dxa"/>
            <w:right w:w="108" w:type="dxa"/>
          </w:tblCellMar>
        </w:tblPrEx>
        <w:trPr>
          <w:trHeight w:val="112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策略的路由负载，支持根据应用和服务进行智能选路，可基于权重做路由负载均衡，支持源地址目的地址哈希、源地址哈希、轮询、时延负载、备份、随机、流量均衡、源地址轮询、目的地址哈希、最优链路带宽负载、最优链路带宽备份、跳数负载等不少于</w:t>
            </w:r>
            <w:r>
              <w:rPr>
                <w:rFonts w:ascii="宋体" w:hAnsi="宋体" w:cs="宋体"/>
                <w:color w:val="auto"/>
                <w:kern w:val="0"/>
                <w:sz w:val="22"/>
                <w:szCs w:val="22"/>
                <w:highlight w:val="none"/>
              </w:rPr>
              <w:t>12</w:t>
            </w:r>
            <w:r>
              <w:rPr>
                <w:rFonts w:hint="eastAsia" w:ascii="宋体" w:hAnsi="宋体" w:cs="宋体"/>
                <w:color w:val="auto"/>
                <w:kern w:val="0"/>
                <w:sz w:val="22"/>
                <w:szCs w:val="22"/>
                <w:highlight w:val="none"/>
              </w:rPr>
              <w:t>种路由负载均衡方式。</w:t>
            </w:r>
          </w:p>
        </w:tc>
      </w:tr>
      <w:tr>
        <w:tblPrEx>
          <w:tblCellMar>
            <w:top w:w="0" w:type="dxa"/>
            <w:left w:w="108" w:type="dxa"/>
            <w:bottom w:w="0" w:type="dxa"/>
            <w:right w:w="108" w:type="dxa"/>
          </w:tblCellMar>
        </w:tblPrEx>
        <w:trPr>
          <w:trHeight w:val="112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ISP</w:t>
            </w:r>
            <w:r>
              <w:rPr>
                <w:rFonts w:hint="eastAsia" w:ascii="宋体" w:hAnsi="宋体" w:cs="宋体"/>
                <w:color w:val="auto"/>
                <w:kern w:val="0"/>
                <w:sz w:val="22"/>
                <w:szCs w:val="22"/>
                <w:highlight w:val="none"/>
              </w:rPr>
              <w:t>路由负载均衡，最大可支持</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条链路负载，支持自定义负载权重，支持基于优先级的</w:t>
            </w:r>
            <w:r>
              <w:rPr>
                <w:rFonts w:ascii="宋体" w:hAnsi="宋体" w:cs="宋体"/>
                <w:color w:val="auto"/>
                <w:kern w:val="0"/>
                <w:sz w:val="22"/>
                <w:szCs w:val="22"/>
                <w:highlight w:val="none"/>
              </w:rPr>
              <w:t>ISP</w:t>
            </w:r>
            <w:r>
              <w:rPr>
                <w:rFonts w:hint="eastAsia" w:ascii="宋体" w:hAnsi="宋体" w:cs="宋体"/>
                <w:color w:val="auto"/>
                <w:kern w:val="0"/>
                <w:sz w:val="22"/>
                <w:szCs w:val="22"/>
                <w:highlight w:val="none"/>
              </w:rPr>
              <w:t>路由链路备份；支持基于</w:t>
            </w:r>
            <w:r>
              <w:rPr>
                <w:rFonts w:ascii="宋体" w:hAnsi="宋体" w:cs="宋体"/>
                <w:color w:val="auto"/>
                <w:kern w:val="0"/>
                <w:sz w:val="22"/>
                <w:szCs w:val="22"/>
                <w:highlight w:val="none"/>
              </w:rPr>
              <w:t>IPv4</w:t>
            </w:r>
            <w:r>
              <w:rPr>
                <w:rFonts w:hint="eastAsia" w:ascii="宋体" w:hAnsi="宋体" w:cs="宋体"/>
                <w:color w:val="auto"/>
                <w:kern w:val="0"/>
                <w:sz w:val="22"/>
                <w:szCs w:val="22"/>
                <w:highlight w:val="none"/>
              </w:rPr>
              <w:t>或</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的</w:t>
            </w:r>
            <w:r>
              <w:rPr>
                <w:rFonts w:ascii="宋体" w:hAnsi="宋体" w:cs="宋体"/>
                <w:color w:val="auto"/>
                <w:kern w:val="0"/>
                <w:sz w:val="22"/>
                <w:szCs w:val="22"/>
                <w:highlight w:val="none"/>
              </w:rPr>
              <w:t>TCP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HTTP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HTTPS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DNS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ICMP</w:t>
            </w:r>
            <w:r>
              <w:rPr>
                <w:rFonts w:hint="eastAsia" w:ascii="宋体" w:hAnsi="宋体" w:cs="宋体"/>
                <w:color w:val="auto"/>
                <w:kern w:val="0"/>
                <w:sz w:val="22"/>
                <w:szCs w:val="22"/>
                <w:highlight w:val="none"/>
              </w:rPr>
              <w:t>等方式的链路探测，同时</w:t>
            </w:r>
            <w:r>
              <w:rPr>
                <w:rFonts w:ascii="宋体" w:hAnsi="宋体" w:cs="宋体"/>
                <w:color w:val="auto"/>
                <w:kern w:val="0"/>
                <w:sz w:val="22"/>
                <w:szCs w:val="22"/>
                <w:highlight w:val="none"/>
              </w:rPr>
              <w:t>TCP</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HTTP</w:t>
            </w:r>
            <w:r>
              <w:rPr>
                <w:rFonts w:hint="eastAsia" w:ascii="宋体" w:hAnsi="宋体" w:cs="宋体"/>
                <w:color w:val="auto"/>
                <w:kern w:val="0"/>
                <w:sz w:val="22"/>
                <w:szCs w:val="22"/>
                <w:highlight w:val="none"/>
              </w:rPr>
              <w:t>可使用自定义目标端口进行测试。</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支持配置虚拟系统接口，在不占用物理网口的情况下实现虚拟系统之间的相互连接、访问；</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支持在虚拟系统内独立配置病毒防护、漏洞利用防护、间谍软件防护、</w:t>
            </w:r>
            <w:r>
              <w:rPr>
                <w:rFonts w:ascii="宋体" w:hAnsi="宋体" w:cs="宋体"/>
                <w:color w:val="auto"/>
                <w:kern w:val="0"/>
                <w:sz w:val="22"/>
                <w:szCs w:val="22"/>
                <w:highlight w:val="none"/>
              </w:rPr>
              <w:t>URL</w:t>
            </w:r>
            <w:r>
              <w:rPr>
                <w:rFonts w:hint="eastAsia" w:ascii="宋体" w:hAnsi="宋体" w:cs="宋体"/>
                <w:color w:val="auto"/>
                <w:kern w:val="0"/>
                <w:sz w:val="22"/>
                <w:szCs w:val="22"/>
                <w:highlight w:val="none"/>
              </w:rPr>
              <w:t>过滤、文件过滤、内容过滤、邮件过滤、行为管控等安全功能。并可支持对本虚系统内产生的日志进行独立审计；</w:t>
            </w:r>
          </w:p>
        </w:tc>
      </w:tr>
      <w:tr>
        <w:tblPrEx>
          <w:tblCellMar>
            <w:top w:w="0" w:type="dxa"/>
            <w:left w:w="108" w:type="dxa"/>
            <w:bottom w:w="0" w:type="dxa"/>
            <w:right w:w="108" w:type="dxa"/>
          </w:tblCellMar>
        </w:tblPrEx>
        <w:trPr>
          <w:trHeight w:val="84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访问控制</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支持基于源安全域、目的安全域、源用户、源地址</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地区、目的地址</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地区、服务、应用、隧道、时间、</w:t>
            </w:r>
            <w:r>
              <w:rPr>
                <w:rFonts w:ascii="宋体" w:hAnsi="宋体" w:cs="宋体"/>
                <w:color w:val="auto"/>
                <w:kern w:val="0"/>
                <w:sz w:val="22"/>
                <w:szCs w:val="22"/>
                <w:highlight w:val="none"/>
              </w:rPr>
              <w:t>VLAN</w:t>
            </w:r>
            <w:r>
              <w:rPr>
                <w:rFonts w:hint="eastAsia" w:ascii="宋体" w:hAnsi="宋体" w:cs="宋体"/>
                <w:color w:val="auto"/>
                <w:kern w:val="0"/>
                <w:sz w:val="22"/>
                <w:szCs w:val="22"/>
                <w:highlight w:val="none"/>
              </w:rPr>
              <w:t>等多种方式进行访问控制，并支持地理区域对象的导入以及重复策略的检查。</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支持多调度类相互嵌套最大</w:t>
            </w:r>
            <w:r>
              <w:rPr>
                <w:rFonts w:ascii="宋体" w:hAnsi="宋体" w:cs="宋体"/>
                <w:color w:val="auto"/>
                <w:kern w:val="0"/>
                <w:sz w:val="22"/>
                <w:szCs w:val="22"/>
                <w:highlight w:val="none"/>
              </w:rPr>
              <w:t>5</w:t>
            </w:r>
            <w:r>
              <w:rPr>
                <w:rFonts w:hint="eastAsia" w:ascii="宋体" w:hAnsi="宋体" w:cs="宋体"/>
                <w:color w:val="auto"/>
                <w:kern w:val="0"/>
                <w:sz w:val="22"/>
                <w:szCs w:val="22"/>
                <w:highlight w:val="none"/>
              </w:rPr>
              <w:t>级的带宽管理设置。支持设置每</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最大或最小带宽，支持对每</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进行带宽配额管理，可通过优先级实现多应用的差分服务，并支持对剩余带宽进行基于优先级的动态分配。。</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支持对应用的文件传输行为进行上传、下载、双向的文件类型过滤，应用至少包含即时通讯、常用协议、文件共享、论坛、博客、网盘、</w:t>
            </w:r>
            <w:r>
              <w:rPr>
                <w:rFonts w:ascii="宋体" w:hAnsi="宋体" w:cs="宋体"/>
                <w:color w:val="auto"/>
                <w:kern w:val="0"/>
                <w:sz w:val="22"/>
                <w:szCs w:val="22"/>
                <w:highlight w:val="none"/>
              </w:rPr>
              <w:t>P2P</w:t>
            </w:r>
            <w:r>
              <w:rPr>
                <w:rFonts w:hint="eastAsia" w:ascii="宋体" w:hAnsi="宋体" w:cs="宋体"/>
                <w:color w:val="auto"/>
                <w:kern w:val="0"/>
                <w:sz w:val="22"/>
                <w:szCs w:val="22"/>
                <w:highlight w:val="none"/>
              </w:rPr>
              <w:t>、网页邮件等多种分类；。</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支持基于用户的访问控制，可与</w:t>
            </w:r>
            <w:r>
              <w:rPr>
                <w:rFonts w:ascii="宋体" w:hAnsi="宋体" w:cs="宋体"/>
                <w:color w:val="auto"/>
                <w:kern w:val="0"/>
                <w:sz w:val="22"/>
                <w:szCs w:val="22"/>
                <w:highlight w:val="none"/>
              </w:rPr>
              <w:t>LDAP/Radius/</w:t>
            </w:r>
            <w:r>
              <w:rPr>
                <w:rFonts w:hint="eastAsia" w:ascii="宋体" w:hAnsi="宋体" w:cs="宋体"/>
                <w:color w:val="auto"/>
                <w:kern w:val="0"/>
                <w:sz w:val="22"/>
                <w:szCs w:val="22"/>
                <w:highlight w:val="none"/>
              </w:rPr>
              <w:t>证书、</w:t>
            </w:r>
            <w:r>
              <w:rPr>
                <w:rFonts w:ascii="宋体" w:hAnsi="宋体" w:cs="宋体"/>
                <w:color w:val="auto"/>
                <w:kern w:val="0"/>
                <w:sz w:val="22"/>
                <w:szCs w:val="22"/>
                <w:highlight w:val="none"/>
              </w:rPr>
              <w:t>POP3</w:t>
            </w:r>
            <w:r>
              <w:rPr>
                <w:rFonts w:hint="eastAsia" w:ascii="宋体" w:hAnsi="宋体" w:cs="宋体"/>
                <w:color w:val="auto"/>
                <w:kern w:val="0"/>
                <w:sz w:val="22"/>
                <w:szCs w:val="22"/>
                <w:highlight w:val="none"/>
              </w:rPr>
              <w:t>等用户认证系统联动。</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网络攻击防护</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支持局域网广播防护，支持全局配置的局域网广播防护及基于二层接口的局域网广播防护，可以防止局域网内广播和多播数据包泛滥，保障网络正常通信。</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支持基于不同安全区域防御</w:t>
            </w:r>
            <w:r>
              <w:rPr>
                <w:rFonts w:ascii="宋体" w:hAnsi="宋体" w:cs="宋体"/>
                <w:color w:val="auto"/>
                <w:kern w:val="0"/>
                <w:sz w:val="22"/>
                <w:szCs w:val="22"/>
                <w:highlight w:val="none"/>
              </w:rPr>
              <w:t>DNS Flood</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HTTP Flood</w:t>
            </w:r>
            <w:r>
              <w:rPr>
                <w:rFonts w:hint="eastAsia" w:ascii="宋体" w:hAnsi="宋体" w:cs="宋体"/>
                <w:color w:val="auto"/>
                <w:kern w:val="0"/>
                <w:sz w:val="22"/>
                <w:szCs w:val="22"/>
                <w:highlight w:val="none"/>
              </w:rPr>
              <w:t>攻击，并支持警告、阻断、首包丢弃、</w:t>
            </w:r>
            <w:r>
              <w:rPr>
                <w:rFonts w:ascii="宋体" w:hAnsi="宋体" w:cs="宋体"/>
                <w:color w:val="auto"/>
                <w:kern w:val="0"/>
                <w:sz w:val="22"/>
                <w:szCs w:val="22"/>
                <w:highlight w:val="none"/>
              </w:rPr>
              <w:t>TC</w:t>
            </w:r>
            <w:r>
              <w:rPr>
                <w:rFonts w:hint="eastAsia" w:ascii="宋体" w:hAnsi="宋体" w:cs="宋体"/>
                <w:color w:val="auto"/>
                <w:kern w:val="0"/>
                <w:sz w:val="22"/>
                <w:szCs w:val="22"/>
                <w:highlight w:val="none"/>
              </w:rPr>
              <w:t>反弹技术、</w:t>
            </w:r>
            <w:r>
              <w:rPr>
                <w:rFonts w:ascii="宋体" w:hAnsi="宋体" w:cs="宋体"/>
                <w:color w:val="auto"/>
                <w:kern w:val="0"/>
                <w:sz w:val="22"/>
                <w:szCs w:val="22"/>
                <w:highlight w:val="none"/>
              </w:rPr>
              <w:t>NS</w:t>
            </w:r>
            <w:r>
              <w:rPr>
                <w:rFonts w:hint="eastAsia" w:ascii="宋体" w:hAnsi="宋体" w:cs="宋体"/>
                <w:color w:val="auto"/>
                <w:kern w:val="0"/>
                <w:sz w:val="22"/>
                <w:szCs w:val="22"/>
                <w:highlight w:val="none"/>
              </w:rPr>
              <w:t>重定向、自动重定向、手工确认等多种防护措施</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w:t>
            </w:r>
            <w:r>
              <w:rPr>
                <w:rFonts w:ascii="宋体" w:hAnsi="宋体" w:cs="宋体"/>
                <w:color w:val="auto"/>
                <w:kern w:val="0"/>
                <w:sz w:val="22"/>
                <w:szCs w:val="22"/>
                <w:highlight w:val="none"/>
              </w:rPr>
              <w:t>MD5</w:t>
            </w:r>
            <w:r>
              <w:rPr>
                <w:rFonts w:hint="eastAsia" w:ascii="宋体" w:hAnsi="宋体" w:cs="宋体"/>
                <w:color w:val="auto"/>
                <w:kern w:val="0"/>
                <w:sz w:val="22"/>
                <w:szCs w:val="22"/>
                <w:highlight w:val="none"/>
              </w:rPr>
              <w:t>的自定义病毒签名；支持设置例外特征，对特定的病毒特征不进行查杀。</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能够对</w:t>
            </w:r>
            <w:r>
              <w:rPr>
                <w:rFonts w:ascii="宋体" w:hAnsi="宋体" w:cs="宋体"/>
                <w:color w:val="auto"/>
                <w:kern w:val="0"/>
                <w:sz w:val="22"/>
                <w:szCs w:val="22"/>
                <w:highlight w:val="none"/>
              </w:rPr>
              <w:t>HTTP/FTP/POP3/SMTP/IMAP/SMB</w:t>
            </w:r>
            <w:r>
              <w:rPr>
                <w:rFonts w:hint="eastAsia" w:ascii="宋体" w:hAnsi="宋体" w:cs="宋体"/>
                <w:color w:val="auto"/>
                <w:kern w:val="0"/>
                <w:sz w:val="22"/>
                <w:szCs w:val="22"/>
                <w:highlight w:val="none"/>
              </w:rPr>
              <w:t>六种协议进行病毒查杀，支持对最多</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级的压缩文件进行解压查杀。</w:t>
            </w:r>
          </w:p>
        </w:tc>
      </w:tr>
      <w:tr>
        <w:tblPrEx>
          <w:tblCellMar>
            <w:top w:w="0" w:type="dxa"/>
            <w:left w:w="108" w:type="dxa"/>
            <w:bottom w:w="0" w:type="dxa"/>
            <w:right w:w="108" w:type="dxa"/>
          </w:tblCellMar>
        </w:tblPrEx>
        <w:trPr>
          <w:trHeight w:val="1120" w:hRule="atLeast"/>
          <w:jc w:val="center"/>
        </w:trPr>
        <w:tc>
          <w:tcPr>
            <w:tcW w:w="13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支持间谍软件防护功能，同时将间谍软件特征库分类，至少包括木马后门、病毒蠕虫、僵尸网络等三种分类</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支持在防火墙间谍软件签名库直接查阅攻击的名称、严重性、描述等信息；支持基于</w:t>
            </w:r>
            <w:r>
              <w:rPr>
                <w:rFonts w:ascii="宋体" w:hAnsi="宋体" w:cs="宋体"/>
                <w:color w:val="auto"/>
                <w:kern w:val="0"/>
                <w:sz w:val="22"/>
                <w:szCs w:val="22"/>
                <w:highlight w:val="none"/>
              </w:rPr>
              <w:t>FTP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HTTP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IMAP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OTHER_APP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POP3</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SMB</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SMTP</w:t>
            </w:r>
            <w:r>
              <w:rPr>
                <w:rFonts w:hint="eastAsia" w:ascii="宋体" w:hAnsi="宋体" w:cs="宋体"/>
                <w:color w:val="auto"/>
                <w:kern w:val="0"/>
                <w:sz w:val="22"/>
                <w:szCs w:val="22"/>
                <w:highlight w:val="none"/>
              </w:rPr>
              <w:t>等应用协议的间谍软件防护</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IPv4</w:t>
            </w:r>
            <w:r>
              <w:rPr>
                <w:rFonts w:hint="eastAsia" w:ascii="宋体" w:hAnsi="宋体" w:cs="宋体"/>
                <w:color w:val="auto"/>
                <w:kern w:val="0"/>
                <w:sz w:val="22"/>
                <w:szCs w:val="22"/>
                <w:highlight w:val="none"/>
              </w:rPr>
              <w:t>和</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流量的</w:t>
            </w:r>
            <w:r>
              <w:rPr>
                <w:rFonts w:ascii="宋体" w:hAnsi="宋体" w:cs="宋体"/>
                <w:color w:val="auto"/>
                <w:kern w:val="0"/>
                <w:sz w:val="22"/>
                <w:szCs w:val="22"/>
                <w:highlight w:val="none"/>
              </w:rPr>
              <w:t>HTTPS</w:t>
            </w:r>
            <w:r>
              <w:rPr>
                <w:rFonts w:hint="eastAsia" w:ascii="宋体" w:hAnsi="宋体" w:cs="宋体"/>
                <w:color w:val="auto"/>
                <w:kern w:val="0"/>
                <w:sz w:val="22"/>
                <w:szCs w:val="22"/>
                <w:highlight w:val="none"/>
              </w:rPr>
              <w:t>协议进行解密，支持配置基于源安全域、目的安全域、源地址、目的地址、</w:t>
            </w:r>
            <w:r>
              <w:rPr>
                <w:rFonts w:ascii="宋体" w:hAnsi="宋体" w:cs="宋体"/>
                <w:color w:val="auto"/>
                <w:kern w:val="0"/>
                <w:sz w:val="22"/>
                <w:szCs w:val="22"/>
                <w:highlight w:val="none"/>
              </w:rPr>
              <w:t>SSL</w:t>
            </w:r>
            <w:r>
              <w:rPr>
                <w:rFonts w:hint="eastAsia" w:ascii="宋体" w:hAnsi="宋体" w:cs="宋体"/>
                <w:color w:val="auto"/>
                <w:kern w:val="0"/>
                <w:sz w:val="22"/>
                <w:szCs w:val="22"/>
                <w:highlight w:val="none"/>
              </w:rPr>
              <w:t>协议服务的解密策略，并可同时基于安全域、</w:t>
            </w:r>
            <w:r>
              <w:rPr>
                <w:rFonts w:ascii="宋体" w:hAnsi="宋体" w:cs="宋体"/>
                <w:color w:val="auto"/>
                <w:kern w:val="0"/>
                <w:sz w:val="22"/>
                <w:szCs w:val="22"/>
                <w:highlight w:val="none"/>
              </w:rPr>
              <w:t>IPv4</w:t>
            </w:r>
            <w:r>
              <w:rPr>
                <w:rFonts w:hint="eastAsia" w:ascii="宋体" w:hAnsi="宋体" w:cs="宋体"/>
                <w:color w:val="auto"/>
                <w:kern w:val="0"/>
                <w:sz w:val="22"/>
                <w:szCs w:val="22"/>
                <w:highlight w:val="none"/>
              </w:rPr>
              <w:t>和</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地址进行例外设置</w:t>
            </w:r>
          </w:p>
        </w:tc>
      </w:tr>
      <w:tr>
        <w:tblPrEx>
          <w:tblCellMar>
            <w:top w:w="0" w:type="dxa"/>
            <w:left w:w="108" w:type="dxa"/>
            <w:bottom w:w="0" w:type="dxa"/>
            <w:right w:w="108" w:type="dxa"/>
          </w:tblCellMar>
        </w:tblPrEx>
        <w:trPr>
          <w:trHeight w:val="840" w:hRule="atLeast"/>
          <w:jc w:val="center"/>
        </w:trPr>
        <w:tc>
          <w:tcPr>
            <w:tcW w:w="135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auto"/>
                <w:kern w:val="0"/>
                <w:sz w:val="22"/>
                <w:szCs w:val="22"/>
                <w:highlight w:val="none"/>
              </w:rPr>
            </w:pPr>
            <w:r>
              <w:rPr>
                <w:rFonts w:ascii="宋体" w:hAnsi="宋体" w:cs="宋体"/>
                <w:color w:val="auto"/>
                <w:kern w:val="0"/>
                <w:sz w:val="22"/>
                <w:szCs w:val="22"/>
                <w:highlight w:val="none"/>
              </w:rPr>
              <w:t>VPN</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L2TP</w:t>
            </w: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L2TP over IPSec</w:t>
            </w: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 xml:space="preserve">PPTP </w:t>
            </w:r>
            <w:r>
              <w:rPr>
                <w:rFonts w:hint="eastAsia" w:ascii="宋体" w:hAnsi="宋体" w:cs="宋体"/>
                <w:color w:val="auto"/>
                <w:kern w:val="0"/>
                <w:sz w:val="22"/>
                <w:szCs w:val="22"/>
                <w:highlight w:val="none"/>
              </w:rPr>
              <w:t>，并支持本地认证以及</w:t>
            </w:r>
            <w:r>
              <w:rPr>
                <w:rFonts w:ascii="宋体" w:hAnsi="宋体" w:cs="宋体"/>
                <w:color w:val="auto"/>
                <w:kern w:val="0"/>
                <w:sz w:val="22"/>
                <w:szCs w:val="22"/>
                <w:highlight w:val="none"/>
              </w:rPr>
              <w:t>LDAP/Radius/</w:t>
            </w:r>
            <w:r>
              <w:rPr>
                <w:rFonts w:hint="eastAsia" w:ascii="宋体" w:hAnsi="宋体" w:cs="宋体"/>
                <w:color w:val="auto"/>
                <w:kern w:val="0"/>
                <w:sz w:val="22"/>
                <w:szCs w:val="22"/>
                <w:highlight w:val="none"/>
              </w:rPr>
              <w:t>证书</w:t>
            </w:r>
            <w:r>
              <w:rPr>
                <w:rFonts w:ascii="宋体" w:hAnsi="宋体" w:cs="宋体"/>
                <w:color w:val="auto"/>
                <w:kern w:val="0"/>
                <w:sz w:val="22"/>
                <w:szCs w:val="22"/>
                <w:highlight w:val="none"/>
              </w:rPr>
              <w:t>/Active Directory/TACACS+/POP3</w:t>
            </w:r>
            <w:r>
              <w:rPr>
                <w:rFonts w:hint="eastAsia" w:ascii="宋体" w:hAnsi="宋体" w:cs="宋体"/>
                <w:color w:val="auto"/>
                <w:kern w:val="0"/>
                <w:sz w:val="22"/>
                <w:szCs w:val="22"/>
                <w:highlight w:val="none"/>
              </w:rPr>
              <w:t>等第三方用户认证系统。支持客户端地址分配</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IPSec VPN</w:t>
            </w:r>
            <w:r>
              <w:rPr>
                <w:rFonts w:hint="eastAsia" w:ascii="宋体" w:hAnsi="宋体" w:cs="宋体"/>
                <w:color w:val="auto"/>
                <w:kern w:val="0"/>
                <w:sz w:val="22"/>
                <w:szCs w:val="22"/>
                <w:highlight w:val="none"/>
              </w:rPr>
              <w:t>功能，支持基于主模式（</w:t>
            </w:r>
            <w:r>
              <w:rPr>
                <w:rFonts w:ascii="宋体" w:hAnsi="宋体" w:cs="宋体"/>
                <w:color w:val="auto"/>
                <w:kern w:val="0"/>
                <w:sz w:val="22"/>
                <w:szCs w:val="22"/>
                <w:highlight w:val="none"/>
              </w:rPr>
              <w:t>MaiN Mode</w:t>
            </w:r>
            <w:r>
              <w:rPr>
                <w:rFonts w:hint="eastAsia" w:ascii="宋体" w:hAnsi="宋体" w:cs="宋体"/>
                <w:color w:val="auto"/>
                <w:kern w:val="0"/>
                <w:sz w:val="22"/>
                <w:szCs w:val="22"/>
                <w:highlight w:val="none"/>
              </w:rPr>
              <w:t>）、积极模式（</w:t>
            </w:r>
            <w:r>
              <w:rPr>
                <w:rFonts w:ascii="宋体" w:hAnsi="宋体" w:cs="宋体"/>
                <w:color w:val="auto"/>
                <w:kern w:val="0"/>
                <w:sz w:val="22"/>
                <w:szCs w:val="22"/>
                <w:highlight w:val="none"/>
              </w:rPr>
              <w:t>Aggressive Mode</w:t>
            </w:r>
            <w:r>
              <w:rPr>
                <w:rFonts w:hint="eastAsia" w:ascii="宋体" w:hAnsi="宋体" w:cs="宋体"/>
                <w:color w:val="auto"/>
                <w:kern w:val="0"/>
                <w:sz w:val="22"/>
                <w:szCs w:val="22"/>
                <w:highlight w:val="none"/>
              </w:rPr>
              <w:t>）、国密三种协商模式建立的网关</w:t>
            </w:r>
            <w:r>
              <w:rPr>
                <w:rFonts w:ascii="宋体" w:cs="宋体"/>
                <w:color w:val="auto"/>
                <w:kern w:val="0"/>
                <w:sz w:val="22"/>
                <w:szCs w:val="22"/>
                <w:highlight w:val="none"/>
              </w:rPr>
              <w:t>-</w:t>
            </w:r>
            <w:r>
              <w:rPr>
                <w:rFonts w:hint="eastAsia" w:ascii="宋体" w:hAnsi="宋体" w:cs="宋体"/>
                <w:color w:val="auto"/>
                <w:kern w:val="0"/>
                <w:sz w:val="22"/>
                <w:szCs w:val="22"/>
                <w:highlight w:val="none"/>
              </w:rPr>
              <w:t>网关加密隧道；</w:t>
            </w:r>
          </w:p>
        </w:tc>
      </w:tr>
      <w:tr>
        <w:tblPrEx>
          <w:tblCellMar>
            <w:top w:w="0" w:type="dxa"/>
            <w:left w:w="108" w:type="dxa"/>
            <w:bottom w:w="0" w:type="dxa"/>
            <w:right w:w="108" w:type="dxa"/>
          </w:tblCellMar>
        </w:tblPrEx>
        <w:trPr>
          <w:trHeight w:val="112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安全管理</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支持基于主机或威胁情报视图，统计网络中确认被入侵、攻破的主机数量，至少可查看被入侵、攻破的时间、威胁类别、情报来源、威胁简介、被入侵、攻破的主机</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、用户名、资产等信息；并对威胁情报发现的恶意主机执行自动阻断。</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提供关联分析面板，可将</w:t>
            </w:r>
            <w:r>
              <w:rPr>
                <w:rFonts w:ascii="宋体" w:hAnsi="宋体" w:cs="宋体"/>
                <w:color w:val="auto"/>
                <w:kern w:val="0"/>
                <w:sz w:val="22"/>
                <w:szCs w:val="22"/>
                <w:highlight w:val="none"/>
              </w:rPr>
              <w:t>Top</w:t>
            </w:r>
            <w:r>
              <w:rPr>
                <w:rFonts w:hint="eastAsia" w:ascii="宋体" w:hAnsi="宋体" w:cs="宋体"/>
                <w:color w:val="auto"/>
                <w:kern w:val="0"/>
                <w:sz w:val="22"/>
                <w:szCs w:val="22"/>
                <w:highlight w:val="none"/>
              </w:rPr>
              <w:t>应用、</w:t>
            </w:r>
            <w:r>
              <w:rPr>
                <w:rFonts w:ascii="宋体" w:hAnsi="宋体" w:cs="宋体"/>
                <w:color w:val="auto"/>
                <w:kern w:val="0"/>
                <w:sz w:val="22"/>
                <w:szCs w:val="22"/>
                <w:highlight w:val="none"/>
              </w:rPr>
              <w:t>Top</w:t>
            </w:r>
            <w:r>
              <w:rPr>
                <w:rFonts w:hint="eastAsia" w:ascii="宋体" w:hAnsi="宋体" w:cs="宋体"/>
                <w:color w:val="auto"/>
                <w:kern w:val="0"/>
                <w:sz w:val="22"/>
                <w:szCs w:val="22"/>
                <w:highlight w:val="none"/>
              </w:rPr>
              <w:t>威胁、</w:t>
            </w:r>
            <w:r>
              <w:rPr>
                <w:rFonts w:ascii="宋体" w:hAnsi="宋体" w:cs="宋体"/>
                <w:color w:val="auto"/>
                <w:kern w:val="0"/>
                <w:sz w:val="22"/>
                <w:szCs w:val="22"/>
                <w:highlight w:val="none"/>
              </w:rPr>
              <w:t>Top URL</w:t>
            </w:r>
            <w:r>
              <w:rPr>
                <w:rFonts w:hint="eastAsia" w:ascii="宋体" w:hAnsi="宋体" w:cs="宋体"/>
                <w:color w:val="auto"/>
                <w:kern w:val="0"/>
                <w:sz w:val="22"/>
                <w:szCs w:val="22"/>
                <w:highlight w:val="none"/>
              </w:rPr>
              <w:t>分类、</w:t>
            </w:r>
            <w:r>
              <w:rPr>
                <w:rFonts w:ascii="宋体" w:hAnsi="宋体" w:cs="宋体"/>
                <w:color w:val="auto"/>
                <w:kern w:val="0"/>
                <w:sz w:val="22"/>
                <w:szCs w:val="22"/>
                <w:highlight w:val="none"/>
              </w:rPr>
              <w:t>Top</w:t>
            </w:r>
            <w:r>
              <w:rPr>
                <w:rFonts w:hint="eastAsia" w:ascii="宋体" w:hAnsi="宋体" w:cs="宋体"/>
                <w:color w:val="auto"/>
                <w:kern w:val="0"/>
                <w:sz w:val="22"/>
                <w:szCs w:val="22"/>
                <w:highlight w:val="none"/>
              </w:rPr>
              <w:t>源地址、</w:t>
            </w:r>
            <w:r>
              <w:rPr>
                <w:rFonts w:ascii="宋体" w:hAnsi="宋体" w:cs="宋体"/>
                <w:color w:val="auto"/>
                <w:kern w:val="0"/>
                <w:sz w:val="22"/>
                <w:szCs w:val="22"/>
                <w:highlight w:val="none"/>
              </w:rPr>
              <w:t>Top</w:t>
            </w:r>
            <w:r>
              <w:rPr>
                <w:rFonts w:hint="eastAsia" w:ascii="宋体" w:hAnsi="宋体" w:cs="宋体"/>
                <w:color w:val="auto"/>
                <w:kern w:val="0"/>
                <w:sz w:val="22"/>
                <w:szCs w:val="22"/>
                <w:highlight w:val="none"/>
              </w:rPr>
              <w:t>目的地址等信息关联，并支持以任意元素于为过滤条件且不少于</w:t>
            </w:r>
            <w:r>
              <w:rPr>
                <w:rFonts w:ascii="宋体" w:hAnsi="宋体" w:cs="宋体"/>
                <w:color w:val="auto"/>
                <w:kern w:val="0"/>
                <w:sz w:val="22"/>
                <w:szCs w:val="22"/>
                <w:highlight w:val="none"/>
              </w:rPr>
              <w:t>35</w:t>
            </w:r>
            <w:r>
              <w:rPr>
                <w:rFonts w:hint="eastAsia" w:ascii="宋体" w:hAnsi="宋体" w:cs="宋体"/>
                <w:color w:val="auto"/>
                <w:kern w:val="0"/>
                <w:sz w:val="22"/>
                <w:szCs w:val="22"/>
                <w:highlight w:val="none"/>
              </w:rPr>
              <w:t>个维度进行数据钻取。</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可在单条策略中启用病毒防护、入侵防御、网址过滤、文件过滤、文件内容过滤等安全功能选项。</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协同防御</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支持与云端联动，实现病毒云查杀、</w:t>
            </w:r>
            <w:r>
              <w:rPr>
                <w:rFonts w:ascii="宋体" w:hAnsi="宋体" w:cs="宋体"/>
                <w:color w:val="auto"/>
                <w:kern w:val="0"/>
                <w:sz w:val="22"/>
                <w:szCs w:val="22"/>
                <w:highlight w:val="none"/>
              </w:rPr>
              <w:t>URL</w:t>
            </w:r>
            <w:r>
              <w:rPr>
                <w:rFonts w:hint="eastAsia" w:ascii="宋体" w:hAnsi="宋体" w:cs="宋体"/>
                <w:color w:val="auto"/>
                <w:kern w:val="0"/>
                <w:sz w:val="22"/>
                <w:szCs w:val="22"/>
                <w:highlight w:val="none"/>
              </w:rPr>
              <w:t>云识别、应用云识别、云沙箱、情报云检测等功能。</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支持与桌面杀毒或终端管理软件联动，增强防火墙对应用特征及木马特征的识别能力。</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厂商资质</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具备公安部颁发的《计算机信息系统安全专用产品销售许可证》，提供加盖厂商公章的复印件。</w:t>
            </w:r>
          </w:p>
        </w:tc>
      </w:tr>
      <w:tr>
        <w:tblPrEx>
          <w:tblCellMar>
            <w:top w:w="0" w:type="dxa"/>
            <w:left w:w="108" w:type="dxa"/>
            <w:bottom w:w="0" w:type="dxa"/>
            <w:right w:w="108" w:type="dxa"/>
          </w:tblCellMar>
        </w:tblPrEx>
        <w:trPr>
          <w:trHeight w:val="280" w:hRule="atLeast"/>
          <w:jc w:val="center"/>
        </w:trPr>
        <w:tc>
          <w:tcPr>
            <w:tcW w:w="1350" w:type="dxa"/>
            <w:tcBorders>
              <w:top w:val="single" w:color="auto" w:sz="4" w:space="0"/>
              <w:left w:val="single" w:color="auto" w:sz="4" w:space="0"/>
              <w:bottom w:val="nil"/>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cs="宋体"/>
                <w:color w:val="auto"/>
                <w:kern w:val="0"/>
                <w:sz w:val="22"/>
                <w:szCs w:val="22"/>
                <w:highlight w:val="none"/>
              </w:rPr>
              <w:t>服务要求</w:t>
            </w:r>
          </w:p>
        </w:tc>
        <w:tc>
          <w:tcPr>
            <w:tcW w:w="7630" w:type="dxa"/>
            <w:tcBorders>
              <w:top w:val="nil"/>
              <w:left w:val="nil"/>
              <w:bottom w:val="single" w:color="auto" w:sz="4" w:space="0"/>
              <w:right w:val="single" w:color="auto" w:sz="4" w:space="0"/>
            </w:tcBorders>
            <w:vAlign w:val="center"/>
          </w:tcPr>
          <w:p>
            <w:pPr>
              <w:pStyle w:val="2"/>
              <w:rPr>
                <w:rFonts w:cs="Times New Roman"/>
                <w:color w:val="auto"/>
                <w:sz w:val="18"/>
                <w:szCs w:val="18"/>
                <w:highlight w:val="none"/>
              </w:rPr>
            </w:pPr>
            <w:r>
              <w:rPr>
                <w:rFonts w:hint="eastAsia"/>
                <w:color w:val="auto"/>
                <w:sz w:val="18"/>
                <w:szCs w:val="18"/>
                <w:highlight w:val="none"/>
              </w:rPr>
              <w:t>提供原厂商针对本项目三年原厂售后服务承诺函（原件），并加盖设备原生产厂商公章。</w:t>
            </w:r>
            <w:r>
              <w:rPr>
                <w:color w:val="auto"/>
                <w:sz w:val="18"/>
                <w:szCs w:val="18"/>
                <w:highlight w:val="none"/>
              </w:rPr>
              <w:t xml:space="preserve"> </w:t>
            </w:r>
            <w:r>
              <w:rPr>
                <w:rFonts w:hint="eastAsia"/>
                <w:color w:val="auto"/>
                <w:sz w:val="18"/>
                <w:szCs w:val="18"/>
                <w:highlight w:val="none"/>
              </w:rPr>
              <w:t>三年内软硬件质保及软件和特征库等的免费升级，厂家工程师定期巡检等服务。</w:t>
            </w:r>
          </w:p>
        </w:tc>
      </w:tr>
      <w:tr>
        <w:tblPrEx>
          <w:tblCellMar>
            <w:top w:w="0" w:type="dxa"/>
            <w:left w:w="108" w:type="dxa"/>
            <w:bottom w:w="0" w:type="dxa"/>
            <w:right w:w="108" w:type="dxa"/>
          </w:tblCellMar>
        </w:tblPrEx>
        <w:trPr>
          <w:trHeight w:val="310" w:hRule="atLeast"/>
          <w:jc w:val="center"/>
        </w:trPr>
        <w:tc>
          <w:tcPr>
            <w:tcW w:w="898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等线" w:hAnsi="等线" w:eastAsia="等线" w:cs="Times New Roman"/>
                <w:b/>
                <w:bCs/>
                <w:color w:val="auto"/>
                <w:kern w:val="0"/>
                <w:sz w:val="24"/>
                <w:szCs w:val="24"/>
                <w:highlight w:val="none"/>
              </w:rPr>
            </w:pPr>
            <w:r>
              <w:rPr>
                <w:rFonts w:hint="eastAsia" w:ascii="等线" w:hAnsi="等线" w:eastAsia="等线" w:cs="等线"/>
                <w:b/>
                <w:bCs/>
                <w:color w:val="auto"/>
                <w:kern w:val="0"/>
                <w:sz w:val="24"/>
                <w:szCs w:val="24"/>
                <w:highlight w:val="none"/>
              </w:rPr>
              <w:t>上网行为管理</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技术指标</w:t>
            </w:r>
          </w:p>
        </w:tc>
        <w:tc>
          <w:tcPr>
            <w:tcW w:w="7630" w:type="dxa"/>
            <w:tcBorders>
              <w:top w:val="nil"/>
              <w:left w:val="nil"/>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指标要求</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硬件规格</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ascii="宋体" w:hAnsi="宋体" w:cs="宋体"/>
                <w:color w:val="auto"/>
                <w:kern w:val="0"/>
                <w:sz w:val="22"/>
                <w:szCs w:val="22"/>
                <w:highlight w:val="none"/>
              </w:rPr>
              <w:t>1U</w:t>
            </w:r>
            <w:r>
              <w:rPr>
                <w:rFonts w:hint="eastAsia" w:ascii="宋体" w:hAnsi="宋体" w:cs="宋体"/>
                <w:color w:val="auto"/>
                <w:kern w:val="0"/>
                <w:sz w:val="22"/>
                <w:szCs w:val="22"/>
                <w:highlight w:val="none"/>
              </w:rPr>
              <w:t>标准机架式设备；≥</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个千兆电口，≥</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个接口板扩展槽位，≥</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USB</w:t>
            </w:r>
            <w:r>
              <w:rPr>
                <w:rFonts w:hint="eastAsia" w:ascii="宋体" w:hAnsi="宋体" w:cs="宋体"/>
                <w:color w:val="auto"/>
                <w:kern w:val="0"/>
                <w:sz w:val="22"/>
                <w:szCs w:val="22"/>
                <w:highlight w:val="none"/>
              </w:rPr>
              <w:t>接口，≥</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RJ45</w:t>
            </w:r>
            <w:r>
              <w:rPr>
                <w:rFonts w:hint="eastAsia" w:ascii="宋体" w:hAnsi="宋体" w:cs="宋体"/>
                <w:color w:val="auto"/>
                <w:kern w:val="0"/>
                <w:sz w:val="22"/>
                <w:szCs w:val="22"/>
                <w:highlight w:val="none"/>
              </w:rPr>
              <w:t>串口；单交流电源。</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性能要求</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最大并发连接数≥</w:t>
            </w:r>
            <w:r>
              <w:rPr>
                <w:rFonts w:ascii="宋体" w:hAnsi="宋体" w:cs="宋体"/>
                <w:color w:val="auto"/>
                <w:kern w:val="0"/>
                <w:sz w:val="22"/>
                <w:szCs w:val="22"/>
                <w:highlight w:val="none"/>
              </w:rPr>
              <w:t>50</w:t>
            </w:r>
            <w:r>
              <w:rPr>
                <w:rFonts w:hint="eastAsia" w:ascii="宋体" w:hAnsi="宋体" w:cs="宋体"/>
                <w:color w:val="auto"/>
                <w:kern w:val="0"/>
                <w:sz w:val="22"/>
                <w:szCs w:val="22"/>
                <w:highlight w:val="none"/>
              </w:rPr>
              <w:t>万；每秒最大新建连接数≥</w:t>
            </w:r>
            <w:r>
              <w:rPr>
                <w:rFonts w:ascii="宋体" w:hAnsi="宋体" w:cs="宋体"/>
                <w:color w:val="auto"/>
                <w:kern w:val="0"/>
                <w:sz w:val="22"/>
                <w:szCs w:val="22"/>
                <w:highlight w:val="none"/>
              </w:rPr>
              <w:t>20000</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/S</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设备部署</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设备支持网关模式、网桥模式，网桥模式支持多入多出的透明网桥模式部署，旁路部署模式等不影响用户既有网络结构</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协议支持</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GRE</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L2TP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WLTP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CAACWS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LWAPP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CAPWAP</w:t>
            </w:r>
            <w:r>
              <w:rPr>
                <w:rFonts w:hint="eastAsia" w:ascii="宋体" w:hAnsi="宋体" w:cs="宋体"/>
                <w:color w:val="auto"/>
                <w:kern w:val="0"/>
                <w:sz w:val="22"/>
                <w:szCs w:val="22"/>
                <w:highlight w:val="none"/>
              </w:rPr>
              <w:t>协议下的网络环境</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能够支持</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环境下的网址访问审计、生成分析报表等功能；能够在</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环境下，正确审计显示用户的</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地址；能够正确配置免监控等功能的</w:t>
            </w:r>
            <w:r>
              <w:rPr>
                <w:rFonts w:ascii="宋体" w:hAnsi="宋体" w:cs="宋体"/>
                <w:color w:val="auto"/>
                <w:kern w:val="0"/>
                <w:sz w:val="22"/>
                <w:szCs w:val="22"/>
                <w:highlight w:val="none"/>
              </w:rPr>
              <w:t>IPv6</w:t>
            </w:r>
            <w:r>
              <w:rPr>
                <w:rFonts w:hint="eastAsia" w:ascii="宋体" w:hAnsi="宋体" w:cs="宋体"/>
                <w:color w:val="auto"/>
                <w:kern w:val="0"/>
                <w:sz w:val="22"/>
                <w:szCs w:val="22"/>
                <w:highlight w:val="none"/>
              </w:rPr>
              <w:t>地址</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用户管理</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web</w:t>
            </w:r>
            <w:r>
              <w:rPr>
                <w:rFonts w:hint="eastAsia" w:ascii="宋体" w:hAnsi="宋体" w:cs="宋体"/>
                <w:color w:val="auto"/>
                <w:kern w:val="0"/>
                <w:sz w:val="22"/>
                <w:szCs w:val="22"/>
                <w:highlight w:val="none"/>
              </w:rPr>
              <w:t>本地认证、微信认证、短信认证、二维码认证等，并支持多种认证方式组合的混合认证。</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支持对</w:t>
            </w:r>
            <w:r>
              <w:rPr>
                <w:rFonts w:ascii="宋体" w:hAnsi="宋体" w:cs="宋体"/>
                <w:color w:val="auto"/>
                <w:kern w:val="0"/>
                <w:sz w:val="22"/>
                <w:szCs w:val="22"/>
                <w:highlight w:val="none"/>
              </w:rPr>
              <w:t>Kerberos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LDAP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AD</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POP3</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SMTP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Radius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PORTAL</w:t>
            </w:r>
            <w:r>
              <w:rPr>
                <w:rFonts w:hint="eastAsia" w:ascii="宋体" w:hAnsi="宋体" w:cs="宋体"/>
                <w:color w:val="auto"/>
                <w:kern w:val="0"/>
                <w:sz w:val="22"/>
                <w:szCs w:val="22"/>
                <w:highlight w:val="none"/>
              </w:rPr>
              <w:t>、锐捷</w:t>
            </w:r>
            <w:r>
              <w:rPr>
                <w:rFonts w:ascii="宋体" w:hAnsi="宋体" w:cs="宋体"/>
                <w:color w:val="auto"/>
                <w:kern w:val="0"/>
                <w:sz w:val="22"/>
                <w:szCs w:val="22"/>
                <w:highlight w:val="none"/>
              </w:rPr>
              <w:t>SAM</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H3C CAMS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PPPOE</w:t>
            </w:r>
            <w:r>
              <w:rPr>
                <w:rFonts w:hint="eastAsia" w:ascii="宋体" w:hAnsi="宋体" w:cs="宋体"/>
                <w:color w:val="auto"/>
                <w:kern w:val="0"/>
                <w:sz w:val="22"/>
                <w:szCs w:val="22"/>
                <w:highlight w:val="none"/>
              </w:rPr>
              <w:t>、城市热点、深澜等各种认证计费系统的各种数据库格式的单点登录联动；</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key</w:t>
            </w:r>
            <w:r>
              <w:rPr>
                <w:rFonts w:hint="eastAsia" w:ascii="宋体" w:hAnsi="宋体" w:cs="宋体"/>
                <w:color w:val="auto"/>
                <w:kern w:val="0"/>
                <w:sz w:val="22"/>
                <w:szCs w:val="22"/>
                <w:highlight w:val="none"/>
              </w:rPr>
              <w:t>免审计、</w:t>
            </w:r>
            <w:r>
              <w:rPr>
                <w:rFonts w:ascii="宋体" w:hAnsi="宋体" w:cs="宋体"/>
                <w:color w:val="auto"/>
                <w:kern w:val="0"/>
                <w:sz w:val="22"/>
                <w:szCs w:val="22"/>
                <w:highlight w:val="none"/>
              </w:rPr>
              <w:t>key</w:t>
            </w:r>
            <w:r>
              <w:rPr>
                <w:rFonts w:hint="eastAsia" w:ascii="宋体" w:hAnsi="宋体" w:cs="宋体"/>
                <w:color w:val="auto"/>
                <w:kern w:val="0"/>
                <w:sz w:val="22"/>
                <w:szCs w:val="22"/>
                <w:highlight w:val="none"/>
              </w:rPr>
              <w:t>免管控、</w:t>
            </w:r>
            <w:r>
              <w:rPr>
                <w:rFonts w:ascii="宋体" w:hAnsi="宋体" w:cs="宋体"/>
                <w:color w:val="auto"/>
                <w:kern w:val="0"/>
                <w:sz w:val="22"/>
                <w:szCs w:val="22"/>
                <w:highlight w:val="none"/>
              </w:rPr>
              <w:t>key</w:t>
            </w:r>
            <w:r>
              <w:rPr>
                <w:rFonts w:hint="eastAsia" w:ascii="宋体" w:hAnsi="宋体" w:cs="宋体"/>
                <w:color w:val="auto"/>
                <w:kern w:val="0"/>
                <w:sz w:val="22"/>
                <w:szCs w:val="22"/>
                <w:highlight w:val="none"/>
              </w:rPr>
              <w:t>免认证三者的组合</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防共享接入</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可识别私接路由器及私接主机及数量，并可制定策略以私接主机个数为阀值进行封堵，同时可建立白名单，并可生成日志</w:t>
            </w:r>
          </w:p>
        </w:tc>
      </w:tr>
      <w:tr>
        <w:tblPrEx>
          <w:tblCellMar>
            <w:top w:w="0" w:type="dxa"/>
            <w:left w:w="108" w:type="dxa"/>
            <w:bottom w:w="0" w:type="dxa"/>
            <w:right w:w="108" w:type="dxa"/>
          </w:tblCellMar>
        </w:tblPrEx>
        <w:trPr>
          <w:trHeight w:val="60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支持配置禁用</w:t>
            </w:r>
            <w:r>
              <w:rPr>
                <w:color w:val="auto"/>
                <w:kern w:val="0"/>
                <w:sz w:val="22"/>
                <w:szCs w:val="22"/>
                <w:highlight w:val="none"/>
              </w:rPr>
              <w:t>PC</w:t>
            </w:r>
            <w:r>
              <w:rPr>
                <w:rFonts w:hint="eastAsia" w:ascii="宋体" w:hAnsi="宋体" w:cs="宋体"/>
                <w:color w:val="auto"/>
                <w:kern w:val="0"/>
                <w:sz w:val="22"/>
                <w:szCs w:val="22"/>
                <w:highlight w:val="none"/>
              </w:rPr>
              <w:t>热点开启功能，禁用时</w:t>
            </w:r>
            <w:r>
              <w:rPr>
                <w:color w:val="auto"/>
                <w:kern w:val="0"/>
                <w:sz w:val="22"/>
                <w:szCs w:val="22"/>
                <w:highlight w:val="none"/>
              </w:rPr>
              <w:t>PC</w:t>
            </w:r>
            <w:r>
              <w:rPr>
                <w:rFonts w:hint="eastAsia" w:ascii="宋体" w:hAnsi="宋体" w:cs="宋体"/>
                <w:color w:val="auto"/>
                <w:kern w:val="0"/>
                <w:sz w:val="22"/>
                <w:szCs w:val="22"/>
                <w:highlight w:val="none"/>
              </w:rPr>
              <w:t>仍可以使用网络，但是无法通过随身</w:t>
            </w:r>
            <w:r>
              <w:rPr>
                <w:color w:val="auto"/>
                <w:kern w:val="0"/>
                <w:sz w:val="22"/>
                <w:szCs w:val="22"/>
                <w:highlight w:val="none"/>
              </w:rPr>
              <w:t>wifi</w:t>
            </w:r>
            <w:r>
              <w:rPr>
                <w:rFonts w:hint="eastAsia" w:ascii="宋体" w:hAnsi="宋体" w:cs="宋体"/>
                <w:color w:val="auto"/>
                <w:kern w:val="0"/>
                <w:sz w:val="22"/>
                <w:szCs w:val="22"/>
                <w:highlight w:val="none"/>
              </w:rPr>
              <w:t>或笔记本自带功能创建热点</w:t>
            </w:r>
          </w:p>
        </w:tc>
      </w:tr>
      <w:tr>
        <w:tblPrEx>
          <w:tblCellMar>
            <w:top w:w="0" w:type="dxa"/>
            <w:left w:w="108" w:type="dxa"/>
            <w:bottom w:w="0" w:type="dxa"/>
            <w:right w:w="108" w:type="dxa"/>
          </w:tblCellMar>
        </w:tblPrEx>
        <w:trPr>
          <w:trHeight w:val="30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网页管理与审计</w:t>
            </w:r>
          </w:p>
        </w:tc>
        <w:tc>
          <w:tcPr>
            <w:tcW w:w="7630" w:type="dxa"/>
            <w:tcBorders>
              <w:top w:val="nil"/>
              <w:left w:val="nil"/>
              <w:bottom w:val="single" w:color="auto" w:sz="4" w:space="0"/>
              <w:right w:val="single" w:color="auto" w:sz="4" w:space="0"/>
            </w:tcBorders>
            <w:vAlign w:val="center"/>
          </w:tcPr>
          <w:p>
            <w:pPr>
              <w:widowControl/>
              <w:rPr>
                <w:rFonts w:eastAsia="等线" w:cs="Times New Roman"/>
                <w:color w:val="auto"/>
                <w:kern w:val="0"/>
                <w:sz w:val="22"/>
                <w:szCs w:val="22"/>
                <w:highlight w:val="none"/>
              </w:rPr>
            </w:pPr>
            <w:r>
              <w:rPr>
                <w:rFonts w:eastAsia="等线"/>
                <w:color w:val="auto"/>
                <w:kern w:val="0"/>
                <w:sz w:val="22"/>
                <w:szCs w:val="22"/>
                <w:highlight w:val="none"/>
              </w:rPr>
              <w:t>=4000</w:t>
            </w:r>
            <w:r>
              <w:rPr>
                <w:rFonts w:hint="eastAsia" w:ascii="宋体" w:hAnsi="宋体" w:cs="宋体"/>
                <w:color w:val="auto"/>
                <w:kern w:val="0"/>
                <w:sz w:val="22"/>
                <w:szCs w:val="22"/>
                <w:highlight w:val="none"/>
              </w:rPr>
              <w:t>万条</w:t>
            </w:r>
            <w:r>
              <w:rPr>
                <w:rFonts w:eastAsia="等线"/>
                <w:color w:val="auto"/>
                <w:kern w:val="0"/>
                <w:sz w:val="22"/>
                <w:szCs w:val="22"/>
                <w:highlight w:val="none"/>
              </w:rPr>
              <w:t>URL</w:t>
            </w:r>
            <w:r>
              <w:rPr>
                <w:rFonts w:hint="eastAsia" w:ascii="宋体" w:hAnsi="宋体" w:cs="宋体"/>
                <w:color w:val="auto"/>
                <w:kern w:val="0"/>
                <w:sz w:val="22"/>
                <w:szCs w:val="22"/>
                <w:highlight w:val="none"/>
              </w:rPr>
              <w:t>数据，在官网上有公开的</w:t>
            </w:r>
            <w:r>
              <w:rPr>
                <w:rFonts w:ascii="宋体" w:hAnsi="宋体" w:cs="宋体"/>
                <w:color w:val="auto"/>
                <w:kern w:val="0"/>
                <w:sz w:val="22"/>
                <w:szCs w:val="22"/>
                <w:highlight w:val="none"/>
              </w:rPr>
              <w:t>URL</w:t>
            </w:r>
            <w:r>
              <w:rPr>
                <w:rFonts w:hint="eastAsia" w:ascii="宋体" w:hAnsi="宋体" w:cs="宋体"/>
                <w:color w:val="auto"/>
                <w:kern w:val="0"/>
                <w:sz w:val="22"/>
                <w:szCs w:val="22"/>
                <w:highlight w:val="none"/>
              </w:rPr>
              <w:t>库更新情况详细说明</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当用户的网页访问被网页浏览策略封堵时，用户如果发现分类错误能够在页面中向管理员进行反馈；管理员可查看用户反馈的分类错误，并可以选择向服务器反馈；</w:t>
            </w:r>
            <w:r>
              <w:rPr>
                <w:rFonts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5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根据</w:t>
            </w:r>
            <w:r>
              <w:rPr>
                <w:color w:val="auto"/>
                <w:kern w:val="0"/>
                <w:sz w:val="22"/>
                <w:szCs w:val="22"/>
                <w:highlight w:val="none"/>
              </w:rPr>
              <w:t>URL</w:t>
            </w:r>
            <w:r>
              <w:rPr>
                <w:rFonts w:hint="eastAsia" w:ascii="宋体" w:hAnsi="宋体" w:cs="宋体"/>
                <w:color w:val="auto"/>
                <w:kern w:val="0"/>
                <w:sz w:val="22"/>
                <w:szCs w:val="22"/>
                <w:highlight w:val="none"/>
              </w:rPr>
              <w:t>库及</w:t>
            </w:r>
            <w:r>
              <w:rPr>
                <w:color w:val="auto"/>
                <w:kern w:val="0"/>
                <w:sz w:val="22"/>
                <w:szCs w:val="22"/>
                <w:highlight w:val="none"/>
              </w:rPr>
              <w:t>URL</w:t>
            </w:r>
            <w:r>
              <w:rPr>
                <w:rFonts w:hint="eastAsia" w:ascii="宋体" w:hAnsi="宋体" w:cs="宋体"/>
                <w:color w:val="auto"/>
                <w:kern w:val="0"/>
                <w:sz w:val="22"/>
                <w:szCs w:val="22"/>
                <w:highlight w:val="none"/>
              </w:rPr>
              <w:t>关键字进行网址访问管理（支持</w:t>
            </w:r>
            <w:r>
              <w:rPr>
                <w:rFonts w:ascii="宋体" w:hAnsi="宋体" w:cs="宋体"/>
                <w:color w:val="auto"/>
                <w:kern w:val="0"/>
                <w:sz w:val="22"/>
                <w:szCs w:val="22"/>
                <w:highlight w:val="none"/>
              </w:rPr>
              <w:t>https</w:t>
            </w:r>
            <w:r>
              <w:rPr>
                <w:rFonts w:hint="eastAsia" w:ascii="宋体" w:hAnsi="宋体" w:cs="宋体"/>
                <w:color w:val="auto"/>
                <w:kern w:val="0"/>
                <w:sz w:val="22"/>
                <w:szCs w:val="22"/>
                <w:highlight w:val="none"/>
              </w:rPr>
              <w:t>和</w:t>
            </w:r>
            <w:r>
              <w:rPr>
                <w:rFonts w:ascii="宋体" w:hAnsi="宋体" w:cs="宋体"/>
                <w:color w:val="auto"/>
                <w:kern w:val="0"/>
                <w:sz w:val="22"/>
                <w:szCs w:val="22"/>
                <w:highlight w:val="none"/>
              </w:rPr>
              <w:t>http</w:t>
            </w:r>
            <w:r>
              <w:rPr>
                <w:rFonts w:hint="eastAsia" w:ascii="宋体" w:hAnsi="宋体" w:cs="宋体"/>
                <w:color w:val="auto"/>
                <w:kern w:val="0"/>
                <w:sz w:val="22"/>
                <w:szCs w:val="22"/>
                <w:highlight w:val="none"/>
              </w:rPr>
              <w:t>），一条策略实现阻断、记录、告警，方便维护；</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支持配置免认证网站，用户在认证前即可访问免认证网站</w:t>
            </w:r>
          </w:p>
        </w:tc>
      </w:tr>
      <w:tr>
        <w:tblPrEx>
          <w:tblCellMar>
            <w:top w:w="0" w:type="dxa"/>
            <w:left w:w="108" w:type="dxa"/>
            <w:bottom w:w="0" w:type="dxa"/>
            <w:right w:w="108" w:type="dxa"/>
          </w:tblCellMar>
        </w:tblPrEx>
        <w:trPr>
          <w:trHeight w:val="60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应用访问管理</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应用协议库包含的应用数量不低于</w:t>
            </w:r>
            <w:r>
              <w:rPr>
                <w:color w:val="auto"/>
                <w:kern w:val="0"/>
                <w:sz w:val="22"/>
                <w:szCs w:val="22"/>
                <w:highlight w:val="none"/>
              </w:rPr>
              <w:t>4000</w:t>
            </w:r>
            <w:r>
              <w:rPr>
                <w:rFonts w:hint="eastAsia" w:ascii="宋体" w:hAnsi="宋体" w:cs="宋体"/>
                <w:color w:val="auto"/>
                <w:kern w:val="0"/>
                <w:sz w:val="22"/>
                <w:szCs w:val="22"/>
                <w:highlight w:val="none"/>
              </w:rPr>
              <w:t>种，一级分类不少于</w:t>
            </w:r>
            <w:r>
              <w:rPr>
                <w:color w:val="auto"/>
                <w:kern w:val="0"/>
                <w:sz w:val="22"/>
                <w:szCs w:val="22"/>
                <w:highlight w:val="none"/>
              </w:rPr>
              <w:t>40</w:t>
            </w:r>
            <w:r>
              <w:rPr>
                <w:rFonts w:hint="eastAsia" w:ascii="宋体" w:hAnsi="宋体" w:cs="宋体"/>
                <w:color w:val="auto"/>
                <w:kern w:val="0"/>
                <w:sz w:val="22"/>
                <w:szCs w:val="22"/>
                <w:highlight w:val="none"/>
              </w:rPr>
              <w:t>种，移动应用数量不低于</w:t>
            </w:r>
            <w:r>
              <w:rPr>
                <w:color w:val="auto"/>
                <w:kern w:val="0"/>
                <w:sz w:val="22"/>
                <w:szCs w:val="22"/>
                <w:highlight w:val="none"/>
              </w:rPr>
              <w:t>900</w:t>
            </w:r>
            <w:r>
              <w:rPr>
                <w:rFonts w:hint="eastAsia" w:ascii="宋体" w:hAnsi="宋体" w:cs="宋体"/>
                <w:color w:val="auto"/>
                <w:kern w:val="0"/>
                <w:sz w:val="22"/>
                <w:szCs w:val="22"/>
                <w:highlight w:val="none"/>
              </w:rPr>
              <w:t>种</w:t>
            </w:r>
          </w:p>
        </w:tc>
      </w:tr>
      <w:tr>
        <w:tblPrEx>
          <w:tblCellMar>
            <w:top w:w="0" w:type="dxa"/>
            <w:left w:w="108" w:type="dxa"/>
            <w:bottom w:w="0" w:type="dxa"/>
            <w:right w:w="108" w:type="dxa"/>
          </w:tblCellMar>
        </w:tblPrEx>
        <w:trPr>
          <w:trHeight w:val="5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可以对</w:t>
            </w:r>
            <w:r>
              <w:rPr>
                <w:color w:val="auto"/>
                <w:kern w:val="0"/>
                <w:sz w:val="22"/>
                <w:szCs w:val="22"/>
                <w:highlight w:val="none"/>
              </w:rPr>
              <w:t>P2P</w:t>
            </w:r>
            <w:r>
              <w:rPr>
                <w:rFonts w:hint="eastAsia" w:ascii="宋体" w:hAnsi="宋体" w:cs="宋体"/>
                <w:color w:val="auto"/>
                <w:kern w:val="0"/>
                <w:sz w:val="22"/>
                <w:szCs w:val="22"/>
                <w:highlight w:val="none"/>
              </w:rPr>
              <w:t>，网络视频，游戏，炒股，期货，即时通讯，移动应用有独立的分类进行识别控制；</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可以记录应用行为，并对于阻断的应用可以触发告警，并支持邮件及语音双重告警</w:t>
            </w:r>
          </w:p>
        </w:tc>
      </w:tr>
      <w:tr>
        <w:tblPrEx>
          <w:tblCellMar>
            <w:top w:w="0" w:type="dxa"/>
            <w:left w:w="108" w:type="dxa"/>
            <w:bottom w:w="0" w:type="dxa"/>
            <w:right w:w="108" w:type="dxa"/>
          </w:tblCellMar>
        </w:tblPrEx>
        <w:trPr>
          <w:trHeight w:val="5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流量管理</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支持多级虚拟通道，可以将物理带宽分成至少</w:t>
            </w:r>
            <w:r>
              <w:rPr>
                <w:color w:val="auto"/>
                <w:kern w:val="0"/>
                <w:sz w:val="22"/>
                <w:szCs w:val="22"/>
                <w:highlight w:val="none"/>
              </w:rPr>
              <w:t>7</w:t>
            </w:r>
            <w:r>
              <w:rPr>
                <w:rFonts w:hint="eastAsia" w:ascii="宋体" w:hAnsi="宋体" w:cs="宋体"/>
                <w:color w:val="auto"/>
                <w:kern w:val="0"/>
                <w:sz w:val="22"/>
                <w:szCs w:val="22"/>
                <w:highlight w:val="none"/>
              </w:rPr>
              <w:t>级虚拟通道，合理分配物理带宽资源</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当部分虚拟通道空闲时，其带宽资源可以被繁忙的带宽通道借用，避免带宽浪费</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支持基于连接数进行流量管理，可以每个人的并发</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新建连接数量进行控制</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信息外发管理与审计</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可以对网页的文件，根据传输方向、文件名、扩展名、文件大小、网站域名进行控制管理，违规文件下载阻塞同时可以告警；</w:t>
            </w:r>
          </w:p>
        </w:tc>
      </w:tr>
      <w:tr>
        <w:tblPrEx>
          <w:tblCellMar>
            <w:top w:w="0" w:type="dxa"/>
            <w:left w:w="108" w:type="dxa"/>
            <w:bottom w:w="0" w:type="dxa"/>
            <w:right w:w="108" w:type="dxa"/>
          </w:tblCellMar>
        </w:tblPrEx>
        <w:trPr>
          <w:trHeight w:val="5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能够基于发件人、收件人、主题、内容、附件名、附件大小维度进行过滤、记录、告警；能够支持</w:t>
            </w:r>
            <w:r>
              <w:rPr>
                <w:color w:val="auto"/>
                <w:kern w:val="0"/>
                <w:sz w:val="22"/>
                <w:szCs w:val="22"/>
                <w:highlight w:val="none"/>
              </w:rPr>
              <w:t>SSL</w:t>
            </w:r>
            <w:r>
              <w:rPr>
                <w:rFonts w:hint="eastAsia" w:ascii="宋体" w:hAnsi="宋体" w:cs="宋体"/>
                <w:color w:val="auto"/>
                <w:kern w:val="0"/>
                <w:sz w:val="22"/>
                <w:szCs w:val="22"/>
                <w:highlight w:val="none"/>
              </w:rPr>
              <w:t>加密的</w:t>
            </w:r>
            <w:r>
              <w:rPr>
                <w:color w:val="auto"/>
                <w:kern w:val="0"/>
                <w:sz w:val="22"/>
                <w:szCs w:val="22"/>
                <w:highlight w:val="none"/>
              </w:rPr>
              <w:t>SMTP</w:t>
            </w:r>
            <w:r>
              <w:rPr>
                <w:rFonts w:hint="eastAsia" w:ascii="宋体" w:hAnsi="宋体" w:cs="宋体"/>
                <w:color w:val="auto"/>
                <w:kern w:val="0"/>
                <w:sz w:val="22"/>
                <w:szCs w:val="22"/>
                <w:highlight w:val="none"/>
              </w:rPr>
              <w:t>邮件发送；</w:t>
            </w:r>
          </w:p>
        </w:tc>
      </w:tr>
      <w:tr>
        <w:tblPrEx>
          <w:tblCellMar>
            <w:top w:w="0" w:type="dxa"/>
            <w:left w:w="108" w:type="dxa"/>
            <w:bottom w:w="0" w:type="dxa"/>
            <w:right w:w="108" w:type="dxa"/>
          </w:tblCellMar>
        </w:tblPrEx>
        <w:trPr>
          <w:trHeight w:val="5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可审计、控制</w:t>
            </w:r>
            <w:r>
              <w:rPr>
                <w:color w:val="auto"/>
                <w:kern w:val="0"/>
                <w:sz w:val="22"/>
                <w:szCs w:val="22"/>
                <w:highlight w:val="none"/>
              </w:rPr>
              <w:t>Oracle, MySql, SqlServer, PostgreSQL</w:t>
            </w:r>
            <w:r>
              <w:rPr>
                <w:rFonts w:hint="eastAsia" w:ascii="宋体" w:hAnsi="宋体" w:cs="宋体"/>
                <w:color w:val="auto"/>
                <w:kern w:val="0"/>
                <w:sz w:val="22"/>
                <w:szCs w:val="22"/>
                <w:highlight w:val="none"/>
              </w:rPr>
              <w:t>等数据库的访问与操作，包括添加、删除、修改、查询等</w:t>
            </w:r>
          </w:p>
        </w:tc>
      </w:tr>
      <w:tr>
        <w:tblPrEx>
          <w:tblCellMar>
            <w:top w:w="0" w:type="dxa"/>
            <w:left w:w="108" w:type="dxa"/>
            <w:bottom w:w="0" w:type="dxa"/>
            <w:right w:w="108" w:type="dxa"/>
          </w:tblCellMar>
        </w:tblPrEx>
        <w:trPr>
          <w:trHeight w:val="5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通过</w:t>
            </w:r>
            <w:r>
              <w:rPr>
                <w:color w:val="auto"/>
                <w:kern w:val="0"/>
                <w:sz w:val="22"/>
                <w:szCs w:val="22"/>
                <w:highlight w:val="none"/>
              </w:rPr>
              <w:t>NETBIOS</w:t>
            </w:r>
            <w:r>
              <w:rPr>
                <w:rFonts w:hint="eastAsia" w:ascii="宋体" w:hAnsi="宋体" w:cs="宋体"/>
                <w:color w:val="auto"/>
                <w:kern w:val="0"/>
                <w:sz w:val="22"/>
                <w:szCs w:val="22"/>
                <w:highlight w:val="none"/>
              </w:rPr>
              <w:t>审计策略对</w:t>
            </w:r>
            <w:r>
              <w:rPr>
                <w:color w:val="auto"/>
                <w:kern w:val="0"/>
                <w:sz w:val="22"/>
                <w:szCs w:val="22"/>
                <w:highlight w:val="none"/>
              </w:rPr>
              <w:t>NETBIOS</w:t>
            </w:r>
            <w:r>
              <w:rPr>
                <w:rFonts w:hint="eastAsia" w:ascii="宋体" w:hAnsi="宋体" w:cs="宋体"/>
                <w:color w:val="auto"/>
                <w:kern w:val="0"/>
                <w:sz w:val="22"/>
                <w:szCs w:val="22"/>
                <w:highlight w:val="none"/>
              </w:rPr>
              <w:t>通信、登录名及文件、目录进行审计和控制</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支持终端（包括移动端和电脑端）对</w:t>
            </w:r>
            <w:r>
              <w:rPr>
                <w:rFonts w:ascii="宋体" w:hAnsi="宋体" w:cs="宋体"/>
                <w:color w:val="auto"/>
                <w:kern w:val="0"/>
                <w:sz w:val="22"/>
                <w:szCs w:val="22"/>
                <w:highlight w:val="none"/>
              </w:rPr>
              <w:t>QQ</w:t>
            </w:r>
            <w:r>
              <w:rPr>
                <w:rFonts w:hint="eastAsia" w:ascii="宋体" w:hAnsi="宋体" w:cs="宋体"/>
                <w:color w:val="auto"/>
                <w:kern w:val="0"/>
                <w:sz w:val="22"/>
                <w:szCs w:val="22"/>
                <w:highlight w:val="none"/>
              </w:rPr>
              <w:t>聊天内容的审计，可针对</w:t>
            </w:r>
            <w:r>
              <w:rPr>
                <w:rFonts w:ascii="宋体" w:hAnsi="宋体" w:cs="宋体"/>
                <w:color w:val="auto"/>
                <w:kern w:val="0"/>
                <w:sz w:val="22"/>
                <w:szCs w:val="22"/>
                <w:highlight w:val="none"/>
              </w:rPr>
              <w:t>QQ</w:t>
            </w:r>
            <w:r>
              <w:rPr>
                <w:rFonts w:hint="eastAsia" w:ascii="宋体" w:hAnsi="宋体" w:cs="宋体"/>
                <w:color w:val="auto"/>
                <w:kern w:val="0"/>
                <w:sz w:val="22"/>
                <w:szCs w:val="22"/>
                <w:highlight w:val="none"/>
              </w:rPr>
              <w:t>账号制定策略，对聊天、登录及文件传输的行为进行记录与控制</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支持终端（包括移动端和电脑端）对微信进行行为和聊天内容审计</w:t>
            </w:r>
          </w:p>
        </w:tc>
      </w:tr>
      <w:tr>
        <w:tblPrEx>
          <w:tblCellMar>
            <w:top w:w="0" w:type="dxa"/>
            <w:left w:w="108" w:type="dxa"/>
            <w:bottom w:w="0" w:type="dxa"/>
            <w:right w:w="108" w:type="dxa"/>
          </w:tblCellMar>
        </w:tblPrEx>
        <w:trPr>
          <w:trHeight w:val="30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color w:val="auto"/>
                <w:kern w:val="0"/>
                <w:sz w:val="22"/>
                <w:szCs w:val="22"/>
                <w:highlight w:val="none"/>
              </w:rPr>
              <w:t>Skype</w:t>
            </w:r>
            <w:r>
              <w:rPr>
                <w:rFonts w:hint="eastAsia" w:ascii="宋体" w:hAnsi="宋体" w:cs="宋体"/>
                <w:color w:val="auto"/>
                <w:kern w:val="0"/>
                <w:sz w:val="22"/>
                <w:szCs w:val="22"/>
                <w:highlight w:val="none"/>
              </w:rPr>
              <w:t>账号、聊天内容、行为审计与控制，支持</w:t>
            </w:r>
            <w:r>
              <w:rPr>
                <w:color w:val="auto"/>
                <w:kern w:val="0"/>
                <w:sz w:val="22"/>
                <w:szCs w:val="22"/>
                <w:highlight w:val="none"/>
              </w:rPr>
              <w:t>skype</w:t>
            </w:r>
            <w:r>
              <w:rPr>
                <w:rFonts w:hint="eastAsia" w:ascii="宋体" w:hAnsi="宋体" w:cs="宋体"/>
                <w:color w:val="auto"/>
                <w:kern w:val="0"/>
                <w:sz w:val="22"/>
                <w:szCs w:val="22"/>
                <w:highlight w:val="none"/>
              </w:rPr>
              <w:t>外发文件内容的审计</w:t>
            </w:r>
          </w:p>
        </w:tc>
      </w:tr>
      <w:tr>
        <w:tblPrEx>
          <w:tblCellMar>
            <w:top w:w="0" w:type="dxa"/>
            <w:left w:w="108" w:type="dxa"/>
            <w:bottom w:w="0" w:type="dxa"/>
            <w:right w:w="108" w:type="dxa"/>
          </w:tblCellMar>
        </w:tblPrEx>
        <w:trPr>
          <w:trHeight w:val="84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安全联动</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支持与云端杀毒平台联动，对网络中传输的文件进行特征比对，以便减少对本地计算资源的消耗。至少应支持对以下几类网络应用传输的文件进行病毒云查杀：</w:t>
            </w:r>
            <w:r>
              <w:rPr>
                <w:rFonts w:ascii="宋体" w:hAnsi="宋体" w:cs="宋体"/>
                <w:color w:val="auto"/>
                <w:kern w:val="0"/>
                <w:sz w:val="22"/>
                <w:szCs w:val="22"/>
                <w:highlight w:val="none"/>
              </w:rPr>
              <w:t>HTTP/HTTPS/FTP/IMAP/SMTP/POP3"</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支持基于云端</w:t>
            </w:r>
            <w:r>
              <w:rPr>
                <w:rFonts w:ascii="宋体" w:hAnsi="宋体" w:cs="宋体"/>
                <w:color w:val="auto"/>
                <w:kern w:val="0"/>
                <w:sz w:val="22"/>
                <w:szCs w:val="22"/>
                <w:highlight w:val="none"/>
              </w:rPr>
              <w:t>URL</w:t>
            </w:r>
            <w:r>
              <w:rPr>
                <w:rFonts w:hint="eastAsia" w:ascii="宋体" w:hAnsi="宋体" w:cs="宋体"/>
                <w:color w:val="auto"/>
                <w:kern w:val="0"/>
                <w:sz w:val="22"/>
                <w:szCs w:val="22"/>
                <w:highlight w:val="none"/>
              </w:rPr>
              <w:t>云过滤，针对用户访问的站点进行检查，对恶意</w:t>
            </w:r>
            <w:r>
              <w:rPr>
                <w:rFonts w:ascii="宋体" w:hAnsi="宋体" w:cs="宋体"/>
                <w:color w:val="auto"/>
                <w:kern w:val="0"/>
                <w:sz w:val="22"/>
                <w:szCs w:val="22"/>
                <w:highlight w:val="none"/>
              </w:rPr>
              <w:t>URL</w:t>
            </w:r>
            <w:r>
              <w:rPr>
                <w:rFonts w:hint="eastAsia" w:ascii="宋体" w:hAnsi="宋体" w:cs="宋体"/>
                <w:color w:val="auto"/>
                <w:kern w:val="0"/>
                <w:sz w:val="22"/>
                <w:szCs w:val="22"/>
                <w:highlight w:val="none"/>
              </w:rPr>
              <w:t>访问进行封堵和记录日志。</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支持与威胁情报大数据平台对接，能够快速识别、封堵失陷主机、记录日志。</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设备能够根据终端管理软件检测到的信息配置准入控制策略，准入条件包括系统是否安装了特定的杀毒软件和特定版本；系统是否安装了特定的漏洞补丁；系统是否开启了文件实施防护功能等。</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系统管理</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支持管理员账号初始密码检测，如果发现管理员未更改初始密码，能够进行提醒</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支持厂商工程师在线的远程协助和故障排查，设备界面提供远程协助开关</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支持角色分权管理模式，可将设备管理权限分割为管理员、审计员与审核员共同管理设备</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厂商资质</w:t>
            </w:r>
          </w:p>
        </w:tc>
        <w:tc>
          <w:tcPr>
            <w:tcW w:w="7630" w:type="dxa"/>
            <w:tcBorders>
              <w:top w:val="nil"/>
              <w:left w:val="nil"/>
              <w:bottom w:val="single" w:color="auto" w:sz="4" w:space="0"/>
              <w:right w:val="single" w:color="auto" w:sz="4" w:space="0"/>
            </w:tcBorders>
            <w:shd w:val="clear" w:color="000000" w:fill="FFFFFF"/>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公安部网络安全保卫局颁发的《计算机信息系统安全专用产品销售许可证》提供加盖厂商公章的复印件。</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shd w:val="clear" w:color="000000" w:fill="FFFFFF"/>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中国信息安全测评中心颁发的《国家信息安全测评信息技术产品安全测评证书》，级别为</w:t>
            </w:r>
            <w:r>
              <w:rPr>
                <w:rFonts w:ascii="宋体" w:hAnsi="宋体" w:cs="宋体"/>
                <w:color w:val="auto"/>
                <w:kern w:val="0"/>
                <w:sz w:val="22"/>
                <w:szCs w:val="22"/>
                <w:highlight w:val="none"/>
              </w:rPr>
              <w:t xml:space="preserve"> EAL3+  </w:t>
            </w:r>
            <w:r>
              <w:rPr>
                <w:rFonts w:hint="eastAsia" w:ascii="宋体" w:hAnsi="宋体" w:cs="宋体"/>
                <w:color w:val="auto"/>
                <w:kern w:val="0"/>
                <w:sz w:val="22"/>
                <w:szCs w:val="22"/>
                <w:highlight w:val="none"/>
              </w:rPr>
              <w:t>提供加盖厂商公章的复印件。</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cs="宋体"/>
                <w:color w:val="auto"/>
                <w:kern w:val="0"/>
                <w:sz w:val="22"/>
                <w:szCs w:val="22"/>
                <w:highlight w:val="none"/>
              </w:rPr>
              <w:t>服务要求</w:t>
            </w:r>
          </w:p>
        </w:tc>
        <w:tc>
          <w:tcPr>
            <w:tcW w:w="7630" w:type="dxa"/>
            <w:tcBorders>
              <w:top w:val="nil"/>
              <w:left w:val="nil"/>
              <w:bottom w:val="single" w:color="auto" w:sz="4" w:space="0"/>
              <w:right w:val="single" w:color="auto" w:sz="4" w:space="0"/>
            </w:tcBorders>
            <w:shd w:val="clear" w:color="000000" w:fill="FFFFFF"/>
            <w:vAlign w:val="center"/>
          </w:tcPr>
          <w:p>
            <w:pPr>
              <w:pStyle w:val="2"/>
              <w:rPr>
                <w:rFonts w:cs="Times New Roman"/>
                <w:color w:val="auto"/>
                <w:sz w:val="18"/>
                <w:szCs w:val="18"/>
                <w:highlight w:val="none"/>
              </w:rPr>
            </w:pPr>
            <w:r>
              <w:rPr>
                <w:rFonts w:hint="eastAsia"/>
                <w:color w:val="auto"/>
                <w:sz w:val="18"/>
                <w:szCs w:val="18"/>
                <w:highlight w:val="none"/>
              </w:rPr>
              <w:t>提供原厂商针对本项目三年原厂售后服务承诺函（原件），并加盖设备原生产厂商公章。</w:t>
            </w:r>
            <w:r>
              <w:rPr>
                <w:color w:val="auto"/>
                <w:sz w:val="18"/>
                <w:szCs w:val="18"/>
                <w:highlight w:val="none"/>
              </w:rPr>
              <w:t xml:space="preserve"> </w:t>
            </w:r>
            <w:r>
              <w:rPr>
                <w:rFonts w:hint="eastAsia"/>
                <w:color w:val="auto"/>
                <w:sz w:val="18"/>
                <w:szCs w:val="18"/>
                <w:highlight w:val="none"/>
              </w:rPr>
              <w:t>三年内软硬件质保及软件和特征库等的免费升级，厂家工程师定期巡检等服务。</w:t>
            </w:r>
          </w:p>
        </w:tc>
      </w:tr>
      <w:tr>
        <w:tblPrEx>
          <w:tblCellMar>
            <w:top w:w="0" w:type="dxa"/>
            <w:left w:w="108" w:type="dxa"/>
            <w:bottom w:w="0" w:type="dxa"/>
            <w:right w:w="108" w:type="dxa"/>
          </w:tblCellMar>
        </w:tblPrEx>
        <w:trPr>
          <w:trHeight w:val="560" w:hRule="atLeast"/>
          <w:jc w:val="center"/>
        </w:trPr>
        <w:tc>
          <w:tcPr>
            <w:tcW w:w="1350" w:type="dxa"/>
            <w:vMerge w:val="continue"/>
            <w:tcBorders>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shd w:val="clear" w:color="000000" w:fill="FFFFFF"/>
            <w:vAlign w:val="center"/>
          </w:tcPr>
          <w:p>
            <w:pPr>
              <w:pStyle w:val="2"/>
              <w:rPr>
                <w:rFonts w:cs="Times New Roman"/>
                <w:color w:val="auto"/>
                <w:sz w:val="18"/>
                <w:szCs w:val="18"/>
                <w:highlight w:val="none"/>
              </w:rPr>
            </w:pPr>
            <w:r>
              <w:rPr>
                <w:rFonts w:hint="eastAsia"/>
                <w:color w:val="auto"/>
                <w:sz w:val="18"/>
                <w:szCs w:val="18"/>
                <w:highlight w:val="none"/>
              </w:rPr>
              <w:t>设备具有标准数据接口，第三方平台可以通过该接口查询、下载设备内的互联网日志等信息；原厂商需免费对第三方平台（例如：公安网监）对接提供技术服务。</w:t>
            </w:r>
          </w:p>
        </w:tc>
      </w:tr>
      <w:tr>
        <w:tblPrEx>
          <w:tblCellMar>
            <w:top w:w="0" w:type="dxa"/>
            <w:left w:w="108" w:type="dxa"/>
            <w:bottom w:w="0" w:type="dxa"/>
            <w:right w:w="108" w:type="dxa"/>
          </w:tblCellMar>
        </w:tblPrEx>
        <w:trPr>
          <w:trHeight w:val="300" w:hRule="atLeast"/>
          <w:jc w:val="center"/>
        </w:trPr>
        <w:tc>
          <w:tcPr>
            <w:tcW w:w="898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s="Times New Roman"/>
                <w:b/>
                <w:bCs/>
                <w:color w:val="auto"/>
                <w:kern w:val="0"/>
                <w:sz w:val="24"/>
                <w:szCs w:val="24"/>
                <w:highlight w:val="none"/>
              </w:rPr>
            </w:pPr>
            <w:r>
              <w:rPr>
                <w:rFonts w:hint="eastAsia" w:ascii="宋体" w:hAnsi="宋体" w:cs="宋体"/>
                <w:b/>
                <w:bCs/>
                <w:color w:val="auto"/>
                <w:kern w:val="0"/>
                <w:sz w:val="24"/>
                <w:szCs w:val="24"/>
                <w:highlight w:val="none"/>
              </w:rPr>
              <w:t>网络准入系统</w:t>
            </w:r>
          </w:p>
        </w:tc>
      </w:tr>
      <w:tr>
        <w:tblPrEx>
          <w:tblCellMar>
            <w:top w:w="0" w:type="dxa"/>
            <w:left w:w="108" w:type="dxa"/>
            <w:bottom w:w="0" w:type="dxa"/>
            <w:right w:w="108" w:type="dxa"/>
          </w:tblCellMar>
        </w:tblPrEx>
        <w:trPr>
          <w:trHeight w:val="28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技术指标</w:t>
            </w:r>
          </w:p>
        </w:tc>
        <w:tc>
          <w:tcPr>
            <w:tcW w:w="7630" w:type="dxa"/>
            <w:tcBorders>
              <w:top w:val="nil"/>
              <w:left w:val="nil"/>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指标要求</w:t>
            </w:r>
          </w:p>
        </w:tc>
      </w:tr>
      <w:tr>
        <w:tblPrEx>
          <w:tblCellMar>
            <w:top w:w="0" w:type="dxa"/>
            <w:left w:w="108" w:type="dxa"/>
            <w:bottom w:w="0" w:type="dxa"/>
            <w:right w:w="108" w:type="dxa"/>
          </w:tblCellMar>
        </w:tblPrEx>
        <w:trPr>
          <w:trHeight w:val="560" w:hRule="atLeast"/>
          <w:jc w:val="center"/>
        </w:trPr>
        <w:tc>
          <w:tcPr>
            <w:tcW w:w="135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硬件规格</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整机≥</w:t>
            </w:r>
            <w:r>
              <w:rPr>
                <w:rFonts w:ascii="宋体" w:hAnsi="宋体" w:cs="宋体"/>
                <w:color w:val="auto"/>
                <w:kern w:val="0"/>
                <w:sz w:val="22"/>
                <w:szCs w:val="22"/>
                <w:highlight w:val="none"/>
              </w:rPr>
              <w:t>600Mbps</w:t>
            </w:r>
            <w:r>
              <w:rPr>
                <w:rFonts w:hint="eastAsia" w:ascii="宋体" w:hAnsi="宋体" w:cs="宋体"/>
                <w:color w:val="auto"/>
                <w:kern w:val="0"/>
                <w:sz w:val="22"/>
                <w:szCs w:val="22"/>
                <w:highlight w:val="none"/>
              </w:rPr>
              <w:t>吞吐量，支持≥</w:t>
            </w:r>
            <w:r>
              <w:rPr>
                <w:rFonts w:ascii="宋体" w:hAnsi="宋体" w:cs="宋体"/>
                <w:color w:val="auto"/>
                <w:kern w:val="0"/>
                <w:sz w:val="22"/>
                <w:szCs w:val="22"/>
                <w:highlight w:val="none"/>
              </w:rPr>
              <w:t>1</w:t>
            </w:r>
            <w:r>
              <w:rPr>
                <w:rFonts w:ascii="宋体" w:cs="宋体"/>
                <w:color w:val="auto"/>
                <w:kern w:val="0"/>
                <w:sz w:val="22"/>
                <w:szCs w:val="22"/>
                <w:highlight w:val="none"/>
              </w:rPr>
              <w:t>000</w:t>
            </w:r>
            <w:r>
              <w:rPr>
                <w:rFonts w:hint="eastAsia" w:ascii="宋体" w:hAnsi="宋体" w:cs="宋体"/>
                <w:color w:val="auto"/>
                <w:kern w:val="0"/>
                <w:sz w:val="22"/>
                <w:szCs w:val="22"/>
                <w:highlight w:val="none"/>
              </w:rPr>
              <w:t>终端接入。</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个串口，≥</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个千兆以太网电口，≥</w:t>
            </w:r>
            <w:r>
              <w:rPr>
                <w:rFonts w:ascii="宋体" w:hAnsi="宋体" w:cs="宋体"/>
                <w:color w:val="auto"/>
                <w:kern w:val="0"/>
                <w:sz w:val="22"/>
                <w:szCs w:val="22"/>
                <w:highlight w:val="none"/>
              </w:rPr>
              <w:t>1TB SATA</w:t>
            </w:r>
            <w:r>
              <w:rPr>
                <w:rFonts w:hint="eastAsia" w:ascii="宋体" w:hAnsi="宋体" w:cs="宋体"/>
                <w:color w:val="auto"/>
                <w:kern w:val="0"/>
                <w:sz w:val="22"/>
                <w:szCs w:val="22"/>
                <w:highlight w:val="none"/>
              </w:rPr>
              <w:t>硬盘，单电源，≥</w:t>
            </w:r>
            <w:r>
              <w:rPr>
                <w:rFonts w:ascii="宋体" w:hAnsi="宋体" w:cs="宋体"/>
                <w:color w:val="auto"/>
                <w:kern w:val="0"/>
                <w:sz w:val="22"/>
                <w:szCs w:val="22"/>
                <w:highlight w:val="none"/>
              </w:rPr>
              <w:t>1U</w:t>
            </w:r>
            <w:r>
              <w:rPr>
                <w:rFonts w:hint="eastAsia" w:ascii="宋体" w:hAnsi="宋体" w:cs="宋体"/>
                <w:color w:val="auto"/>
                <w:kern w:val="0"/>
                <w:sz w:val="22"/>
                <w:szCs w:val="22"/>
                <w:highlight w:val="none"/>
              </w:rPr>
              <w:t>机箱</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部署管理</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控制中心采用</w:t>
            </w:r>
            <w:r>
              <w:rPr>
                <w:rFonts w:ascii="宋体" w:hAnsi="宋体" w:cs="宋体"/>
                <w:color w:val="auto"/>
                <w:kern w:val="0"/>
                <w:sz w:val="22"/>
                <w:szCs w:val="22"/>
                <w:highlight w:val="none"/>
              </w:rPr>
              <w:t>B/S</w:t>
            </w:r>
            <w:r>
              <w:rPr>
                <w:rFonts w:hint="eastAsia" w:ascii="宋体" w:hAnsi="宋体" w:cs="宋体"/>
                <w:color w:val="auto"/>
                <w:kern w:val="0"/>
                <w:sz w:val="22"/>
                <w:szCs w:val="22"/>
                <w:highlight w:val="none"/>
              </w:rPr>
              <w:t>架构管理，具备分组管理、策略制定下发，系统配置，灵活的管理方式</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NAC</w:t>
            </w:r>
            <w:r>
              <w:rPr>
                <w:rFonts w:hint="eastAsia" w:ascii="宋体" w:hAnsi="宋体" w:cs="宋体"/>
                <w:color w:val="auto"/>
                <w:kern w:val="0"/>
                <w:sz w:val="22"/>
                <w:szCs w:val="22"/>
                <w:highlight w:val="none"/>
              </w:rPr>
              <w:t>的集群化部署、多级集群化管理，批量下发策略，批量升级、授权管理、</w:t>
            </w:r>
            <w:r>
              <w:rPr>
                <w:rFonts w:ascii="宋体" w:hAnsi="宋体" w:cs="宋体"/>
                <w:color w:val="auto"/>
                <w:kern w:val="0"/>
                <w:sz w:val="22"/>
                <w:szCs w:val="22"/>
                <w:highlight w:val="none"/>
              </w:rPr>
              <w:t>NAC</w:t>
            </w:r>
            <w:r>
              <w:rPr>
                <w:rFonts w:hint="eastAsia" w:ascii="宋体" w:hAnsi="宋体" w:cs="宋体"/>
                <w:color w:val="auto"/>
                <w:kern w:val="0"/>
                <w:sz w:val="22"/>
                <w:szCs w:val="22"/>
                <w:highlight w:val="none"/>
              </w:rPr>
              <w:t>节点监测</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设备采用旁路部署方式，避免串行设备部署导致单点故障</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准入控制</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支持有线、无线基于应用准入方式，准入配置支持保护服务器区域、例外终端等灵活的配置方式</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支持基于应用协议的访问控制，可基于</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、协议端口进行访问流量控制。</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支持基于受控域的入网流程配置，区分有线和无线网络，能够针对有线和无线网络区域分别采用有客户端和无客户端方式准入</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支持以</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地址、</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段形式设置准入例外，在设置范围内的地址，准入设备将对其进行放行处理。</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Web Portal</w:t>
            </w:r>
            <w:r>
              <w:rPr>
                <w:rFonts w:hint="eastAsia" w:ascii="宋体" w:hAnsi="宋体" w:cs="宋体"/>
                <w:color w:val="auto"/>
                <w:kern w:val="0"/>
                <w:sz w:val="22"/>
                <w:szCs w:val="22"/>
                <w:highlight w:val="none"/>
              </w:rPr>
              <w:t>认证方式，核心服务器区访问准入，可采用账户口令方式进行认证，认证账号支持有效期设置，支持过期自动删除</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支持通过自动审批和管理员手动审批两种方式进行用户申请审核，审批通过邮件进行通知</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支持标准</w:t>
            </w:r>
            <w:r>
              <w:rPr>
                <w:rFonts w:ascii="宋体" w:hAnsi="宋体" w:cs="宋体"/>
                <w:color w:val="auto"/>
                <w:kern w:val="0"/>
                <w:sz w:val="22"/>
                <w:szCs w:val="22"/>
                <w:highlight w:val="none"/>
              </w:rPr>
              <w:t>802.1x</w:t>
            </w:r>
            <w:r>
              <w:rPr>
                <w:rFonts w:hint="eastAsia" w:ascii="宋体" w:hAnsi="宋体" w:cs="宋体"/>
                <w:color w:val="auto"/>
                <w:kern w:val="0"/>
                <w:sz w:val="22"/>
                <w:szCs w:val="22"/>
                <w:highlight w:val="none"/>
              </w:rPr>
              <w:t>准入，支持动态</w:t>
            </w:r>
            <w:r>
              <w:rPr>
                <w:rFonts w:ascii="宋体" w:hAnsi="宋体" w:cs="宋体"/>
                <w:color w:val="auto"/>
                <w:kern w:val="0"/>
                <w:sz w:val="22"/>
                <w:szCs w:val="22"/>
                <w:highlight w:val="none"/>
              </w:rPr>
              <w:t>VLAN</w:t>
            </w:r>
            <w:r>
              <w:rPr>
                <w:rFonts w:hint="eastAsia" w:ascii="宋体" w:hAnsi="宋体" w:cs="宋体"/>
                <w:color w:val="auto"/>
                <w:kern w:val="0"/>
                <w:sz w:val="22"/>
                <w:szCs w:val="22"/>
                <w:highlight w:val="none"/>
              </w:rPr>
              <w:t>，支持账号接入有效时间限制，账号在线数量限制</w:t>
            </w:r>
          </w:p>
        </w:tc>
      </w:tr>
      <w:tr>
        <w:tblPrEx>
          <w:tblCellMar>
            <w:top w:w="0" w:type="dxa"/>
            <w:left w:w="108" w:type="dxa"/>
            <w:bottom w:w="0" w:type="dxa"/>
            <w:right w:w="108" w:type="dxa"/>
          </w:tblCellMar>
        </w:tblPrEx>
        <w:trPr>
          <w:trHeight w:val="385"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支持基于</w:t>
            </w:r>
            <w:r>
              <w:rPr>
                <w:rFonts w:ascii="宋体" w:hAnsi="宋体" w:cs="宋体"/>
                <w:color w:val="auto"/>
                <w:kern w:val="0"/>
                <w:sz w:val="22"/>
                <w:szCs w:val="22"/>
                <w:highlight w:val="none"/>
              </w:rPr>
              <w:t>802.1x</w:t>
            </w:r>
            <w:r>
              <w:rPr>
                <w:rFonts w:hint="eastAsia" w:ascii="宋体" w:hAnsi="宋体" w:cs="宋体"/>
                <w:color w:val="auto"/>
                <w:kern w:val="0"/>
                <w:sz w:val="22"/>
                <w:szCs w:val="22"/>
                <w:highlight w:val="none"/>
              </w:rPr>
              <w:t>认证的开机自动认证、支持账号和终端绑定认证，账号和接入点绑定认证，</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802.1x</w:t>
            </w:r>
            <w:r>
              <w:rPr>
                <w:rFonts w:hint="eastAsia" w:ascii="宋体" w:hAnsi="宋体" w:cs="宋体"/>
                <w:color w:val="auto"/>
                <w:kern w:val="0"/>
                <w:sz w:val="22"/>
                <w:szCs w:val="22"/>
                <w:highlight w:val="none"/>
              </w:rPr>
              <w:t>认证技术上基于终端快速认证，与终端管理客户端联动无需输入账号快速入网，避免重复输入账号口令</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支持哑终端</w:t>
            </w:r>
            <w:r>
              <w:rPr>
                <w:rFonts w:ascii="宋体" w:hAnsi="宋体" w:cs="宋体"/>
                <w:color w:val="auto"/>
                <w:kern w:val="0"/>
                <w:sz w:val="22"/>
                <w:szCs w:val="22"/>
                <w:highlight w:val="none"/>
              </w:rPr>
              <w:t>MAC</w:t>
            </w:r>
            <w:r>
              <w:rPr>
                <w:rFonts w:hint="eastAsia" w:ascii="宋体" w:hAnsi="宋体" w:cs="宋体"/>
                <w:color w:val="auto"/>
                <w:kern w:val="0"/>
                <w:sz w:val="22"/>
                <w:szCs w:val="22"/>
                <w:highlight w:val="none"/>
              </w:rPr>
              <w:t>例外管理，支持批量例外同类型哑终端设备</w:t>
            </w:r>
          </w:p>
        </w:tc>
      </w:tr>
      <w:tr>
        <w:tblPrEx>
          <w:tblCellMar>
            <w:top w:w="0" w:type="dxa"/>
            <w:left w:w="108" w:type="dxa"/>
            <w:bottom w:w="0" w:type="dxa"/>
            <w:right w:w="108" w:type="dxa"/>
          </w:tblCellMar>
        </w:tblPrEx>
        <w:trPr>
          <w:trHeight w:val="84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合规检查</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健康合规检查策略，采用动态检测技术，需支持多种检查机制，至少支持入网检查、定时检查、周期检查机制，针对接入内部网络的计算机终端实行多种安全检查策略，支持分组策略下发控制，拦截不安全终端接入网络。</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支持终端安全检查失败处置措施，可基于协议、特定端口、端口范围、特定地址、</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范围、</w:t>
            </w:r>
            <w:r>
              <w:rPr>
                <w:rFonts w:ascii="宋体" w:hAnsi="宋体" w:cs="宋体"/>
                <w:color w:val="auto"/>
                <w:kern w:val="0"/>
                <w:sz w:val="22"/>
                <w:szCs w:val="22"/>
                <w:highlight w:val="none"/>
              </w:rPr>
              <w:t>URL</w:t>
            </w:r>
            <w:r>
              <w:rPr>
                <w:rFonts w:hint="eastAsia" w:ascii="宋体" w:hAnsi="宋体" w:cs="宋体"/>
                <w:color w:val="auto"/>
                <w:kern w:val="0"/>
                <w:sz w:val="22"/>
                <w:szCs w:val="22"/>
                <w:highlight w:val="none"/>
              </w:rPr>
              <w:t>来控制终端访问权限，从而无需操作交换机达到终端网络隔离目的，实现细粒度的访问控制管理</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支持对不合规的终端提供软隔离，不符合安全策略的计算机终端进行友好提示，提供终端修复向导，需支持引导修复和一键修复功能，并支持不同区域终端的修复区域定义。</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外设使用安全检查，检查是否插入自动运行风险性</w:t>
            </w:r>
            <w:r>
              <w:rPr>
                <w:rFonts w:ascii="宋体" w:hAnsi="宋体" w:cs="宋体"/>
                <w:color w:val="auto"/>
                <w:kern w:val="0"/>
                <w:sz w:val="22"/>
                <w:szCs w:val="22"/>
                <w:highlight w:val="none"/>
              </w:rPr>
              <w:t>U</w:t>
            </w:r>
            <w:r>
              <w:rPr>
                <w:rFonts w:hint="eastAsia" w:ascii="宋体" w:hAnsi="宋体" w:cs="宋体"/>
                <w:color w:val="auto"/>
                <w:kern w:val="0"/>
                <w:sz w:val="22"/>
                <w:szCs w:val="22"/>
                <w:highlight w:val="none"/>
              </w:rPr>
              <w:t>盘</w:t>
            </w:r>
          </w:p>
        </w:tc>
      </w:tr>
      <w:tr>
        <w:tblPrEx>
          <w:tblCellMar>
            <w:top w:w="0" w:type="dxa"/>
            <w:left w:w="108" w:type="dxa"/>
            <w:bottom w:w="0" w:type="dxa"/>
            <w:right w:w="108" w:type="dxa"/>
          </w:tblCellMar>
        </w:tblPrEx>
        <w:trPr>
          <w:trHeight w:val="56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支持对关键位置注册表的检查，关键位置文件检查；检查指定的可疑文件或可疑注册表项</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IE</w:t>
            </w:r>
            <w:r>
              <w:rPr>
                <w:rFonts w:hint="eastAsia" w:ascii="宋体" w:hAnsi="宋体" w:cs="宋体"/>
                <w:color w:val="auto"/>
                <w:kern w:val="0"/>
                <w:sz w:val="22"/>
                <w:szCs w:val="22"/>
                <w:highlight w:val="none"/>
              </w:rPr>
              <w:t>代理检查</w:t>
            </w:r>
          </w:p>
        </w:tc>
      </w:tr>
      <w:tr>
        <w:tblPrEx>
          <w:tblCellMar>
            <w:top w:w="0" w:type="dxa"/>
            <w:left w:w="108" w:type="dxa"/>
            <w:bottom w:w="0" w:type="dxa"/>
            <w:right w:w="108" w:type="dxa"/>
          </w:tblCellMar>
        </w:tblPrEx>
        <w:trPr>
          <w:trHeight w:val="56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联动能力</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支持与终端联动能力，支持大面积自动化部署客户端，保证客户端的安装覆盖率，防止卸载，规范终端入网流程，保障终端入网的安全可信</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实时监测终端是否安装防护点，快速引导安装，安装成功后执行合规检查，保障入网终端始终处于合规、可控范围内，实时上报安全动态及入网数据进行风险分析</w:t>
            </w:r>
          </w:p>
        </w:tc>
      </w:tr>
      <w:tr>
        <w:tblPrEx>
          <w:tblCellMar>
            <w:top w:w="0" w:type="dxa"/>
            <w:left w:w="108" w:type="dxa"/>
            <w:bottom w:w="0" w:type="dxa"/>
            <w:right w:w="108" w:type="dxa"/>
          </w:tblCellMar>
        </w:tblPrEx>
        <w:trPr>
          <w:trHeight w:val="84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可支持与</w:t>
            </w:r>
            <w:r>
              <w:rPr>
                <w:rFonts w:ascii="宋体" w:hAnsi="宋体" w:cs="宋体"/>
                <w:color w:val="auto"/>
                <w:kern w:val="0"/>
                <w:sz w:val="22"/>
                <w:szCs w:val="22"/>
                <w:highlight w:val="none"/>
              </w:rPr>
              <w:t>AD</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LDAP</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Email</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Http</w:t>
            </w:r>
            <w:r>
              <w:rPr>
                <w:rFonts w:hint="eastAsia" w:ascii="宋体" w:hAnsi="宋体" w:cs="宋体"/>
                <w:color w:val="auto"/>
                <w:kern w:val="0"/>
                <w:sz w:val="22"/>
                <w:szCs w:val="22"/>
                <w:highlight w:val="none"/>
              </w:rPr>
              <w:t>第三方服务器联动认证，来完成用户鉴别功能，以达到终端用户实名制入网，统一认证管理，支持</w:t>
            </w:r>
            <w:r>
              <w:rPr>
                <w:rFonts w:ascii="宋体" w:hAnsi="宋体" w:cs="宋体"/>
                <w:color w:val="auto"/>
                <w:kern w:val="0"/>
                <w:sz w:val="22"/>
                <w:szCs w:val="22"/>
                <w:highlight w:val="none"/>
              </w:rPr>
              <w:t>LDAP</w:t>
            </w:r>
            <w:r>
              <w:rPr>
                <w:rFonts w:hint="eastAsia" w:ascii="宋体" w:hAnsi="宋体" w:cs="宋体"/>
                <w:color w:val="auto"/>
                <w:kern w:val="0"/>
                <w:sz w:val="22"/>
                <w:szCs w:val="22"/>
                <w:highlight w:val="none"/>
              </w:rPr>
              <w:t>用户导入，用户映射关系、组织架构导入</w:t>
            </w:r>
          </w:p>
        </w:tc>
      </w:tr>
      <w:tr>
        <w:tblPrEx>
          <w:tblCellMar>
            <w:top w:w="0" w:type="dxa"/>
            <w:left w:w="108" w:type="dxa"/>
            <w:bottom w:w="0" w:type="dxa"/>
            <w:right w:w="108" w:type="dxa"/>
          </w:tblCellMar>
        </w:tblPrEx>
        <w:trPr>
          <w:trHeight w:val="84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高可用性</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系统需具备多种逃生机制，需支持双机热备</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冷备、软</w:t>
            </w:r>
            <w:r>
              <w:rPr>
                <w:rFonts w:ascii="宋体" w:hAnsi="宋体" w:cs="宋体"/>
                <w:color w:val="auto"/>
                <w:kern w:val="0"/>
                <w:sz w:val="22"/>
                <w:szCs w:val="22"/>
                <w:highlight w:val="none"/>
              </w:rPr>
              <w:t>Bypass</w:t>
            </w:r>
            <w:r>
              <w:rPr>
                <w:rFonts w:hint="eastAsia" w:ascii="宋体" w:hAnsi="宋体" w:cs="宋体"/>
                <w:color w:val="auto"/>
                <w:kern w:val="0"/>
                <w:sz w:val="22"/>
                <w:szCs w:val="22"/>
                <w:highlight w:val="none"/>
              </w:rPr>
              <w:t>、支持认证缓存、一键认证放行、第三方服务器异常自动放行，确保非正常情况下，不影响用户网络使用和业务系统的安全，可靠性高</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客户端具有防破坏和卸载能力，对服务、双进程、文件进行有效自我保护机制</w:t>
            </w:r>
          </w:p>
        </w:tc>
      </w:tr>
      <w:tr>
        <w:tblPrEx>
          <w:tblCellMar>
            <w:top w:w="0" w:type="dxa"/>
            <w:left w:w="108" w:type="dxa"/>
            <w:bottom w:w="0" w:type="dxa"/>
            <w:right w:w="108" w:type="dxa"/>
          </w:tblCellMar>
        </w:tblPrEx>
        <w:trPr>
          <w:trHeight w:val="280" w:hRule="atLeast"/>
          <w:jc w:val="center"/>
        </w:trPr>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厂家资质</w:t>
            </w: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提供公安部颁发的《计算机信息系统安全专用产品销售许可证》，提供加盖厂商公章的复印件。</w:t>
            </w:r>
          </w:p>
        </w:tc>
      </w:tr>
      <w:tr>
        <w:tblPrEx>
          <w:tblCellMar>
            <w:top w:w="0" w:type="dxa"/>
            <w:left w:w="108" w:type="dxa"/>
            <w:bottom w:w="0" w:type="dxa"/>
            <w:right w:w="108" w:type="dxa"/>
          </w:tblCellMar>
        </w:tblPrEx>
        <w:trPr>
          <w:trHeight w:val="280" w:hRule="atLeast"/>
          <w:jc w:val="center"/>
        </w:trPr>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p>
        </w:tc>
        <w:tc>
          <w:tcPr>
            <w:tcW w:w="7630" w:type="dxa"/>
            <w:tcBorders>
              <w:top w:val="nil"/>
              <w:left w:val="nil"/>
              <w:bottom w:val="single" w:color="auto" w:sz="4" w:space="0"/>
              <w:right w:val="single" w:color="auto" w:sz="4" w:space="0"/>
            </w:tcBorders>
            <w:vAlign w:val="center"/>
          </w:tcPr>
          <w:p>
            <w:pPr>
              <w:widowControl/>
              <w:rPr>
                <w:rFonts w:ascii="宋体" w:cs="Times New Roman"/>
                <w:color w:val="auto"/>
                <w:kern w:val="0"/>
                <w:sz w:val="22"/>
                <w:szCs w:val="22"/>
                <w:highlight w:val="none"/>
              </w:rPr>
            </w:pPr>
            <w:r>
              <w:rPr>
                <w:rFonts w:hint="eastAsia" w:ascii="宋体" w:hAnsi="宋体" w:cs="宋体"/>
                <w:color w:val="auto"/>
                <w:kern w:val="0"/>
                <w:sz w:val="22"/>
                <w:szCs w:val="22"/>
                <w:highlight w:val="none"/>
              </w:rPr>
              <w:t>提供《计算机软件著作权登记证书》资质证书，提供加盖厂商公章的复印件。</w:t>
            </w:r>
          </w:p>
        </w:tc>
      </w:tr>
      <w:tr>
        <w:tblPrEx>
          <w:tblCellMar>
            <w:top w:w="0" w:type="dxa"/>
            <w:left w:w="108" w:type="dxa"/>
            <w:bottom w:w="0" w:type="dxa"/>
            <w:right w:w="108" w:type="dxa"/>
          </w:tblCellMar>
        </w:tblPrEx>
        <w:trPr>
          <w:trHeight w:val="28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auto"/>
                <w:kern w:val="0"/>
                <w:sz w:val="22"/>
                <w:szCs w:val="22"/>
                <w:highlight w:val="none"/>
              </w:rPr>
            </w:pPr>
            <w:r>
              <w:rPr>
                <w:rFonts w:hint="eastAsia" w:ascii="宋体" w:cs="宋体"/>
                <w:color w:val="auto"/>
                <w:kern w:val="0"/>
                <w:sz w:val="22"/>
                <w:szCs w:val="22"/>
                <w:highlight w:val="none"/>
              </w:rPr>
              <w:t>服务要求</w:t>
            </w:r>
          </w:p>
        </w:tc>
        <w:tc>
          <w:tcPr>
            <w:tcW w:w="7630" w:type="dxa"/>
            <w:tcBorders>
              <w:top w:val="single" w:color="auto" w:sz="4" w:space="0"/>
              <w:left w:val="nil"/>
              <w:bottom w:val="single" w:color="auto" w:sz="4" w:space="0"/>
              <w:right w:val="single" w:color="auto" w:sz="4" w:space="0"/>
            </w:tcBorders>
            <w:vAlign w:val="center"/>
          </w:tcPr>
          <w:p>
            <w:pPr>
              <w:pStyle w:val="2"/>
              <w:rPr>
                <w:rFonts w:cs="Times New Roman"/>
                <w:color w:val="auto"/>
                <w:sz w:val="18"/>
                <w:szCs w:val="18"/>
                <w:highlight w:val="none"/>
              </w:rPr>
            </w:pPr>
            <w:r>
              <w:rPr>
                <w:rFonts w:hint="eastAsia"/>
                <w:color w:val="auto"/>
                <w:sz w:val="18"/>
                <w:szCs w:val="18"/>
                <w:highlight w:val="none"/>
              </w:rPr>
              <w:t>提供原厂商针对本项目三年原厂售后服务承诺函（原件），并加盖设备原生产厂商公章。</w:t>
            </w:r>
            <w:r>
              <w:rPr>
                <w:color w:val="auto"/>
                <w:sz w:val="18"/>
                <w:szCs w:val="18"/>
                <w:highlight w:val="none"/>
              </w:rPr>
              <w:t xml:space="preserve"> </w:t>
            </w:r>
            <w:r>
              <w:rPr>
                <w:rFonts w:hint="eastAsia"/>
                <w:color w:val="auto"/>
                <w:sz w:val="18"/>
                <w:szCs w:val="18"/>
                <w:highlight w:val="none"/>
              </w:rPr>
              <w:t>三年内软硬件质保及软件和特征库等的免费升级，厂家工程师定期巡检等服务。</w:t>
            </w:r>
          </w:p>
        </w:tc>
      </w:tr>
    </w:tbl>
    <w:p>
      <w:pPr>
        <w:tabs>
          <w:tab w:val="left" w:pos="6868"/>
        </w:tabs>
        <w:rPr>
          <w:rFonts w:cs="Times New Roman"/>
          <w:color w:val="auto"/>
          <w:highlight w:val="none"/>
        </w:rPr>
      </w:pPr>
      <w:r>
        <w:rPr>
          <w:rFonts w:cs="Times New Roman"/>
          <w:color w:val="auto"/>
          <w:highlight w:val="none"/>
        </w:rPr>
        <w:tab/>
      </w:r>
    </w:p>
    <w:p>
      <w:pPr>
        <w:widowControl/>
        <w:jc w:val="left"/>
        <w:rPr>
          <w:rFonts w:ascii="宋体" w:cs="Times New Roman"/>
          <w:color w:val="auto"/>
          <w:kern w:val="0"/>
          <w:sz w:val="24"/>
          <w:szCs w:val="24"/>
          <w:highlight w:val="none"/>
        </w:rPr>
      </w:pPr>
      <w:r>
        <w:rPr>
          <w:rFonts w:hint="eastAsia" w:cs="宋体"/>
          <w:color w:val="auto"/>
          <w:highlight w:val="none"/>
        </w:rPr>
        <w:t>四、</w:t>
      </w:r>
      <w:r>
        <w:rPr>
          <w:rFonts w:hint="eastAsia" w:ascii="宋体" w:hAnsi="宋体" w:cs="宋体"/>
          <w:color w:val="auto"/>
          <w:kern w:val="0"/>
          <w:sz w:val="24"/>
          <w:szCs w:val="24"/>
          <w:highlight w:val="none"/>
        </w:rPr>
        <w:t>业务系统设计规划及搬迁服务</w:t>
      </w:r>
    </w:p>
    <w:tbl>
      <w:tblPr>
        <w:tblStyle w:val="23"/>
        <w:tblW w:w="9300" w:type="dxa"/>
        <w:jc w:val="center"/>
        <w:tblLayout w:type="fixed"/>
        <w:tblCellMar>
          <w:top w:w="0" w:type="dxa"/>
          <w:left w:w="108" w:type="dxa"/>
          <w:bottom w:w="0" w:type="dxa"/>
          <w:right w:w="108" w:type="dxa"/>
        </w:tblCellMar>
      </w:tblPr>
      <w:tblGrid>
        <w:gridCol w:w="1843"/>
        <w:gridCol w:w="7457"/>
      </w:tblGrid>
      <w:tr>
        <w:tblPrEx>
          <w:tblCellMar>
            <w:top w:w="0" w:type="dxa"/>
            <w:left w:w="108" w:type="dxa"/>
            <w:bottom w:w="0" w:type="dxa"/>
            <w:right w:w="108" w:type="dxa"/>
          </w:tblCellMar>
        </w:tblPrEx>
        <w:trPr>
          <w:trHeight w:val="280" w:hRule="atLeast"/>
          <w:jc w:val="center"/>
        </w:trPr>
        <w:tc>
          <w:tcPr>
            <w:tcW w:w="1843"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技术指标</w:t>
            </w:r>
          </w:p>
        </w:tc>
        <w:tc>
          <w:tcPr>
            <w:tcW w:w="7457" w:type="dxa"/>
            <w:tcBorders>
              <w:top w:val="single" w:color="auto" w:sz="8" w:space="0"/>
              <w:left w:val="nil"/>
              <w:bottom w:val="single" w:color="auto" w:sz="4" w:space="0"/>
              <w:right w:val="single" w:color="auto" w:sz="8" w:space="0"/>
            </w:tcBorders>
            <w:vAlign w:val="center"/>
          </w:tcPr>
          <w:p>
            <w:pPr>
              <w:widowControl/>
              <w:jc w:val="center"/>
              <w:rPr>
                <w:rFonts w:ascii="宋体" w:cs="Times New Roman"/>
                <w:b/>
                <w:bCs/>
                <w:color w:val="auto"/>
                <w:kern w:val="0"/>
                <w:sz w:val="22"/>
                <w:szCs w:val="22"/>
                <w:highlight w:val="none"/>
              </w:rPr>
            </w:pPr>
            <w:r>
              <w:rPr>
                <w:rFonts w:hint="eastAsia" w:ascii="宋体" w:hAnsi="宋体" w:cs="宋体"/>
                <w:b/>
                <w:bCs/>
                <w:color w:val="auto"/>
                <w:kern w:val="0"/>
                <w:sz w:val="22"/>
                <w:szCs w:val="22"/>
                <w:highlight w:val="none"/>
              </w:rPr>
              <w:t>指标要求</w:t>
            </w:r>
          </w:p>
        </w:tc>
      </w:tr>
      <w:tr>
        <w:tblPrEx>
          <w:tblCellMar>
            <w:top w:w="0" w:type="dxa"/>
            <w:left w:w="108" w:type="dxa"/>
            <w:bottom w:w="0" w:type="dxa"/>
            <w:right w:w="108" w:type="dxa"/>
          </w:tblCellMar>
        </w:tblPrEx>
        <w:trPr>
          <w:trHeight w:val="560" w:hRule="atLeast"/>
          <w:jc w:val="center"/>
        </w:trPr>
        <w:tc>
          <w:tcPr>
            <w:tcW w:w="1843" w:type="dxa"/>
            <w:tcBorders>
              <w:top w:val="nil"/>
              <w:left w:val="single" w:color="auto" w:sz="8" w:space="0"/>
              <w:bottom w:val="single" w:color="auto" w:sz="4" w:space="0"/>
              <w:right w:val="single" w:color="auto" w:sz="4" w:space="0"/>
            </w:tcBorders>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全网规划及业务系统搬迁方案</w:t>
            </w:r>
          </w:p>
        </w:tc>
        <w:tc>
          <w:tcPr>
            <w:tcW w:w="7457" w:type="dxa"/>
            <w:tcBorders>
              <w:top w:val="nil"/>
              <w:left w:val="nil"/>
              <w:bottom w:val="single" w:color="auto" w:sz="4" w:space="0"/>
              <w:right w:val="single" w:color="auto" w:sz="8" w:space="0"/>
            </w:tcBorders>
            <w:vAlign w:val="bottom"/>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提供完善的全网规划（包含新、老院区）及业务搬迁方案，结合弱电工程方、运营商等相关单位，做好业务搬迁割接的技术方案并执行。</w:t>
            </w:r>
          </w:p>
        </w:tc>
      </w:tr>
      <w:tr>
        <w:tblPrEx>
          <w:tblCellMar>
            <w:top w:w="0" w:type="dxa"/>
            <w:left w:w="108" w:type="dxa"/>
            <w:bottom w:w="0" w:type="dxa"/>
            <w:right w:w="108" w:type="dxa"/>
          </w:tblCellMar>
        </w:tblPrEx>
        <w:trPr>
          <w:trHeight w:val="570" w:hRule="atLeast"/>
          <w:jc w:val="center"/>
        </w:trPr>
        <w:tc>
          <w:tcPr>
            <w:tcW w:w="1843" w:type="dxa"/>
            <w:tcBorders>
              <w:top w:val="nil"/>
              <w:left w:val="single" w:color="auto" w:sz="8" w:space="0"/>
              <w:bottom w:val="single" w:color="auto" w:sz="8" w:space="0"/>
              <w:right w:val="single" w:color="auto" w:sz="4" w:space="0"/>
            </w:tcBorders>
            <w:noWrap/>
            <w:vAlign w:val="center"/>
          </w:tcPr>
          <w:p>
            <w:pPr>
              <w:widowControl/>
              <w:jc w:val="center"/>
              <w:rPr>
                <w:rFonts w:ascii="宋体" w:cs="Times New Roman"/>
                <w:color w:val="auto"/>
                <w:kern w:val="0"/>
                <w:sz w:val="22"/>
                <w:szCs w:val="22"/>
                <w:highlight w:val="none"/>
              </w:rPr>
            </w:pPr>
            <w:r>
              <w:rPr>
                <w:rFonts w:hint="eastAsia" w:ascii="宋体" w:hAnsi="宋体" w:cs="宋体"/>
                <w:color w:val="auto"/>
                <w:kern w:val="0"/>
                <w:sz w:val="22"/>
                <w:szCs w:val="22"/>
                <w:highlight w:val="none"/>
              </w:rPr>
              <w:t>业务搬迁服务</w:t>
            </w:r>
          </w:p>
        </w:tc>
        <w:tc>
          <w:tcPr>
            <w:tcW w:w="7457" w:type="dxa"/>
            <w:tcBorders>
              <w:top w:val="nil"/>
              <w:left w:val="nil"/>
              <w:bottom w:val="single" w:color="auto" w:sz="8" w:space="0"/>
              <w:right w:val="single" w:color="auto" w:sz="8" w:space="0"/>
            </w:tcBorders>
            <w:vAlign w:val="bottom"/>
          </w:tcPr>
          <w:p>
            <w:pPr>
              <w:widowControl/>
              <w:jc w:val="left"/>
              <w:rPr>
                <w:rFonts w:ascii="宋体" w:cs="Times New Roman"/>
                <w:color w:val="auto"/>
                <w:kern w:val="0"/>
                <w:sz w:val="22"/>
                <w:szCs w:val="22"/>
                <w:highlight w:val="none"/>
              </w:rPr>
            </w:pPr>
            <w:r>
              <w:rPr>
                <w:rFonts w:hint="eastAsia" w:ascii="宋体" w:hAnsi="宋体" w:cs="宋体"/>
                <w:color w:val="auto"/>
                <w:kern w:val="0"/>
                <w:sz w:val="22"/>
                <w:szCs w:val="22"/>
                <w:highlight w:val="none"/>
              </w:rPr>
              <w:t>把医院现有的所有业务系统，在确保业务不中断情况下，平滑、稳定的搬迁割接至新机房。</w:t>
            </w:r>
          </w:p>
        </w:tc>
      </w:tr>
    </w:tbl>
    <w:p>
      <w:pPr>
        <w:numPr>
          <w:ilvl w:val="0"/>
          <w:numId w:val="0"/>
        </w:numPr>
        <w:rPr>
          <w:rFonts w:hint="eastAsia"/>
          <w:b/>
          <w:bCs/>
          <w:color w:val="auto"/>
          <w:highlight w:val="none"/>
          <w:lang w:val="en-US" w:eastAsia="zh-CN"/>
        </w:rPr>
      </w:pPr>
      <w:r>
        <w:rPr>
          <w:rFonts w:hint="eastAsia"/>
          <w:b/>
          <w:bCs/>
          <w:color w:val="auto"/>
          <w:highlight w:val="none"/>
          <w:lang w:val="en-US" w:eastAsia="zh-CN"/>
        </w:rPr>
        <w:t>注：</w:t>
      </w:r>
    </w:p>
    <w:p>
      <w:pPr>
        <w:numPr>
          <w:ilvl w:val="0"/>
          <w:numId w:val="0"/>
        </w:numPr>
        <w:ind w:firstLine="420" w:firstLineChars="200"/>
        <w:rPr>
          <w:rFonts w:hint="default"/>
          <w:color w:val="auto"/>
          <w:highlight w:val="none"/>
          <w:lang w:val="en-US" w:eastAsia="zh-CN"/>
        </w:rPr>
      </w:pPr>
      <w:r>
        <w:rPr>
          <w:rFonts w:hint="default"/>
          <w:color w:val="auto"/>
          <w:highlight w:val="none"/>
          <w:lang w:val="en-US" w:eastAsia="zh-CN"/>
        </w:rPr>
        <w:t>范围及技术要求：</w:t>
      </w:r>
    </w:p>
    <w:p>
      <w:pPr>
        <w:numPr>
          <w:ilvl w:val="0"/>
          <w:numId w:val="0"/>
        </w:numPr>
        <w:ind w:firstLine="420" w:firstLineChars="200"/>
        <w:rPr>
          <w:rFonts w:hint="default"/>
          <w:color w:val="auto"/>
          <w:highlight w:val="none"/>
          <w:lang w:val="en-US" w:eastAsia="zh-CN"/>
        </w:rPr>
      </w:pPr>
      <w:r>
        <w:rPr>
          <w:rFonts w:hint="default"/>
          <w:color w:val="auto"/>
          <w:highlight w:val="none"/>
          <w:lang w:val="en-US" w:eastAsia="zh-CN"/>
        </w:rPr>
        <w:t>（1）招标范围：此房间室内所有门、窗、地坪、墙壁、顶棚、消防、灯具、线路（强弱电）、及本次设备清单类。</w:t>
      </w:r>
    </w:p>
    <w:p>
      <w:pPr>
        <w:numPr>
          <w:ilvl w:val="0"/>
          <w:numId w:val="0"/>
        </w:numPr>
        <w:ind w:firstLine="420" w:firstLineChars="200"/>
        <w:rPr>
          <w:rFonts w:hint="default"/>
          <w:color w:val="auto"/>
          <w:highlight w:val="none"/>
          <w:lang w:val="en-US" w:eastAsia="zh-CN"/>
        </w:rPr>
      </w:pPr>
      <w:r>
        <w:rPr>
          <w:rFonts w:hint="default"/>
          <w:color w:val="auto"/>
          <w:highlight w:val="none"/>
          <w:lang w:val="en-US" w:eastAsia="zh-CN"/>
        </w:rPr>
        <w:t>（2）强电以强电井土建提供的总配电箱为节点，电井与机房区域所有线缆、桥架、电箱等工程量均为本次招标范围。</w:t>
      </w:r>
    </w:p>
    <w:p>
      <w:pPr>
        <w:numPr>
          <w:ilvl w:val="0"/>
          <w:numId w:val="0"/>
        </w:numPr>
        <w:ind w:firstLine="420" w:firstLineChars="200"/>
        <w:rPr>
          <w:rFonts w:hint="default"/>
          <w:color w:val="auto"/>
          <w:highlight w:val="none"/>
          <w:lang w:val="en-US" w:eastAsia="zh-CN"/>
        </w:rPr>
      </w:pPr>
      <w:r>
        <w:rPr>
          <w:rFonts w:hint="default"/>
          <w:color w:val="auto"/>
          <w:highlight w:val="none"/>
          <w:lang w:val="en-US" w:eastAsia="zh-CN"/>
        </w:rPr>
        <w:t xml:space="preserve">（3）弱电及技术服务：以弱电井原主楼弱电安装方交换机至机房区域综合布线及连接、调试均为本次招标范围。                             </w:t>
      </w:r>
    </w:p>
    <w:p>
      <w:pPr>
        <w:numPr>
          <w:ilvl w:val="0"/>
          <w:numId w:val="0"/>
        </w:numPr>
        <w:ind w:firstLine="420" w:firstLineChars="200"/>
        <w:rPr>
          <w:rFonts w:hint="default"/>
          <w:b/>
          <w:bCs/>
          <w:color w:val="auto"/>
          <w:highlight w:val="none"/>
          <w:lang w:val="en-US" w:eastAsia="zh-CN"/>
        </w:rPr>
      </w:pPr>
      <w:r>
        <w:rPr>
          <w:rFonts w:hint="default"/>
          <w:b/>
          <w:bCs/>
          <w:color w:val="auto"/>
          <w:highlight w:val="none"/>
          <w:lang w:val="en-US" w:eastAsia="zh-CN"/>
        </w:rPr>
        <w:t>此项目为交钥匙项目，清单所涵盖的项目范围均为各个独立的完整解决方案、整个项目后期不能追加预算。</w:t>
      </w:r>
    </w:p>
    <w:p>
      <w:pPr>
        <w:ind w:firstLine="420" w:firstLineChars="200"/>
        <w:jc w:val="center"/>
        <w:rPr>
          <w:rFonts w:cs="Times New Roman"/>
          <w:color w:val="auto"/>
          <w:highlight w:val="none"/>
        </w:rPr>
        <w:sectPr>
          <w:footerReference r:id="rId7" w:type="default"/>
          <w:pgSz w:w="11907" w:h="16840"/>
          <w:pgMar w:top="1134" w:right="1134" w:bottom="1134" w:left="1134" w:header="851" w:footer="992" w:gutter="0"/>
          <w:cols w:space="720" w:num="1"/>
          <w:docGrid w:type="linesAndChars" w:linePitch="312" w:charSpace="0"/>
        </w:sectPr>
      </w:pPr>
    </w:p>
    <w:p>
      <w:pPr>
        <w:pStyle w:val="20"/>
        <w:rPr>
          <w:rFonts w:ascii="宋体" w:cs="Times New Roman"/>
          <w:color w:val="auto"/>
          <w:sz w:val="44"/>
          <w:szCs w:val="44"/>
          <w:highlight w:val="none"/>
        </w:rPr>
      </w:pPr>
      <w:bookmarkStart w:id="54" w:name="_Toc2221"/>
      <w:bookmarkStart w:id="55" w:name="_Toc17825"/>
      <w:r>
        <w:rPr>
          <w:rFonts w:hint="eastAsia" w:ascii="宋体" w:hAnsi="宋体" w:cs="宋体"/>
          <w:color w:val="auto"/>
          <w:sz w:val="44"/>
          <w:szCs w:val="44"/>
          <w:highlight w:val="none"/>
        </w:rPr>
        <w:t>第五章合同签订及条款</w:t>
      </w:r>
      <w:bookmarkEnd w:id="54"/>
      <w:bookmarkEnd w:id="55"/>
    </w:p>
    <w:p>
      <w:pPr>
        <w:pStyle w:val="4"/>
        <w:spacing w:line="380" w:lineRule="exact"/>
        <w:rPr>
          <w:rFonts w:ascii="宋体" w:cs="Times New Roman"/>
          <w:color w:val="auto"/>
          <w:sz w:val="28"/>
          <w:szCs w:val="28"/>
          <w:highlight w:val="none"/>
        </w:rPr>
      </w:pPr>
      <w:bookmarkStart w:id="56" w:name="_Toc1706"/>
      <w:bookmarkStart w:id="57" w:name="_Toc21237"/>
      <w:bookmarkStart w:id="58" w:name="_Toc22607"/>
      <w:r>
        <w:rPr>
          <w:rFonts w:ascii="宋体" w:hAnsi="宋体" w:cs="宋体"/>
          <w:color w:val="auto"/>
          <w:sz w:val="28"/>
          <w:szCs w:val="28"/>
          <w:highlight w:val="none"/>
        </w:rPr>
        <w:t>1.</w:t>
      </w:r>
      <w:r>
        <w:rPr>
          <w:rFonts w:hint="eastAsia" w:ascii="宋体" w:hAnsi="宋体" w:cs="宋体"/>
          <w:color w:val="auto"/>
          <w:sz w:val="28"/>
          <w:szCs w:val="28"/>
          <w:highlight w:val="none"/>
        </w:rPr>
        <w:t>合同签订</w:t>
      </w:r>
      <w:bookmarkEnd w:id="56"/>
      <w:bookmarkEnd w:id="57"/>
      <w:bookmarkEnd w:id="58"/>
    </w:p>
    <w:p>
      <w:pPr>
        <w:spacing w:line="380" w:lineRule="exact"/>
        <w:rPr>
          <w:rFonts w:ascii="宋体" w:cs="Times New Roman"/>
          <w:color w:val="auto"/>
          <w:highlight w:val="none"/>
        </w:rPr>
      </w:pPr>
      <w:r>
        <w:rPr>
          <w:rFonts w:ascii="宋体" w:hAnsi="宋体" w:cs="宋体"/>
          <w:color w:val="auto"/>
          <w:kern w:val="0"/>
          <w:highlight w:val="none"/>
        </w:rPr>
        <w:t xml:space="preserve">    1.1 </w:t>
      </w:r>
      <w:r>
        <w:rPr>
          <w:rFonts w:hint="eastAsia" w:ascii="宋体" w:hAnsi="宋体" w:cs="宋体"/>
          <w:color w:val="auto"/>
          <w:highlight w:val="none"/>
        </w:rPr>
        <w:t>中标人应按中标通知书指定的时间、地点，与采购人签订合同。中标人与采购人不得签订背离招标文件实质性内容的合同，否则合同无效。</w:t>
      </w:r>
    </w:p>
    <w:p>
      <w:pPr>
        <w:spacing w:line="380" w:lineRule="exact"/>
        <w:rPr>
          <w:rFonts w:ascii="宋体" w:cs="Times New Roman"/>
          <w:color w:val="auto"/>
          <w:highlight w:val="none"/>
        </w:rPr>
      </w:pPr>
      <w:r>
        <w:rPr>
          <w:rFonts w:ascii="宋体" w:hAnsi="宋体" w:cs="宋体"/>
          <w:color w:val="auto"/>
          <w:kern w:val="0"/>
          <w:highlight w:val="none"/>
        </w:rPr>
        <w:t xml:space="preserve">    1.2 </w:t>
      </w:r>
      <w:r>
        <w:rPr>
          <w:rFonts w:hint="eastAsia" w:ascii="宋体" w:hAnsi="宋体" w:cs="宋体"/>
          <w:color w:val="auto"/>
          <w:highlight w:val="none"/>
        </w:rPr>
        <w:t>如采购人或中标人拒签合同，则按违约处理。</w:t>
      </w:r>
    </w:p>
    <w:p>
      <w:pPr>
        <w:spacing w:line="380" w:lineRule="exact"/>
        <w:rPr>
          <w:rFonts w:ascii="宋体" w:cs="Times New Roman"/>
          <w:color w:val="auto"/>
          <w:highlight w:val="none"/>
        </w:rPr>
      </w:pPr>
      <w:r>
        <w:rPr>
          <w:rFonts w:ascii="宋体" w:hAnsi="宋体" w:cs="宋体"/>
          <w:color w:val="auto"/>
          <w:kern w:val="0"/>
          <w:highlight w:val="none"/>
        </w:rPr>
        <w:t xml:space="preserve">    1.3 </w:t>
      </w:r>
      <w:r>
        <w:rPr>
          <w:rFonts w:hint="eastAsia" w:ascii="宋体" w:hAnsi="宋体" w:cs="宋体"/>
          <w:color w:val="auto"/>
          <w:highlight w:val="none"/>
        </w:rPr>
        <w:t>如中标人不按本招标文件要求签订合同，则取消其中标资格。招标人并依法追究中标人的缔约过失责任及其他法律责任。</w:t>
      </w:r>
    </w:p>
    <w:p>
      <w:pPr>
        <w:spacing w:line="380" w:lineRule="exact"/>
        <w:rPr>
          <w:rFonts w:ascii="宋体" w:cs="Times New Roman"/>
          <w:color w:val="auto"/>
          <w:highlight w:val="none"/>
        </w:rPr>
      </w:pPr>
      <w:r>
        <w:rPr>
          <w:rFonts w:ascii="宋体" w:hAnsi="宋体" w:cs="宋体"/>
          <w:color w:val="auto"/>
          <w:highlight w:val="none"/>
        </w:rPr>
        <w:t xml:space="preserve">    1.4 </w:t>
      </w:r>
      <w:r>
        <w:rPr>
          <w:rFonts w:hint="eastAsia" w:ascii="宋体" w:hAnsi="宋体" w:cs="宋体"/>
          <w:color w:val="auto"/>
          <w:highlight w:val="none"/>
        </w:rPr>
        <w:t>采购人追加合同标的权利：签订合同后，采购人如需追加与合同标的相同的货物、工程或者服务的，在不改变本合同其他条款的前提下，可以与中标人协商签订补充合同，但所有补充合同的采购金额不得超过原合同采购金额的</w:t>
      </w:r>
      <w:r>
        <w:rPr>
          <w:rFonts w:ascii="宋体" w:hAnsi="宋体" w:cs="宋体"/>
          <w:color w:val="auto"/>
          <w:highlight w:val="none"/>
        </w:rPr>
        <w:t>10%</w:t>
      </w:r>
      <w:r>
        <w:rPr>
          <w:rFonts w:hint="eastAsia" w:ascii="宋体" w:hAnsi="宋体" w:cs="宋体"/>
          <w:color w:val="auto"/>
          <w:highlight w:val="none"/>
        </w:rPr>
        <w:t>。</w:t>
      </w:r>
      <w:r>
        <w:rPr>
          <w:rFonts w:ascii="宋体" w:cs="Times New Roman"/>
          <w:color w:val="auto"/>
          <w:highlight w:val="none"/>
        </w:rPr>
        <w:tab/>
      </w:r>
    </w:p>
    <w:p>
      <w:pPr>
        <w:pStyle w:val="4"/>
        <w:spacing w:line="380" w:lineRule="exact"/>
        <w:rPr>
          <w:rFonts w:ascii="宋体" w:cs="Times New Roman"/>
          <w:color w:val="auto"/>
          <w:sz w:val="28"/>
          <w:szCs w:val="28"/>
          <w:highlight w:val="none"/>
        </w:rPr>
      </w:pPr>
      <w:bookmarkStart w:id="59" w:name="_Toc421284761"/>
      <w:bookmarkStart w:id="60" w:name="_Toc3047"/>
      <w:bookmarkStart w:id="61" w:name="_Toc8336"/>
      <w:bookmarkStart w:id="62" w:name="_Toc18545"/>
      <w:bookmarkStart w:id="63" w:name="_Toc8149"/>
      <w:bookmarkStart w:id="64" w:name="_Toc27043"/>
      <w:bookmarkStart w:id="65" w:name="_Toc20884"/>
      <w:r>
        <w:rPr>
          <w:rFonts w:ascii="宋体" w:hAnsi="宋体" w:cs="宋体"/>
          <w:color w:val="auto"/>
          <w:sz w:val="28"/>
          <w:szCs w:val="28"/>
          <w:highlight w:val="none"/>
        </w:rPr>
        <w:t>2.</w:t>
      </w:r>
      <w:r>
        <w:rPr>
          <w:rFonts w:hint="eastAsia" w:ascii="宋体" w:hAnsi="宋体" w:cs="宋体"/>
          <w:color w:val="auto"/>
          <w:sz w:val="28"/>
          <w:szCs w:val="28"/>
          <w:highlight w:val="none"/>
        </w:rPr>
        <w:t>合同一般条款</w:t>
      </w:r>
      <w:bookmarkEnd w:id="59"/>
      <w:bookmarkEnd w:id="60"/>
      <w:bookmarkEnd w:id="61"/>
      <w:bookmarkEnd w:id="62"/>
      <w:bookmarkEnd w:id="63"/>
      <w:bookmarkEnd w:id="64"/>
      <w:bookmarkEnd w:id="65"/>
    </w:p>
    <w:p>
      <w:pPr>
        <w:snapToGrid w:val="0"/>
        <w:spacing w:line="380" w:lineRule="exact"/>
        <w:rPr>
          <w:rFonts w:ascii="宋体" w:cs="Times New Roman"/>
          <w:color w:val="auto"/>
          <w:highlight w:val="none"/>
        </w:rPr>
      </w:pPr>
      <w:r>
        <w:rPr>
          <w:rFonts w:ascii="宋体" w:hAnsi="宋体" w:cs="宋体"/>
          <w:color w:val="auto"/>
          <w:highlight w:val="none"/>
        </w:rPr>
        <w:t xml:space="preserve">    2.1</w:t>
      </w:r>
      <w:r>
        <w:rPr>
          <w:rFonts w:hint="eastAsia" w:ascii="宋体" w:hAnsi="宋体" w:cs="宋体"/>
          <w:color w:val="auto"/>
          <w:highlight w:val="none"/>
        </w:rPr>
        <w:t>、定义</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）甲方（需方）即采购人，是指通过招标采购，接受合同货物及服务的各级国家机关、事业单位和团体组织。</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）乙方（供方）即中标供应商，是指中标后提供合同货物和服务的自然人、法人及其他组织。</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）合同是指由甲乙双方按照招标文件和投标文件的实质性内容，通过协商一致达成的书面协议。</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）合同价格指以中标价格为依据，在供方全面履行合同义务后，需方应支付给供方的金额。</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）技术资料是指合同货物及其相关的设计、制造、监造、检验、验收等文件（包括图纸、各种文字说明、标准）。</w:t>
      </w:r>
    </w:p>
    <w:p>
      <w:pPr>
        <w:snapToGrid w:val="0"/>
        <w:spacing w:line="380" w:lineRule="exact"/>
        <w:rPr>
          <w:rFonts w:ascii="宋体" w:cs="Times New Roman"/>
          <w:color w:val="auto"/>
          <w:highlight w:val="none"/>
        </w:rPr>
      </w:pPr>
      <w:r>
        <w:rPr>
          <w:rFonts w:ascii="宋体" w:hAnsi="宋体" w:cs="宋体"/>
          <w:color w:val="auto"/>
          <w:highlight w:val="none"/>
        </w:rPr>
        <w:t xml:space="preserve">    2.2</w:t>
      </w:r>
      <w:r>
        <w:rPr>
          <w:rFonts w:hint="eastAsia" w:ascii="宋体" w:hAnsi="宋体" w:cs="宋体"/>
          <w:color w:val="auto"/>
          <w:highlight w:val="none"/>
        </w:rPr>
        <w:t>、货物内容</w:t>
      </w:r>
    </w:p>
    <w:p>
      <w:pPr>
        <w:snapToGrid w:val="0"/>
        <w:spacing w:line="380" w:lineRule="exact"/>
        <w:ind w:firstLine="420" w:firstLineChars="200"/>
        <w:rPr>
          <w:rFonts w:ascii="宋体" w:cs="Times New Roman"/>
          <w:color w:val="auto"/>
          <w:highlight w:val="none"/>
        </w:rPr>
      </w:pPr>
      <w:r>
        <w:rPr>
          <w:rFonts w:hint="eastAsia" w:ascii="宋体" w:hAnsi="宋体" w:cs="宋体"/>
          <w:color w:val="auto"/>
          <w:highlight w:val="none"/>
        </w:rPr>
        <w:t>合同包括以下内容：货物名称、规格型号、技术参数、数量（单位）等内容。</w:t>
      </w:r>
    </w:p>
    <w:p>
      <w:pPr>
        <w:snapToGrid w:val="0"/>
        <w:spacing w:line="380" w:lineRule="exact"/>
        <w:rPr>
          <w:rFonts w:ascii="宋体" w:cs="Times New Roman"/>
          <w:color w:val="auto"/>
          <w:highlight w:val="none"/>
        </w:rPr>
      </w:pPr>
      <w:r>
        <w:rPr>
          <w:rFonts w:ascii="宋体" w:hAnsi="宋体" w:cs="宋体"/>
          <w:color w:val="auto"/>
          <w:highlight w:val="none"/>
        </w:rPr>
        <w:t xml:space="preserve">    2.3</w:t>
      </w:r>
      <w:r>
        <w:rPr>
          <w:rFonts w:hint="eastAsia" w:ascii="宋体" w:hAnsi="宋体" w:cs="宋体"/>
          <w:color w:val="auto"/>
          <w:highlight w:val="none"/>
        </w:rPr>
        <w:t>、合同价格</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）合同价格即合同总价。</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）合同价格包括合同货物、技术资料、合同货物的税费、运杂费、保险费、包装费、装卸费及与货物有关的供方应纳的税费等，所有税费由乙方负担。</w:t>
      </w:r>
    </w:p>
    <w:p>
      <w:pPr>
        <w:snapToGrid w:val="0"/>
        <w:spacing w:line="380" w:lineRule="exact"/>
        <w:rPr>
          <w:rFonts w:ascii="宋体" w:cs="Times New Roman"/>
          <w:color w:val="auto"/>
          <w:highlight w:val="none"/>
        </w:rPr>
      </w:pPr>
      <w:r>
        <w:rPr>
          <w:rFonts w:ascii="宋体" w:hAnsi="宋体" w:cs="宋体"/>
          <w:color w:val="auto"/>
          <w:highlight w:val="none"/>
        </w:rPr>
        <w:t xml:space="preserve">    2.4</w:t>
      </w:r>
      <w:r>
        <w:rPr>
          <w:rFonts w:hint="eastAsia" w:ascii="宋体" w:hAnsi="宋体" w:cs="宋体"/>
          <w:color w:val="auto"/>
          <w:highlight w:val="none"/>
        </w:rPr>
        <w:t>、转包或分包</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）本合同范围的货物，应由乙方直接供应，不得转让他人供应；</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）非经甲方书面同意，乙方不得将本合同范围的货物全部或部分分包给他人供应；</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）如有转让和未经甲方同意的分包行为，甲方有权解除合同，履约保证金不予退还并追究乙方的违约责任。</w:t>
      </w:r>
    </w:p>
    <w:p>
      <w:pPr>
        <w:pStyle w:val="11"/>
        <w:spacing w:line="380" w:lineRule="exact"/>
        <w:rPr>
          <w:rFonts w:hAnsi="宋体" w:cs="Times New Roman"/>
          <w:color w:val="auto"/>
          <w:highlight w:val="none"/>
        </w:rPr>
      </w:pPr>
      <w:r>
        <w:rPr>
          <w:rFonts w:hAnsi="宋体"/>
          <w:color w:val="auto"/>
          <w:highlight w:val="none"/>
        </w:rPr>
        <w:t xml:space="preserve">    2.5</w:t>
      </w:r>
      <w:r>
        <w:rPr>
          <w:rFonts w:hint="eastAsia" w:hAnsi="宋体"/>
          <w:color w:val="auto"/>
          <w:highlight w:val="none"/>
        </w:rPr>
        <w:t>、质量保证及售后服务</w:t>
      </w:r>
    </w:p>
    <w:p>
      <w:pPr>
        <w:pStyle w:val="11"/>
        <w:spacing w:line="380" w:lineRule="exact"/>
        <w:rPr>
          <w:rFonts w:hAnsi="宋体"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）乙方应按招标文件规定的货物性能、技术要求、质量标准向甲方提供未经使用的全新产品。</w:t>
      </w:r>
    </w:p>
    <w:p>
      <w:pPr>
        <w:pStyle w:val="11"/>
        <w:spacing w:line="380" w:lineRule="exact"/>
        <w:rPr>
          <w:rFonts w:hAnsi="宋体"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）乙方提供的货物在质保期内因货物本身的质量问题发生故障，乙方应负责免费更换。对达不到技术要求者，根据实际情况，经双方协商，可按以下办法处理：</w:t>
      </w:r>
    </w:p>
    <w:p>
      <w:pPr>
        <w:pStyle w:val="11"/>
        <w:spacing w:line="380" w:lineRule="exact"/>
        <w:ind w:firstLine="420" w:firstLineChars="200"/>
        <w:rPr>
          <w:rFonts w:hAnsi="宋体" w:cs="Times New Roman"/>
          <w:color w:val="auto"/>
          <w:highlight w:val="none"/>
        </w:rPr>
      </w:pPr>
      <w:r>
        <w:rPr>
          <w:rFonts w:hAnsi="宋体"/>
          <w:color w:val="auto"/>
          <w:highlight w:val="none"/>
        </w:rPr>
        <w:t>A</w:t>
      </w:r>
      <w:r>
        <w:rPr>
          <w:rFonts w:hint="eastAsia" w:hAnsi="宋体"/>
          <w:color w:val="auto"/>
          <w:highlight w:val="none"/>
        </w:rPr>
        <w:t>、更换：由乙方承担所发生的全部费用。</w:t>
      </w:r>
    </w:p>
    <w:p>
      <w:pPr>
        <w:pStyle w:val="11"/>
        <w:spacing w:line="380" w:lineRule="exact"/>
        <w:ind w:firstLine="420" w:firstLineChars="200"/>
        <w:rPr>
          <w:rFonts w:hAnsi="宋体" w:cs="Times New Roman"/>
          <w:color w:val="auto"/>
          <w:highlight w:val="none"/>
        </w:rPr>
      </w:pPr>
      <w:r>
        <w:rPr>
          <w:rFonts w:hAnsi="宋体"/>
          <w:color w:val="auto"/>
          <w:highlight w:val="none"/>
        </w:rPr>
        <w:t>B</w:t>
      </w:r>
      <w:r>
        <w:rPr>
          <w:rFonts w:hint="eastAsia" w:hAnsi="宋体"/>
          <w:color w:val="auto"/>
          <w:highlight w:val="none"/>
        </w:rPr>
        <w:t>、退货处理：乙方应退还甲方支付的合同款，同时应承担该货物的直接费用（运输、保险、检验、货款利息及银行手续费等）。</w:t>
      </w:r>
    </w:p>
    <w:p>
      <w:pPr>
        <w:pStyle w:val="11"/>
        <w:spacing w:line="380" w:lineRule="exact"/>
        <w:rPr>
          <w:rFonts w:hAnsi="宋体"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）如在使用过程中发生质量问题，乙方在接到甲方通知后在</w:t>
      </w:r>
      <w:r>
        <w:rPr>
          <w:rFonts w:hAnsi="宋体"/>
          <w:color w:val="auto"/>
          <w:highlight w:val="none"/>
          <w:u w:val="single"/>
        </w:rPr>
        <w:t>X</w:t>
      </w:r>
      <w:r>
        <w:rPr>
          <w:rFonts w:hint="eastAsia" w:hAnsi="宋体"/>
          <w:color w:val="auto"/>
          <w:highlight w:val="none"/>
        </w:rPr>
        <w:t>小时内到达甲方现场。</w:t>
      </w:r>
    </w:p>
    <w:p>
      <w:pPr>
        <w:pStyle w:val="11"/>
        <w:spacing w:line="380" w:lineRule="exact"/>
        <w:rPr>
          <w:rFonts w:hAnsi="宋体"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）在质保期内，乙方应对货物出现的质量及安全问题负责处理解决并承担一切费用。</w:t>
      </w:r>
    </w:p>
    <w:p>
      <w:pPr>
        <w:pStyle w:val="11"/>
        <w:spacing w:line="380" w:lineRule="exact"/>
        <w:rPr>
          <w:rFonts w:hAnsi="宋体"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）上述货物的免费保修期按照国家有关规定标准执行，终生维修，维修时只收部件成本费。</w:t>
      </w:r>
    </w:p>
    <w:p>
      <w:pPr>
        <w:snapToGrid w:val="0"/>
        <w:spacing w:line="380" w:lineRule="exact"/>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）乙方提供的货物由原厂提供售后服务的，乙方必须提供原厂商出具的售后服务承诺函（原件）。</w:t>
      </w:r>
    </w:p>
    <w:p>
      <w:pPr>
        <w:snapToGrid w:val="0"/>
        <w:spacing w:line="380" w:lineRule="exact"/>
        <w:rPr>
          <w:rFonts w:ascii="宋体" w:cs="Times New Roman"/>
          <w:color w:val="auto"/>
          <w:highlight w:val="none"/>
        </w:rPr>
      </w:pPr>
      <w:r>
        <w:rPr>
          <w:rFonts w:ascii="宋体" w:hAnsi="宋体" w:cs="宋体"/>
          <w:color w:val="auto"/>
          <w:highlight w:val="none"/>
        </w:rPr>
        <w:t xml:space="preserve">    2.6</w:t>
      </w:r>
      <w:r>
        <w:rPr>
          <w:rFonts w:hint="eastAsia" w:ascii="宋体" w:hAnsi="宋体" w:cs="宋体"/>
          <w:color w:val="auto"/>
          <w:highlight w:val="none"/>
        </w:rPr>
        <w:t>、付款</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）本合同使用货币币制为人民币。</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）付款方式及方法：按专用条款执行。</w:t>
      </w:r>
    </w:p>
    <w:p>
      <w:pPr>
        <w:snapToGrid w:val="0"/>
        <w:spacing w:line="380" w:lineRule="exact"/>
        <w:rPr>
          <w:rFonts w:ascii="宋体" w:cs="Times New Roman"/>
          <w:color w:val="auto"/>
          <w:highlight w:val="none"/>
        </w:rPr>
      </w:pPr>
      <w:r>
        <w:rPr>
          <w:rFonts w:ascii="宋体" w:hAnsi="宋体" w:cs="宋体"/>
          <w:color w:val="auto"/>
          <w:highlight w:val="none"/>
        </w:rPr>
        <w:t xml:space="preserve">    2.7</w:t>
      </w:r>
      <w:r>
        <w:rPr>
          <w:rFonts w:hint="eastAsia" w:ascii="宋体" w:hAnsi="宋体" w:cs="宋体"/>
          <w:color w:val="auto"/>
          <w:highlight w:val="none"/>
        </w:rPr>
        <w:t>、检查验收</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）供方应随货物提供合格证和质量证明文件，如是国外进口的货物还须提供入关证明。</w:t>
      </w:r>
    </w:p>
    <w:p>
      <w:pPr>
        <w:snapToGrid w:val="0"/>
        <w:spacing w:line="380" w:lineRule="exact"/>
        <w:ind w:firstLine="21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）货物验收</w:t>
      </w:r>
    </w:p>
    <w:p>
      <w:pPr>
        <w:snapToGrid w:val="0"/>
        <w:spacing w:line="380" w:lineRule="exact"/>
        <w:rPr>
          <w:rFonts w:ascii="宋体" w:cs="Times New Roman"/>
          <w:color w:val="auto"/>
          <w:highlight w:val="none"/>
        </w:rPr>
      </w:pPr>
      <w:r>
        <w:rPr>
          <w:rFonts w:hint="eastAsia" w:ascii="宋体" w:hAnsi="宋体" w:cs="宋体"/>
          <w:color w:val="auto"/>
          <w:highlight w:val="none"/>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napToGrid w:val="0"/>
        <w:spacing w:line="380" w:lineRule="exact"/>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）货物验收报告应由需方、供方经办人签字，并加盖双方公章，以此作为支付凭据。</w:t>
      </w:r>
    </w:p>
    <w:p>
      <w:pPr>
        <w:snapToGrid w:val="0"/>
        <w:spacing w:line="380" w:lineRule="exact"/>
        <w:rPr>
          <w:rFonts w:ascii="宋体" w:cs="Times New Roman"/>
          <w:color w:val="auto"/>
          <w:highlight w:val="none"/>
        </w:rPr>
      </w:pPr>
      <w:r>
        <w:rPr>
          <w:rFonts w:ascii="宋体" w:hAnsi="宋体" w:cs="宋体"/>
          <w:color w:val="auto"/>
          <w:highlight w:val="none"/>
        </w:rPr>
        <w:t xml:space="preserve">    2.8</w:t>
      </w:r>
      <w:r>
        <w:rPr>
          <w:rFonts w:hint="eastAsia" w:ascii="宋体" w:hAnsi="宋体" w:cs="宋体"/>
          <w:color w:val="auto"/>
          <w:highlight w:val="none"/>
        </w:rPr>
        <w:t>、索赔</w:t>
      </w:r>
    </w:p>
    <w:p>
      <w:pPr>
        <w:snapToGrid w:val="0"/>
        <w:spacing w:line="380" w:lineRule="exact"/>
        <w:ind w:firstLine="420" w:firstLineChars="200"/>
        <w:rPr>
          <w:rFonts w:ascii="宋体" w:cs="Times New Roman"/>
          <w:color w:val="auto"/>
          <w:highlight w:val="none"/>
        </w:rPr>
      </w:pPr>
      <w:r>
        <w:rPr>
          <w:rFonts w:hint="eastAsia" w:ascii="宋体" w:hAnsi="宋体" w:cs="宋体"/>
          <w:color w:val="auto"/>
          <w:highlight w:val="none"/>
        </w:rPr>
        <w:t>供方所提供货物、工程或者服务不符合合同约定的，需方有权拒收货物、拒绝服务、解除合同，供方应赔偿需方所有损失。</w:t>
      </w:r>
    </w:p>
    <w:p>
      <w:pPr>
        <w:pStyle w:val="11"/>
        <w:spacing w:line="380" w:lineRule="exact"/>
        <w:rPr>
          <w:rFonts w:hAnsi="宋体" w:cs="Times New Roman"/>
          <w:color w:val="auto"/>
          <w:highlight w:val="none"/>
        </w:rPr>
      </w:pPr>
      <w:r>
        <w:rPr>
          <w:rFonts w:hAnsi="宋体"/>
          <w:color w:val="auto"/>
          <w:highlight w:val="none"/>
        </w:rPr>
        <w:t xml:space="preserve">    2.9</w:t>
      </w:r>
      <w:r>
        <w:rPr>
          <w:rFonts w:hint="eastAsia" w:hAnsi="宋体"/>
          <w:color w:val="auto"/>
          <w:highlight w:val="none"/>
        </w:rPr>
        <w:t>、知识产权</w:t>
      </w:r>
    </w:p>
    <w:p>
      <w:pPr>
        <w:snapToGrid w:val="0"/>
        <w:spacing w:line="380" w:lineRule="exact"/>
        <w:rPr>
          <w:rFonts w:ascii="宋体" w:cs="Times New Roman"/>
          <w:color w:val="auto"/>
          <w:highlight w:val="none"/>
        </w:rPr>
      </w:pPr>
      <w:r>
        <w:rPr>
          <w:rFonts w:hint="eastAsia" w:ascii="宋体" w:hAnsi="宋体" w:cs="宋体"/>
          <w:color w:val="auto"/>
          <w:highlight w:val="none"/>
        </w:rPr>
        <w:t>乙方应保证所提供的货物或其任何一部分均不会侵犯任何第三方的知识产权，如若出现侵权行为，由乙方负全部责任。</w:t>
      </w:r>
    </w:p>
    <w:p>
      <w:pPr>
        <w:autoSpaceDE w:val="0"/>
        <w:autoSpaceDN w:val="0"/>
        <w:spacing w:line="380" w:lineRule="exact"/>
        <w:rPr>
          <w:rFonts w:ascii="宋体" w:cs="Times New Roman"/>
          <w:color w:val="auto"/>
          <w:highlight w:val="none"/>
          <w:lang w:val="zh-CN"/>
        </w:rPr>
      </w:pPr>
      <w:r>
        <w:rPr>
          <w:rFonts w:ascii="宋体" w:hAnsi="宋体" w:cs="宋体"/>
          <w:color w:val="auto"/>
          <w:highlight w:val="none"/>
        </w:rPr>
        <w:t xml:space="preserve">    2.10</w:t>
      </w:r>
      <w:r>
        <w:rPr>
          <w:rFonts w:hint="eastAsia" w:ascii="宋体" w:hAnsi="宋体" w:cs="宋体"/>
          <w:b/>
          <w:bCs/>
          <w:color w:val="auto"/>
          <w:highlight w:val="none"/>
          <w:lang w:val="zh-CN"/>
        </w:rPr>
        <w:t>、人员培训：</w:t>
      </w:r>
      <w:r>
        <w:rPr>
          <w:rFonts w:hint="eastAsia" w:ascii="宋体" w:hAnsi="宋体" w:cs="宋体"/>
          <w:color w:val="auto"/>
          <w:highlight w:val="none"/>
          <w:lang w:val="zh-CN"/>
        </w:rPr>
        <w:t>供方免费对需方人员进行技术培训，直到需方人员熟练操作或掌握为准。</w:t>
      </w:r>
    </w:p>
    <w:p>
      <w:pPr>
        <w:autoSpaceDE w:val="0"/>
        <w:autoSpaceDN w:val="0"/>
        <w:spacing w:line="380" w:lineRule="exact"/>
        <w:rPr>
          <w:rFonts w:ascii="宋体" w:cs="Times New Roman"/>
          <w:color w:val="auto"/>
          <w:highlight w:val="none"/>
          <w:u w:val="single"/>
          <w:lang w:val="zh-CN"/>
        </w:rPr>
      </w:pPr>
      <w:r>
        <w:rPr>
          <w:rFonts w:hint="eastAsia" w:ascii="宋体" w:hAnsi="宋体" w:cs="宋体"/>
          <w:color w:val="auto"/>
          <w:highlight w:val="none"/>
          <w:lang w:val="zh-CN"/>
        </w:rPr>
        <w:t>培训地点：；培训时间：；</w:t>
      </w:r>
    </w:p>
    <w:p>
      <w:pPr>
        <w:autoSpaceDE w:val="0"/>
        <w:autoSpaceDN w:val="0"/>
        <w:spacing w:line="380" w:lineRule="exact"/>
        <w:rPr>
          <w:rFonts w:ascii="宋体" w:cs="Times New Roman"/>
          <w:color w:val="auto"/>
          <w:highlight w:val="none"/>
          <w:lang w:val="zh-CN"/>
        </w:rPr>
      </w:pPr>
      <w:r>
        <w:rPr>
          <w:rFonts w:hint="eastAsia" w:ascii="宋体" w:hAnsi="宋体" w:cs="宋体"/>
          <w:color w:val="auto"/>
          <w:highlight w:val="none"/>
          <w:lang w:val="zh-CN"/>
        </w:rPr>
        <w:t>培训方式：；</w:t>
      </w:r>
    </w:p>
    <w:p>
      <w:pPr>
        <w:autoSpaceDE w:val="0"/>
        <w:autoSpaceDN w:val="0"/>
        <w:spacing w:line="380" w:lineRule="exact"/>
        <w:rPr>
          <w:rFonts w:ascii="宋体" w:cs="Times New Roman"/>
          <w:vanish/>
          <w:color w:val="auto"/>
          <w:highlight w:val="none"/>
          <w:lang w:val="zh-CN"/>
        </w:rPr>
      </w:pPr>
    </w:p>
    <w:p>
      <w:pPr>
        <w:snapToGrid w:val="0"/>
        <w:spacing w:line="380" w:lineRule="exact"/>
        <w:rPr>
          <w:rFonts w:ascii="宋体" w:cs="Times New Roman"/>
          <w:color w:val="auto"/>
          <w:highlight w:val="none"/>
        </w:rPr>
      </w:pPr>
      <w:r>
        <w:rPr>
          <w:rFonts w:ascii="宋体" w:hAnsi="宋体" w:cs="宋体"/>
          <w:color w:val="auto"/>
          <w:highlight w:val="none"/>
        </w:rPr>
        <w:t xml:space="preserve">    2.11</w:t>
      </w:r>
      <w:r>
        <w:rPr>
          <w:rFonts w:hint="eastAsia" w:ascii="宋体" w:hAnsi="宋体" w:cs="宋体"/>
          <w:color w:val="auto"/>
          <w:highlight w:val="none"/>
        </w:rPr>
        <w:t>、违约责任</w:t>
      </w:r>
    </w:p>
    <w:p>
      <w:pPr>
        <w:snapToGrid w:val="0"/>
        <w:spacing w:line="380" w:lineRule="exact"/>
        <w:ind w:firstLine="420" w:firstLineChars="200"/>
        <w:rPr>
          <w:rFonts w:ascii="宋体" w:cs="Times New Roman"/>
          <w:color w:val="auto"/>
          <w:highlight w:val="none"/>
        </w:rPr>
      </w:pPr>
      <w:r>
        <w:rPr>
          <w:rFonts w:hint="eastAsia" w:ascii="宋体" w:hAnsi="宋体" w:cs="宋体"/>
          <w:color w:val="auto"/>
          <w:highlight w:val="none"/>
        </w:rPr>
        <w:t>按专用条款及招标文件的其他有关约定执行。专用条款及招标文件约定不明或未约定的，按照《中华人民共和国合同法》、《中华人民共和国政府采购法》的有关规定执行。</w:t>
      </w:r>
      <w:bookmarkStart w:id="66" w:name="_Toc7617"/>
      <w:bookmarkStart w:id="67" w:name="_Toc421284762"/>
      <w:bookmarkStart w:id="68" w:name="_Toc18181"/>
      <w:bookmarkStart w:id="69" w:name="_Toc17676"/>
      <w:bookmarkStart w:id="70" w:name="_Toc15325"/>
      <w:bookmarkStart w:id="71" w:name="_Toc17461"/>
    </w:p>
    <w:p>
      <w:pPr>
        <w:pStyle w:val="4"/>
        <w:ind w:left="180"/>
        <w:rPr>
          <w:rFonts w:ascii="宋体" w:cs="Times New Roman"/>
          <w:color w:val="auto"/>
          <w:sz w:val="28"/>
          <w:szCs w:val="28"/>
          <w:highlight w:val="none"/>
        </w:rPr>
      </w:pPr>
      <w:bookmarkStart w:id="72" w:name="_Toc21226"/>
      <w:r>
        <w:rPr>
          <w:rFonts w:ascii="宋体" w:hAnsi="宋体" w:cs="宋体"/>
          <w:color w:val="auto"/>
          <w:sz w:val="28"/>
          <w:szCs w:val="28"/>
          <w:highlight w:val="none"/>
        </w:rPr>
        <w:t>3</w:t>
      </w:r>
      <w:r>
        <w:rPr>
          <w:rFonts w:hint="eastAsia" w:ascii="宋体" w:hAnsi="宋体" w:cs="宋体"/>
          <w:color w:val="auto"/>
          <w:sz w:val="28"/>
          <w:szCs w:val="28"/>
          <w:highlight w:val="none"/>
        </w:rPr>
        <w:t>．合同专用条款（特别约定条款）</w:t>
      </w:r>
      <w:bookmarkEnd w:id="66"/>
      <w:bookmarkEnd w:id="67"/>
      <w:bookmarkEnd w:id="68"/>
      <w:bookmarkEnd w:id="69"/>
      <w:bookmarkEnd w:id="70"/>
      <w:bookmarkEnd w:id="71"/>
      <w:bookmarkEnd w:id="72"/>
    </w:p>
    <w:p>
      <w:pPr>
        <w:jc w:val="center"/>
        <w:rPr>
          <w:rFonts w:ascii="宋体" w:cs="Times New Roman"/>
          <w:color w:val="auto"/>
          <w:highlight w:val="none"/>
        </w:rPr>
      </w:pPr>
      <w:r>
        <w:rPr>
          <w:rFonts w:hint="eastAsia" w:ascii="宋体" w:hAnsi="宋体" w:cs="宋体"/>
          <w:b/>
          <w:bCs/>
          <w:color w:val="auto"/>
          <w:highlight w:val="none"/>
        </w:rPr>
        <w:t>（注：可结合具体招标项目进行更明确的约定）</w:t>
      </w:r>
    </w:p>
    <w:p>
      <w:pPr>
        <w:spacing w:line="340" w:lineRule="exact"/>
        <w:rPr>
          <w:rFonts w:ascii="宋体" w:cs="Times New Roman"/>
          <w:b/>
          <w:bCs/>
          <w:color w:val="auto"/>
          <w:highlight w:val="none"/>
        </w:rPr>
      </w:pPr>
    </w:p>
    <w:p>
      <w:pPr>
        <w:spacing w:line="340" w:lineRule="exact"/>
        <w:jc w:val="center"/>
        <w:rPr>
          <w:rFonts w:ascii="宋体" w:cs="Times New Roman"/>
          <w:b/>
          <w:bCs/>
          <w:color w:val="auto"/>
          <w:sz w:val="24"/>
          <w:szCs w:val="24"/>
          <w:highlight w:val="none"/>
        </w:rPr>
      </w:pPr>
      <w:r>
        <w:rPr>
          <w:rFonts w:hint="eastAsia" w:ascii="宋体" w:hAnsi="宋体" w:cs="宋体"/>
          <w:b/>
          <w:bCs/>
          <w:color w:val="auto"/>
          <w:sz w:val="24"/>
          <w:szCs w:val="24"/>
          <w:highlight w:val="none"/>
        </w:rPr>
        <w:t>温县政府集中采购合同</w:t>
      </w:r>
    </w:p>
    <w:p>
      <w:pPr>
        <w:spacing w:line="340" w:lineRule="exact"/>
        <w:jc w:val="center"/>
        <w:rPr>
          <w:rFonts w:ascii="宋体" w:cs="Times New Roman"/>
          <w:b/>
          <w:bCs/>
          <w:color w:val="auto"/>
          <w:highlight w:val="none"/>
        </w:rPr>
      </w:pPr>
    </w:p>
    <w:p>
      <w:pPr>
        <w:spacing w:line="340" w:lineRule="exact"/>
        <w:rPr>
          <w:rFonts w:ascii="宋体" w:cs="Times New Roman"/>
          <w:color w:val="auto"/>
          <w:highlight w:val="none"/>
          <w:u w:val="single"/>
          <w:lang w:val="zh-CN"/>
        </w:rPr>
      </w:pPr>
      <w:r>
        <w:rPr>
          <w:rFonts w:hint="eastAsia" w:ascii="宋体" w:hAnsi="宋体" w:cs="宋体"/>
          <w:color w:val="auto"/>
          <w:highlight w:val="none"/>
          <w:lang w:val="zh-CN"/>
        </w:rPr>
        <w:t>合同编号：</w:t>
      </w:r>
    </w:p>
    <w:p>
      <w:pPr>
        <w:spacing w:line="340" w:lineRule="exact"/>
        <w:rPr>
          <w:rFonts w:ascii="宋体" w:cs="Times New Roman"/>
          <w:color w:val="auto"/>
          <w:highlight w:val="none"/>
          <w:u w:val="single"/>
          <w:lang w:val="zh-CN"/>
        </w:rPr>
      </w:pPr>
      <w:r>
        <w:rPr>
          <w:rFonts w:hint="eastAsia" w:ascii="宋体" w:hAnsi="宋体" w:cs="宋体"/>
          <w:color w:val="auto"/>
          <w:highlight w:val="none"/>
          <w:lang w:val="zh-CN"/>
        </w:rPr>
        <w:t>需方（甲方）（采购人全称）：</w:t>
      </w:r>
    </w:p>
    <w:p>
      <w:pPr>
        <w:spacing w:line="340" w:lineRule="exact"/>
        <w:rPr>
          <w:rFonts w:ascii="宋体" w:cs="Times New Roman"/>
          <w:color w:val="auto"/>
          <w:highlight w:val="none"/>
          <w:u w:val="single"/>
          <w:lang w:val="zh-CN"/>
        </w:rPr>
      </w:pPr>
      <w:r>
        <w:rPr>
          <w:rFonts w:hint="eastAsia" w:ascii="宋体" w:hAnsi="宋体" w:cs="宋体"/>
          <w:color w:val="auto"/>
          <w:highlight w:val="none"/>
          <w:lang w:val="zh-CN"/>
        </w:rPr>
        <w:t>供方（乙方）（中标供应商全称）：</w:t>
      </w:r>
    </w:p>
    <w:p>
      <w:pPr>
        <w:spacing w:line="340" w:lineRule="exact"/>
        <w:rPr>
          <w:rFonts w:ascii="宋体" w:cs="Times New Roman"/>
          <w:color w:val="auto"/>
          <w:highlight w:val="none"/>
          <w:lang w:val="zh-CN"/>
        </w:rPr>
      </w:pPr>
      <w:r>
        <w:rPr>
          <w:rFonts w:hint="eastAsia" w:ascii="宋体" w:hAnsi="宋体" w:cs="宋体"/>
          <w:color w:val="auto"/>
          <w:highlight w:val="none"/>
          <w:lang w:val="zh-CN"/>
        </w:rPr>
        <w:t>供方持签发的中标</w:t>
      </w:r>
      <w:r>
        <w:rPr>
          <w:rFonts w:ascii="宋体" w:hAnsi="宋体" w:cs="宋体"/>
          <w:color w:val="auto"/>
          <w:highlight w:val="none"/>
          <w:lang w:val="zh-CN"/>
        </w:rPr>
        <w:t>/</w:t>
      </w:r>
      <w:r>
        <w:rPr>
          <w:rFonts w:hint="eastAsia" w:ascii="宋体" w:hAnsi="宋体" w:cs="宋体"/>
          <w:color w:val="auto"/>
          <w:highlight w:val="none"/>
          <w:lang w:val="zh-CN"/>
        </w:rPr>
        <w:t>成交通知书，根据招标文件、供方的投标</w:t>
      </w:r>
      <w:r>
        <w:rPr>
          <w:rFonts w:ascii="宋体" w:hAnsi="宋体" w:cs="宋体"/>
          <w:color w:val="auto"/>
          <w:highlight w:val="none"/>
          <w:lang w:val="zh-CN"/>
        </w:rPr>
        <w:t>/</w:t>
      </w:r>
      <w:r>
        <w:rPr>
          <w:rFonts w:hint="eastAsia" w:ascii="宋体" w:hAnsi="宋体" w:cs="宋体"/>
          <w:color w:val="auto"/>
          <w:highlight w:val="none"/>
          <w:lang w:val="zh-CN"/>
        </w:rPr>
        <w:t>报价等文件</w:t>
      </w:r>
      <w:r>
        <w:rPr>
          <w:rFonts w:ascii="宋体" w:hAnsi="宋体" w:cs="宋体"/>
          <w:color w:val="auto"/>
          <w:highlight w:val="none"/>
          <w:lang w:val="zh-CN"/>
        </w:rPr>
        <w:t>[</w:t>
      </w:r>
      <w:r>
        <w:rPr>
          <w:rFonts w:hint="eastAsia" w:ascii="宋体" w:hAnsi="宋体" w:cs="宋体"/>
          <w:color w:val="auto"/>
          <w:highlight w:val="none"/>
          <w:lang w:val="zh-CN"/>
        </w:rPr>
        <w:t>项目编号：温交易</w:t>
      </w:r>
      <w:r>
        <w:rPr>
          <w:rFonts w:ascii="宋体" w:hAnsi="宋体" w:cs="宋体"/>
          <w:color w:val="auto"/>
          <w:highlight w:val="none"/>
          <w:lang w:val="zh-CN"/>
        </w:rPr>
        <w:t>]</w:t>
      </w:r>
      <w:r>
        <w:rPr>
          <w:rFonts w:hint="eastAsia" w:ascii="宋体" w:hAnsi="宋体" w:cs="宋体"/>
          <w:color w:val="auto"/>
          <w:highlight w:val="none"/>
          <w:lang w:val="zh-CN"/>
        </w:rPr>
        <w:t>，按照《政府采购法》、《合同法》等有关法律、法规的规定，供需双方经协商一致，达成以下合同专用条款：</w:t>
      </w:r>
    </w:p>
    <w:p>
      <w:pPr>
        <w:spacing w:line="340" w:lineRule="exact"/>
        <w:rPr>
          <w:rFonts w:ascii="宋体" w:cs="Times New Roman"/>
          <w:color w:val="auto"/>
          <w:highlight w:val="none"/>
          <w:lang w:val="zh-CN"/>
        </w:rPr>
      </w:pPr>
      <w:r>
        <w:rPr>
          <w:rFonts w:hint="eastAsia" w:ascii="宋体" w:hAnsi="宋体" w:cs="宋体"/>
          <w:b/>
          <w:bCs/>
          <w:color w:val="auto"/>
          <w:highlight w:val="none"/>
          <w:lang w:val="zh-CN"/>
        </w:rPr>
        <w:t>一、本合同名称</w:t>
      </w:r>
      <w:r>
        <w:rPr>
          <w:rFonts w:hint="eastAsia" w:ascii="宋体" w:hAnsi="宋体" w:cs="宋体"/>
          <w:color w:val="auto"/>
          <w:highlight w:val="none"/>
          <w:lang w:val="zh-CN"/>
        </w:rPr>
        <w:t>：。</w:t>
      </w:r>
    </w:p>
    <w:p>
      <w:pPr>
        <w:spacing w:line="340" w:lineRule="exact"/>
        <w:rPr>
          <w:rFonts w:ascii="宋体" w:cs="Times New Roman"/>
          <w:color w:val="auto"/>
          <w:highlight w:val="none"/>
          <w:lang w:val="zh-CN"/>
        </w:rPr>
      </w:pPr>
      <w:r>
        <w:rPr>
          <w:rFonts w:hint="eastAsia" w:ascii="宋体" w:hAnsi="宋体" w:cs="宋体"/>
          <w:b/>
          <w:bCs/>
          <w:color w:val="auto"/>
          <w:highlight w:val="none"/>
          <w:lang w:val="zh-CN"/>
        </w:rPr>
        <w:t>二、本合同总价</w:t>
      </w:r>
      <w:r>
        <w:rPr>
          <w:rFonts w:hint="eastAsia" w:ascii="宋体" w:hAnsi="宋体" w:cs="宋体"/>
          <w:color w:val="auto"/>
          <w:highlight w:val="none"/>
          <w:lang w:val="zh-CN"/>
        </w:rPr>
        <w:t>：元（人民币）（大写：元）。供货范围、技术规格、及分项价格如下：单位：人民币元</w:t>
      </w:r>
    </w:p>
    <w:tbl>
      <w:tblPr>
        <w:tblStyle w:val="23"/>
        <w:tblW w:w="9876" w:type="dxa"/>
        <w:jc w:val="center"/>
        <w:tblLayout w:type="fixed"/>
        <w:tblCellMar>
          <w:top w:w="0" w:type="dxa"/>
          <w:left w:w="108" w:type="dxa"/>
          <w:bottom w:w="0" w:type="dxa"/>
          <w:right w:w="108" w:type="dxa"/>
        </w:tblCellMar>
      </w:tblPr>
      <w:tblGrid>
        <w:gridCol w:w="1215"/>
        <w:gridCol w:w="1082"/>
        <w:gridCol w:w="1082"/>
        <w:gridCol w:w="1082"/>
        <w:gridCol w:w="1082"/>
        <w:gridCol w:w="1082"/>
        <w:gridCol w:w="1082"/>
        <w:gridCol w:w="1082"/>
        <w:gridCol w:w="1087"/>
      </w:tblGrid>
      <w:tr>
        <w:tblPrEx>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c>
          <w:tcPr>
            <w:tcW w:w="1082" w:type="dxa"/>
            <w:tcBorders>
              <w:top w:val="single" w:color="auto" w:sz="6" w:space="0"/>
              <w:left w:val="single" w:color="auto" w:sz="6" w:space="0"/>
              <w:bottom w:val="single" w:color="auto" w:sz="6" w:space="0"/>
              <w:right w:val="single" w:color="auto" w:sz="4" w:space="0"/>
            </w:tcBorders>
            <w:vAlign w:val="center"/>
          </w:tcPr>
          <w:p>
            <w:pPr>
              <w:spacing w:line="340" w:lineRule="exact"/>
              <w:rPr>
                <w:rFonts w:ascii="宋体" w:cs="Times New Roman"/>
                <w:color w:val="auto"/>
                <w:highlight w:val="none"/>
                <w:lang w:val="zh-CN"/>
              </w:rPr>
            </w:pPr>
          </w:p>
        </w:tc>
        <w:tc>
          <w:tcPr>
            <w:tcW w:w="1087" w:type="dxa"/>
            <w:tcBorders>
              <w:top w:val="single" w:color="auto" w:sz="6" w:space="0"/>
              <w:left w:val="single" w:color="auto" w:sz="4" w:space="0"/>
              <w:bottom w:val="single" w:color="auto" w:sz="6" w:space="0"/>
              <w:right w:val="single" w:color="auto" w:sz="6" w:space="0"/>
            </w:tcBorders>
            <w:vAlign w:val="center"/>
          </w:tcPr>
          <w:p>
            <w:pPr>
              <w:spacing w:line="340" w:lineRule="exact"/>
              <w:rPr>
                <w:rFonts w:ascii="宋体" w:cs="Times New Roman"/>
                <w:color w:val="auto"/>
                <w:highlight w:val="none"/>
                <w:lang w:val="zh-CN"/>
              </w:rPr>
            </w:pPr>
          </w:p>
        </w:tc>
      </w:tr>
      <w:tr>
        <w:tblPrEx>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4" w:space="0"/>
            </w:tcBorders>
            <w:vAlign w:val="center"/>
          </w:tcPr>
          <w:p>
            <w:pPr>
              <w:spacing w:line="340" w:lineRule="exact"/>
              <w:rPr>
                <w:rFonts w:ascii="宋体" w:cs="Times New Roman"/>
                <w:color w:val="auto"/>
                <w:highlight w:val="none"/>
              </w:rPr>
            </w:pPr>
          </w:p>
        </w:tc>
        <w:tc>
          <w:tcPr>
            <w:tcW w:w="1087" w:type="dxa"/>
            <w:tcBorders>
              <w:top w:val="single" w:color="auto" w:sz="6" w:space="0"/>
              <w:left w:val="single" w:color="auto" w:sz="4" w:space="0"/>
              <w:bottom w:val="single" w:color="auto" w:sz="6" w:space="0"/>
              <w:right w:val="single" w:color="auto" w:sz="6" w:space="0"/>
            </w:tcBorders>
            <w:vAlign w:val="center"/>
          </w:tcPr>
          <w:p>
            <w:pPr>
              <w:spacing w:line="340" w:lineRule="exact"/>
              <w:rPr>
                <w:rFonts w:ascii="宋体" w:cs="Times New Roman"/>
                <w:color w:val="auto"/>
                <w:highlight w:val="none"/>
              </w:rPr>
            </w:pPr>
          </w:p>
        </w:tc>
      </w:tr>
      <w:tr>
        <w:tblPrEx>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4" w:space="0"/>
            </w:tcBorders>
          </w:tcPr>
          <w:p>
            <w:pPr>
              <w:spacing w:line="340" w:lineRule="exact"/>
              <w:rPr>
                <w:rFonts w:ascii="宋体" w:cs="Times New Roman"/>
                <w:color w:val="auto"/>
                <w:highlight w:val="none"/>
              </w:rPr>
            </w:pPr>
          </w:p>
        </w:tc>
        <w:tc>
          <w:tcPr>
            <w:tcW w:w="1087" w:type="dxa"/>
            <w:tcBorders>
              <w:top w:val="single" w:color="auto" w:sz="6" w:space="0"/>
              <w:left w:val="single" w:color="auto" w:sz="4" w:space="0"/>
              <w:bottom w:val="single" w:color="auto" w:sz="6" w:space="0"/>
              <w:right w:val="single" w:color="auto" w:sz="6" w:space="0"/>
            </w:tcBorders>
          </w:tcPr>
          <w:p>
            <w:pPr>
              <w:spacing w:line="340" w:lineRule="exact"/>
              <w:rPr>
                <w:rFonts w:ascii="宋体" w:cs="Times New Roman"/>
                <w:color w:val="auto"/>
                <w:highlight w:val="none"/>
              </w:rPr>
            </w:pPr>
          </w:p>
        </w:tc>
      </w:tr>
      <w:tr>
        <w:tblPrEx>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1082" w:type="dxa"/>
            <w:tcBorders>
              <w:top w:val="single" w:color="auto" w:sz="6" w:space="0"/>
              <w:left w:val="single" w:color="auto" w:sz="6" w:space="0"/>
              <w:bottom w:val="single" w:color="auto" w:sz="6" w:space="0"/>
              <w:right w:val="single" w:color="auto" w:sz="4" w:space="0"/>
            </w:tcBorders>
          </w:tcPr>
          <w:p>
            <w:pPr>
              <w:spacing w:line="340" w:lineRule="exact"/>
              <w:rPr>
                <w:rFonts w:ascii="宋体" w:cs="Times New Roman"/>
                <w:color w:val="auto"/>
                <w:highlight w:val="none"/>
              </w:rPr>
            </w:pPr>
          </w:p>
        </w:tc>
        <w:tc>
          <w:tcPr>
            <w:tcW w:w="1087" w:type="dxa"/>
            <w:tcBorders>
              <w:top w:val="single" w:color="auto" w:sz="6" w:space="0"/>
              <w:left w:val="single" w:color="auto" w:sz="4" w:space="0"/>
              <w:bottom w:val="single" w:color="auto" w:sz="6" w:space="0"/>
              <w:right w:val="single" w:color="auto" w:sz="6" w:space="0"/>
            </w:tcBorders>
          </w:tcPr>
          <w:p>
            <w:pPr>
              <w:spacing w:line="340" w:lineRule="exact"/>
              <w:rPr>
                <w:rFonts w:ascii="宋体" w:cs="Times New Roman"/>
                <w:color w:val="auto"/>
                <w:highlight w:val="none"/>
              </w:rPr>
            </w:pPr>
          </w:p>
        </w:tc>
      </w:tr>
      <w:tr>
        <w:tblPrEx>
          <w:tblCellMar>
            <w:top w:w="0" w:type="dxa"/>
            <w:left w:w="108" w:type="dxa"/>
            <w:bottom w:w="0" w:type="dxa"/>
            <w:right w:w="108" w:type="dxa"/>
          </w:tblCellMar>
        </w:tblPrEx>
        <w:trPr>
          <w:trHeight w:val="488" w:hRule="atLeast"/>
          <w:jc w:val="center"/>
        </w:trPr>
        <w:tc>
          <w:tcPr>
            <w:tcW w:w="1215" w:type="dxa"/>
            <w:vMerge w:val="restar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cs="Times New Roman"/>
                <w:color w:val="auto"/>
                <w:highlight w:val="none"/>
                <w:lang w:val="zh-CN"/>
              </w:rPr>
            </w:pPr>
            <w:r>
              <w:rPr>
                <w:rFonts w:hint="eastAsia" w:ascii="宋体" w:hAnsi="宋体" w:cs="宋体"/>
                <w:color w:val="auto"/>
                <w:highlight w:val="none"/>
                <w:lang w:val="zh-CN"/>
              </w:rPr>
              <w:t>总价</w:t>
            </w:r>
          </w:p>
          <w:p>
            <w:pPr>
              <w:spacing w:line="340" w:lineRule="exact"/>
              <w:jc w:val="center"/>
              <w:rPr>
                <w:rFonts w:ascii="宋体" w:cs="Times New Roman"/>
                <w:color w:val="auto"/>
                <w:highlight w:val="none"/>
                <w:lang w:val="zh-CN"/>
              </w:rPr>
            </w:pPr>
            <w:r>
              <w:rPr>
                <w:rFonts w:hint="eastAsia" w:ascii="宋体" w:hAnsi="宋体" w:cs="宋体"/>
                <w:color w:val="auto"/>
                <w:highlight w:val="none"/>
                <w:lang w:val="zh-CN"/>
              </w:rPr>
              <w:t>（人民币）</w:t>
            </w:r>
          </w:p>
        </w:tc>
        <w:tc>
          <w:tcPr>
            <w:tcW w:w="8661" w:type="dxa"/>
            <w:gridSpan w:val="8"/>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cs="Times New Roman"/>
                <w:color w:val="auto"/>
                <w:highlight w:val="none"/>
                <w:lang w:val="zh-CN"/>
              </w:rPr>
            </w:pPr>
            <w:r>
              <w:rPr>
                <w:rFonts w:hint="eastAsia" w:ascii="宋体" w:hAnsi="宋体" w:cs="宋体"/>
                <w:color w:val="auto"/>
                <w:highlight w:val="none"/>
                <w:lang w:val="zh-CN"/>
              </w:rPr>
              <w:t>小写：</w:t>
            </w:r>
          </w:p>
        </w:tc>
      </w:tr>
      <w:tr>
        <w:tblPrEx>
          <w:tblCellMar>
            <w:top w:w="0" w:type="dxa"/>
            <w:left w:w="108" w:type="dxa"/>
            <w:bottom w:w="0" w:type="dxa"/>
            <w:right w:w="108" w:type="dxa"/>
          </w:tblCellMar>
        </w:tblPrEx>
        <w:trPr>
          <w:trHeight w:val="370" w:hRule="atLeast"/>
          <w:jc w:val="center"/>
        </w:trPr>
        <w:tc>
          <w:tcPr>
            <w:tcW w:w="1215" w:type="dxa"/>
            <w:vMerge w:val="continue"/>
            <w:tcBorders>
              <w:top w:val="single" w:color="auto" w:sz="6" w:space="0"/>
              <w:left w:val="single" w:color="auto" w:sz="6" w:space="0"/>
              <w:bottom w:val="single" w:color="auto" w:sz="6" w:space="0"/>
              <w:right w:val="single" w:color="auto" w:sz="6" w:space="0"/>
            </w:tcBorders>
          </w:tcPr>
          <w:p>
            <w:pPr>
              <w:spacing w:line="340" w:lineRule="exact"/>
              <w:rPr>
                <w:rFonts w:ascii="宋体" w:cs="Times New Roman"/>
                <w:color w:val="auto"/>
                <w:highlight w:val="none"/>
              </w:rPr>
            </w:pPr>
          </w:p>
        </w:tc>
        <w:tc>
          <w:tcPr>
            <w:tcW w:w="8661" w:type="dxa"/>
            <w:gridSpan w:val="8"/>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cs="Times New Roman"/>
                <w:color w:val="auto"/>
                <w:highlight w:val="none"/>
              </w:rPr>
            </w:pPr>
            <w:r>
              <w:rPr>
                <w:rFonts w:hint="eastAsia" w:ascii="宋体" w:hAnsi="宋体" w:cs="宋体"/>
                <w:color w:val="auto"/>
                <w:highlight w:val="none"/>
                <w:lang w:val="zh-CN"/>
              </w:rPr>
              <w:t>大写：</w:t>
            </w:r>
            <w:r>
              <w:rPr>
                <w:rFonts w:hint="eastAsia" w:ascii="宋体" w:hAnsi="宋体" w:cs="宋体"/>
                <w:color w:val="auto"/>
                <w:highlight w:val="none"/>
              </w:rPr>
              <w:t>佰</w:t>
            </w:r>
            <w:r>
              <w:rPr>
                <w:rFonts w:hint="eastAsia" w:ascii="宋体" w:hAnsi="宋体" w:cs="宋体"/>
                <w:color w:val="auto"/>
                <w:highlight w:val="none"/>
                <w:lang w:val="zh-CN"/>
              </w:rPr>
              <w:t>拾</w:t>
            </w:r>
            <w:r>
              <w:rPr>
                <w:rFonts w:ascii="宋体" w:hAnsi="宋体" w:cs="宋体"/>
                <w:color w:val="auto"/>
                <w:highlight w:val="none"/>
                <w:lang w:val="zh-CN"/>
              </w:rPr>
              <w:t xml:space="preserve">  </w:t>
            </w:r>
            <w:r>
              <w:rPr>
                <w:rFonts w:hint="eastAsia" w:ascii="宋体" w:hAnsi="宋体" w:cs="宋体"/>
                <w:color w:val="auto"/>
                <w:highlight w:val="none"/>
                <w:lang w:val="zh-CN"/>
              </w:rPr>
              <w:t>万</w:t>
            </w:r>
            <w:r>
              <w:rPr>
                <w:rFonts w:ascii="宋体" w:hAnsi="宋体" w:cs="宋体"/>
                <w:color w:val="auto"/>
                <w:highlight w:val="none"/>
                <w:lang w:val="zh-CN"/>
              </w:rPr>
              <w:t xml:space="preserve">  </w:t>
            </w:r>
            <w:r>
              <w:rPr>
                <w:rFonts w:hint="eastAsia" w:ascii="宋体" w:hAnsi="宋体" w:cs="宋体"/>
                <w:color w:val="auto"/>
                <w:highlight w:val="none"/>
                <w:lang w:val="zh-CN"/>
              </w:rPr>
              <w:t>仟</w:t>
            </w:r>
            <w:r>
              <w:rPr>
                <w:rFonts w:ascii="宋体" w:hAnsi="宋体" w:cs="宋体"/>
                <w:color w:val="auto"/>
                <w:highlight w:val="none"/>
                <w:lang w:val="zh-CN"/>
              </w:rPr>
              <w:t xml:space="preserve">  </w:t>
            </w:r>
            <w:r>
              <w:rPr>
                <w:rFonts w:hint="eastAsia" w:ascii="宋体" w:hAnsi="宋体" w:cs="宋体"/>
                <w:color w:val="auto"/>
                <w:highlight w:val="none"/>
                <w:lang w:val="zh-CN"/>
              </w:rPr>
              <w:t>佰</w:t>
            </w:r>
            <w:r>
              <w:rPr>
                <w:rFonts w:ascii="宋体" w:hAnsi="宋体" w:cs="宋体"/>
                <w:color w:val="auto"/>
                <w:highlight w:val="none"/>
                <w:lang w:val="zh-CN"/>
              </w:rPr>
              <w:t xml:space="preserve">  </w:t>
            </w:r>
            <w:r>
              <w:rPr>
                <w:rFonts w:hint="eastAsia" w:ascii="宋体" w:hAnsi="宋体" w:cs="宋体"/>
                <w:color w:val="auto"/>
                <w:highlight w:val="none"/>
                <w:lang w:val="zh-CN"/>
              </w:rPr>
              <w:t>拾</w:t>
            </w:r>
            <w:r>
              <w:rPr>
                <w:rFonts w:ascii="宋体" w:hAnsi="宋体" w:cs="宋体"/>
                <w:color w:val="auto"/>
                <w:highlight w:val="none"/>
                <w:lang w:val="zh-CN"/>
              </w:rPr>
              <w:t xml:space="preserve">  </w:t>
            </w:r>
            <w:r>
              <w:rPr>
                <w:rFonts w:hint="eastAsia" w:ascii="宋体" w:hAnsi="宋体" w:cs="宋体"/>
                <w:color w:val="auto"/>
                <w:highlight w:val="none"/>
                <w:lang w:val="zh-CN"/>
              </w:rPr>
              <w:t>元角分</w:t>
            </w:r>
          </w:p>
        </w:tc>
      </w:tr>
    </w:tbl>
    <w:p>
      <w:pPr>
        <w:spacing w:line="340" w:lineRule="exact"/>
        <w:rPr>
          <w:rFonts w:ascii="宋体" w:cs="Times New Roman"/>
          <w:b/>
          <w:bCs/>
          <w:color w:val="auto"/>
          <w:highlight w:val="none"/>
          <w:lang w:val="zh-CN"/>
        </w:rPr>
      </w:pPr>
      <w:r>
        <w:rPr>
          <w:rFonts w:hint="eastAsia" w:ascii="宋体" w:hAnsi="宋体" w:cs="宋体"/>
          <w:b/>
          <w:bCs/>
          <w:color w:val="auto"/>
          <w:highlight w:val="none"/>
          <w:lang w:val="zh-CN"/>
        </w:rPr>
        <w:t>三、质量要求及供方对质量负责条件和期限：</w:t>
      </w:r>
    </w:p>
    <w:p>
      <w:pPr>
        <w:spacing w:line="340" w:lineRule="exact"/>
        <w:rPr>
          <w:rFonts w:ascii="宋体" w:cs="Times New Roman"/>
          <w:color w:val="auto"/>
          <w:highlight w:val="none"/>
          <w:lang w:val="zh-CN"/>
        </w:rPr>
      </w:pPr>
      <w:r>
        <w:rPr>
          <w:rFonts w:hint="eastAsia" w:ascii="宋体" w:hAnsi="宋体" w:cs="宋体"/>
          <w:color w:val="auto"/>
          <w:highlight w:val="none"/>
        </w:rPr>
        <w:t>所供货物必须首先符合有关国家强制性规定、国家（行业）标准或相关法律法规要求</w:t>
      </w:r>
      <w:r>
        <w:rPr>
          <w:rFonts w:hint="eastAsia" w:ascii="宋体" w:hAnsi="宋体" w:cs="宋体"/>
          <w:color w:val="auto"/>
          <w:highlight w:val="none"/>
          <w:lang w:val="zh-CN"/>
        </w:rPr>
        <w:t>，同时符合招标文件规定的合格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安装调试后日内。</w:t>
      </w:r>
    </w:p>
    <w:p>
      <w:pPr>
        <w:spacing w:line="340" w:lineRule="exact"/>
        <w:rPr>
          <w:rFonts w:ascii="宋体" w:cs="Times New Roman"/>
          <w:b/>
          <w:bCs/>
          <w:color w:val="auto"/>
          <w:highlight w:val="none"/>
          <w:lang w:val="zh-CN"/>
        </w:rPr>
      </w:pPr>
      <w:r>
        <w:rPr>
          <w:rFonts w:hint="eastAsia" w:ascii="宋体" w:hAnsi="宋体" w:cs="宋体"/>
          <w:b/>
          <w:bCs/>
          <w:color w:val="auto"/>
          <w:highlight w:val="none"/>
          <w:lang w:val="zh-CN"/>
        </w:rPr>
        <w:t>四、售后服务承诺：</w:t>
      </w:r>
    </w:p>
    <w:p>
      <w:pPr>
        <w:spacing w:line="340" w:lineRule="exact"/>
        <w:rPr>
          <w:rFonts w:ascii="宋体" w:cs="Times New Roman"/>
          <w:color w:val="auto"/>
          <w:highlight w:val="none"/>
          <w:u w:val="single"/>
          <w:lang w:val="zh-CN"/>
        </w:rPr>
      </w:pPr>
      <w:r>
        <w:rPr>
          <w:rFonts w:hint="eastAsia" w:ascii="宋体" w:hAnsi="宋体" w:cs="宋体"/>
          <w:color w:val="auto"/>
          <w:highlight w:val="none"/>
          <w:lang w:val="zh-CN"/>
        </w:rPr>
        <w:t>售后服务响应时间：</w:t>
      </w:r>
    </w:p>
    <w:p>
      <w:pPr>
        <w:spacing w:line="340" w:lineRule="exact"/>
        <w:rPr>
          <w:rFonts w:ascii="宋体" w:cs="Times New Roman"/>
          <w:color w:val="auto"/>
          <w:highlight w:val="none"/>
          <w:lang w:val="zh-CN"/>
        </w:rPr>
      </w:pPr>
      <w:r>
        <w:rPr>
          <w:rFonts w:hint="eastAsia" w:ascii="宋体" w:hAnsi="宋体" w:cs="宋体"/>
          <w:color w:val="auto"/>
          <w:highlight w:val="none"/>
          <w:lang w:val="zh-CN"/>
        </w:rPr>
        <w:t>解决问题时间：</w:t>
      </w:r>
    </w:p>
    <w:p>
      <w:pPr>
        <w:spacing w:line="340" w:lineRule="exact"/>
        <w:rPr>
          <w:rFonts w:ascii="宋体" w:cs="Times New Roman"/>
          <w:color w:val="auto"/>
          <w:highlight w:val="none"/>
          <w:lang w:val="zh-CN"/>
        </w:rPr>
      </w:pPr>
      <w:r>
        <w:rPr>
          <w:rFonts w:hint="eastAsia" w:ascii="宋体" w:hAnsi="宋体" w:cs="宋体"/>
          <w:color w:val="auto"/>
          <w:highlight w:val="none"/>
          <w:lang w:val="zh-CN"/>
        </w:rPr>
        <w:t>售后服务机构名称、地址及联系方式：</w:t>
      </w:r>
    </w:p>
    <w:p>
      <w:pPr>
        <w:spacing w:line="340" w:lineRule="exact"/>
        <w:ind w:firstLine="420" w:firstLineChars="200"/>
        <w:rPr>
          <w:rFonts w:ascii="宋体" w:cs="Times New Roman"/>
          <w:color w:val="auto"/>
          <w:highlight w:val="none"/>
          <w:u w:val="single"/>
          <w:lang w:val="zh-CN"/>
        </w:rPr>
      </w:pPr>
      <w:r>
        <w:rPr>
          <w:rFonts w:hint="eastAsia" w:ascii="宋体" w:hAnsi="宋体" w:cs="宋体"/>
          <w:color w:val="auto"/>
          <w:highlight w:val="none"/>
          <w:lang w:val="zh-CN"/>
        </w:rPr>
        <w:t>其他服务承诺：</w:t>
      </w:r>
    </w:p>
    <w:p>
      <w:pPr>
        <w:spacing w:line="340" w:lineRule="exact"/>
        <w:ind w:firstLine="422" w:firstLineChars="200"/>
        <w:rPr>
          <w:rFonts w:ascii="宋体" w:cs="Times New Roman"/>
          <w:color w:val="auto"/>
          <w:highlight w:val="none"/>
          <w:lang w:val="zh-CN"/>
        </w:rPr>
      </w:pPr>
      <w:r>
        <w:rPr>
          <w:rFonts w:hint="eastAsia" w:ascii="宋体" w:hAnsi="宋体" w:cs="宋体"/>
          <w:b/>
          <w:bCs/>
          <w:color w:val="auto"/>
          <w:highlight w:val="none"/>
          <w:lang w:val="zh-CN"/>
        </w:rPr>
        <w:t>五、合同履行地点及进度</w:t>
      </w:r>
      <w:r>
        <w:rPr>
          <w:rFonts w:hint="eastAsia" w:ascii="宋体" w:hAnsi="宋体" w:cs="宋体"/>
          <w:color w:val="auto"/>
          <w:highlight w:val="none"/>
          <w:lang w:val="zh-CN"/>
        </w:rPr>
        <w:t>：</w:t>
      </w:r>
    </w:p>
    <w:p>
      <w:pPr>
        <w:spacing w:line="340" w:lineRule="exact"/>
        <w:ind w:firstLine="420" w:firstLineChars="200"/>
        <w:rPr>
          <w:rFonts w:ascii="宋体" w:cs="Times New Roman"/>
          <w:b/>
          <w:bCs/>
          <w:color w:val="auto"/>
          <w:highlight w:val="none"/>
          <w:lang w:val="zh-CN"/>
        </w:rPr>
      </w:pPr>
      <w:r>
        <w:rPr>
          <w:rFonts w:hint="eastAsia" w:ascii="宋体" w:hAnsi="宋体" w:cs="宋体"/>
          <w:color w:val="auto"/>
          <w:highlight w:val="none"/>
          <w:lang w:val="zh-CN"/>
        </w:rPr>
        <w:t>合同生效后，供方应于年月日前按需方要求在</w:t>
      </w:r>
      <w:r>
        <w:rPr>
          <w:rFonts w:hint="eastAsia" w:ascii="宋体" w:hAnsi="宋体" w:cs="宋体"/>
          <w:color w:val="auto"/>
          <w:highlight w:val="none"/>
          <w:u w:val="single"/>
          <w:lang w:val="zh-CN"/>
        </w:rPr>
        <w:t>（</w:t>
      </w:r>
      <w:r>
        <w:rPr>
          <w:rFonts w:hint="eastAsia" w:ascii="宋体" w:hAnsi="宋体" w:cs="宋体"/>
          <w:color w:val="auto"/>
          <w:highlight w:val="none"/>
          <w:lang w:val="zh-CN"/>
        </w:rPr>
        <w:t>需方指定的地点）完成本项目的交货、安装、调试（或施工）。货物运送的费用由供方负责。需方应在货物到达指定地点后，提供符合安装条件的场地、电源、环境等。</w:t>
      </w:r>
    </w:p>
    <w:p>
      <w:pPr>
        <w:spacing w:line="340" w:lineRule="exact"/>
        <w:ind w:firstLine="422" w:firstLineChars="200"/>
        <w:rPr>
          <w:rFonts w:ascii="宋体" w:cs="Times New Roman"/>
          <w:color w:val="auto"/>
          <w:highlight w:val="none"/>
          <w:lang w:val="zh-CN"/>
        </w:rPr>
      </w:pPr>
      <w:r>
        <w:rPr>
          <w:rFonts w:hint="eastAsia" w:ascii="宋体" w:hAnsi="宋体" w:cs="宋体"/>
          <w:b/>
          <w:bCs/>
          <w:color w:val="auto"/>
          <w:highlight w:val="none"/>
          <w:lang w:val="zh-CN"/>
        </w:rPr>
        <w:t>六、资料</w:t>
      </w:r>
      <w:r>
        <w:rPr>
          <w:rFonts w:hint="eastAsia" w:ascii="宋体" w:hAnsi="宋体" w:cs="宋体"/>
          <w:color w:val="auto"/>
          <w:highlight w:val="none"/>
          <w:lang w:val="zh-CN"/>
        </w:rPr>
        <w:t>：供方在交付货物时应向需方提供货物的使用说明、合格证书及其它相关资料，否则按不能交货对待。</w:t>
      </w:r>
    </w:p>
    <w:p>
      <w:pPr>
        <w:spacing w:line="340" w:lineRule="exact"/>
        <w:ind w:firstLine="422" w:firstLineChars="200"/>
        <w:rPr>
          <w:rFonts w:hint="eastAsia" w:ascii="宋体" w:eastAsia="宋体" w:cs="Times New Roman"/>
          <w:b/>
          <w:bCs/>
          <w:color w:val="auto"/>
          <w:highlight w:val="none"/>
          <w:lang w:val="en-US" w:eastAsia="zh-CN"/>
        </w:rPr>
      </w:pPr>
      <w:r>
        <w:rPr>
          <w:rFonts w:hint="eastAsia" w:ascii="宋体" w:hAnsi="宋体" w:cs="宋体"/>
          <w:b/>
          <w:bCs/>
          <w:color w:val="auto"/>
          <w:highlight w:val="none"/>
          <w:lang w:val="zh-CN"/>
        </w:rPr>
        <w:t>七、验收要求</w:t>
      </w:r>
      <w:r>
        <w:rPr>
          <w:rFonts w:hint="eastAsia" w:ascii="宋体" w:hAnsi="宋体" w:cs="宋体"/>
          <w:b/>
          <w:bCs/>
          <w:color w:val="auto"/>
          <w:highlight w:val="none"/>
          <w:lang w:val="en-US" w:eastAsia="zh-CN"/>
        </w:rPr>
        <w:t>:</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1、中标方需在设备出厂前提供出厂检验项目指标测试程序和验收方法，供需方参考，需方可根据需要进行补充和修改；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2、设备安装、调试达到招标文件和投标文件规定的指标后，可进行验收测试(初验)。验收规范(包括项目、指标、方式和测试仪器等)应由中标方提前7日提交给需方。需方可根据合同、招标书、验收方案以及需方的有关规定进行修改和补充，经双方确认后形成验收文件作为验收依据。具体验收内容包括：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（1）所有设备的外观检验，外观无明显缺陷；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（2）所有的连调测试；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（3）主要功能的逐项演示；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（4）各种控制方式的设定和操作显示；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（5）各设备的控制软件测试；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（6）设备安装位置、安全性检验，环境适应性、可靠性检测；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（7）相关技术资料齐备。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3、设备经过2个月连续、稳定、可靠的试运行期后，达到招标文件和投标文件的要求时，可进行最终验收。在试运行期间，由于设备质量等造成某些指标达不到要求，中标方须更换或进行修复，试运行期顺延。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4、 验收方式和内容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验收内容主要以招标文件、合同（包括合同附件）、中标供应商的投标书、项目实施方案，以及国家有关规定等为依据，对各设备功能和数据配置要求、性能指标、应用和运行情况等，进行全面的整体核查验收。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中标方在工程实施各阶段所提供的资料作为本项目所签定合同的正式附件，与合同正本具有同等的法律约束力。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5、设备测试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设备调测由双方共同参与，在设备调测期间，需按技术规范的要求对设备进行全面的测试，设备安装、调试达到技术规范书规定的指标后，可进行验收测试（初验）。验收测试合格后，设备进入试运行期。在试运行期间若与中标方提出技术规范书不符或出现重大问题造成设备全阻或瘫痪，应由中标方负责，问题解决后重新开始初验。设备调试结束后，中标方需要出具相关设备调试报告及问题分析和解决报告。</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6、验收 </w:t>
      </w:r>
    </w:p>
    <w:p>
      <w:pPr>
        <w:pStyle w:val="2"/>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设备安装调试结束并正常运行后可进行最终验收。</w:t>
      </w:r>
    </w:p>
    <w:p>
      <w:pPr>
        <w:spacing w:line="340" w:lineRule="exact"/>
        <w:ind w:firstLine="420" w:firstLineChars="200"/>
        <w:rPr>
          <w:rFonts w:ascii="宋体" w:cs="Times New Roman"/>
          <w:color w:val="auto"/>
          <w:highlight w:val="none"/>
          <w:lang w:val="zh-CN"/>
        </w:rPr>
      </w:pPr>
      <w:r>
        <w:rPr>
          <w:rFonts w:ascii="宋体" w:hAnsi="宋体" w:cs="宋体"/>
          <w:color w:val="auto"/>
          <w:highlight w:val="none"/>
          <w:lang w:val="zh-CN"/>
        </w:rPr>
        <w:t>7</w:t>
      </w:r>
      <w:r>
        <w:rPr>
          <w:rFonts w:hint="eastAsia" w:ascii="宋体" w:hAnsi="宋体" w:cs="宋体"/>
          <w:color w:val="auto"/>
          <w:highlight w:val="none"/>
          <w:lang w:val="zh-CN"/>
        </w:rPr>
        <w:t>、供方履约完毕及时向需方提出验收申请。</w:t>
      </w:r>
    </w:p>
    <w:p>
      <w:pPr>
        <w:spacing w:line="340" w:lineRule="exact"/>
        <w:ind w:firstLine="420" w:firstLineChars="200"/>
        <w:rPr>
          <w:rFonts w:ascii="宋体" w:cs="Times New Roman"/>
          <w:color w:val="auto"/>
          <w:highlight w:val="none"/>
          <w:lang w:val="zh-CN"/>
        </w:rPr>
      </w:pPr>
      <w:r>
        <w:rPr>
          <w:rFonts w:ascii="宋体" w:hAnsi="宋体" w:cs="宋体"/>
          <w:color w:val="auto"/>
          <w:highlight w:val="none"/>
          <w:lang w:val="zh-CN"/>
        </w:rPr>
        <w:t>8</w:t>
      </w:r>
      <w:r>
        <w:rPr>
          <w:rFonts w:hint="eastAsia" w:ascii="宋体" w:hAnsi="宋体" w:cs="宋体"/>
          <w:color w:val="auto"/>
          <w:highlight w:val="none"/>
          <w:lang w:val="zh-CN"/>
        </w:rPr>
        <w:t>、需方在收到供方验收申请后个工作日内组织验收。按照招标文件规定、中标供应商投标文件承诺，及国家有关规定认真组织验收工作。</w:t>
      </w:r>
    </w:p>
    <w:p>
      <w:pPr>
        <w:spacing w:line="340" w:lineRule="exact"/>
        <w:ind w:firstLine="420" w:firstLineChars="200"/>
        <w:rPr>
          <w:rFonts w:ascii="宋体" w:cs="宋体"/>
          <w:color w:val="auto"/>
          <w:highlight w:val="none"/>
          <w:lang w:val="zh-CN"/>
        </w:rPr>
      </w:pPr>
      <w:r>
        <w:rPr>
          <w:rFonts w:ascii="宋体" w:hAnsi="宋体" w:cs="宋体"/>
          <w:color w:val="auto"/>
          <w:highlight w:val="none"/>
          <w:lang w:val="zh-CN"/>
        </w:rPr>
        <w:t>9</w:t>
      </w:r>
      <w:r>
        <w:rPr>
          <w:rFonts w:hint="eastAsia" w:ascii="宋体" w:hAnsi="宋体" w:cs="宋体"/>
          <w:color w:val="auto"/>
          <w:highlight w:val="none"/>
          <w:lang w:val="zh-CN"/>
        </w:rPr>
        <w:t>、验收合格后日内，需方出具《温县政府采购验收报告》。</w:t>
      </w:r>
    </w:p>
    <w:p>
      <w:pPr>
        <w:ind w:firstLine="422" w:firstLineChars="200"/>
        <w:rPr>
          <w:rFonts w:ascii="宋体" w:cs="Times New Roman"/>
          <w:b/>
          <w:bCs/>
          <w:color w:val="auto"/>
          <w:highlight w:val="none"/>
        </w:rPr>
      </w:pPr>
      <w:r>
        <w:rPr>
          <w:rFonts w:hint="eastAsia" w:ascii="宋体" w:hAnsi="宋体" w:cs="宋体"/>
          <w:b/>
          <w:bCs/>
          <w:color w:val="auto"/>
          <w:highlight w:val="none"/>
          <w:lang w:val="zh-CN"/>
        </w:rPr>
        <w:t>八、付款程序、方式及期限</w:t>
      </w:r>
      <w:r>
        <w:rPr>
          <w:rFonts w:hint="eastAsia" w:ascii="宋体" w:hAnsi="宋体" w:cs="宋体"/>
          <w:b/>
          <w:bCs/>
          <w:color w:val="auto"/>
          <w:highlight w:val="none"/>
        </w:rPr>
        <w:t>：</w:t>
      </w:r>
    </w:p>
    <w:p>
      <w:pPr>
        <w:spacing w:line="340" w:lineRule="exact"/>
        <w:ind w:firstLine="420"/>
        <w:rPr>
          <w:rFonts w:ascii="宋体" w:cs="Times New Roman"/>
          <w:color w:val="auto"/>
          <w:highlight w:val="none"/>
          <w:lang w:val="zh-CN"/>
        </w:rPr>
      </w:pPr>
      <w:r>
        <w:rPr>
          <w:rFonts w:hint="eastAsia" w:ascii="宋体" w:hAnsi="宋体" w:cs="宋体"/>
          <w:color w:val="auto"/>
          <w:highlight w:val="none"/>
          <w:lang w:val="zh-CN"/>
        </w:rPr>
        <w:t>本项目无预付款，机房装修完成付合同价款</w:t>
      </w:r>
      <w:r>
        <w:rPr>
          <w:rFonts w:ascii="宋体" w:hAnsi="宋体" w:cs="宋体"/>
          <w:color w:val="auto"/>
          <w:highlight w:val="none"/>
          <w:lang w:val="zh-CN"/>
        </w:rPr>
        <w:t>10%</w:t>
      </w:r>
      <w:r>
        <w:rPr>
          <w:rFonts w:hint="eastAsia" w:ascii="宋体" w:hAnsi="宋体" w:cs="宋体"/>
          <w:color w:val="auto"/>
          <w:highlight w:val="none"/>
          <w:lang w:val="zh-CN"/>
        </w:rPr>
        <w:t>，本项目所含全部设备到货付到合同价款的</w:t>
      </w:r>
      <w:r>
        <w:rPr>
          <w:rFonts w:ascii="宋体" w:hAnsi="宋体" w:cs="宋体"/>
          <w:color w:val="auto"/>
          <w:highlight w:val="none"/>
          <w:lang w:val="zh-CN"/>
        </w:rPr>
        <w:t>20%</w:t>
      </w:r>
      <w:r>
        <w:rPr>
          <w:rFonts w:hint="eastAsia" w:ascii="宋体" w:hAnsi="宋体" w:cs="宋体"/>
          <w:color w:val="auto"/>
          <w:highlight w:val="none"/>
          <w:lang w:val="zh-CN"/>
        </w:rPr>
        <w:t>，所有设备安装及调试完成达到运行条件付到合同价款的</w:t>
      </w:r>
      <w:r>
        <w:rPr>
          <w:rFonts w:ascii="宋体" w:hAnsi="宋体" w:cs="宋体"/>
          <w:color w:val="auto"/>
          <w:highlight w:val="none"/>
          <w:lang w:val="zh-CN"/>
        </w:rPr>
        <w:t>60%</w:t>
      </w:r>
      <w:r>
        <w:rPr>
          <w:rFonts w:hint="eastAsia" w:ascii="宋体" w:hAnsi="宋体" w:cs="宋体"/>
          <w:color w:val="auto"/>
          <w:highlight w:val="none"/>
          <w:lang w:val="zh-CN"/>
        </w:rPr>
        <w:t>，机房业务系统正常运行</w:t>
      </w:r>
      <w:r>
        <w:rPr>
          <w:rFonts w:ascii="宋体" w:hAnsi="宋体" w:cs="宋体"/>
          <w:color w:val="auto"/>
          <w:highlight w:val="none"/>
          <w:lang w:val="zh-CN"/>
        </w:rPr>
        <w:t>2</w:t>
      </w:r>
      <w:r>
        <w:rPr>
          <w:rFonts w:hint="eastAsia" w:ascii="宋体" w:hAnsi="宋体" w:cs="宋体"/>
          <w:color w:val="auto"/>
          <w:highlight w:val="none"/>
          <w:lang w:val="zh-CN"/>
        </w:rPr>
        <w:t>个月无质量问题初验合格付到初验价款的</w:t>
      </w:r>
      <w:r>
        <w:rPr>
          <w:rFonts w:ascii="宋体" w:hAnsi="宋体" w:cs="宋体"/>
          <w:color w:val="auto"/>
          <w:highlight w:val="none"/>
          <w:lang w:val="zh-CN"/>
        </w:rPr>
        <w:t>70%</w:t>
      </w:r>
      <w:r>
        <w:rPr>
          <w:rFonts w:hint="eastAsia" w:ascii="宋体" w:hAnsi="宋体" w:cs="宋体"/>
          <w:color w:val="auto"/>
          <w:highlight w:val="none"/>
          <w:lang w:val="zh-CN"/>
        </w:rPr>
        <w:t>，机房业务系统搬迁服务完成试运行</w:t>
      </w:r>
      <w:r>
        <w:rPr>
          <w:rFonts w:ascii="宋体" w:hAnsi="宋体" w:cs="宋体"/>
          <w:color w:val="auto"/>
          <w:highlight w:val="none"/>
          <w:lang w:val="zh-CN"/>
        </w:rPr>
        <w:t>2</w:t>
      </w:r>
      <w:r>
        <w:rPr>
          <w:rFonts w:hint="eastAsia" w:ascii="宋体" w:hAnsi="宋体" w:cs="宋体"/>
          <w:color w:val="auto"/>
          <w:highlight w:val="none"/>
          <w:lang w:val="zh-CN"/>
        </w:rPr>
        <w:t>个月无质量问题验收合格付到验收价款的</w:t>
      </w:r>
      <w:r>
        <w:rPr>
          <w:rFonts w:ascii="宋体" w:hAnsi="宋体" w:cs="宋体"/>
          <w:color w:val="auto"/>
          <w:highlight w:val="none"/>
          <w:lang w:val="zh-CN"/>
        </w:rPr>
        <w:t>80%</w:t>
      </w:r>
      <w:r>
        <w:rPr>
          <w:rFonts w:hint="eastAsia" w:ascii="宋体" w:hAnsi="宋体" w:cs="宋体"/>
          <w:color w:val="auto"/>
          <w:highlight w:val="none"/>
          <w:lang w:val="zh-CN"/>
        </w:rPr>
        <w:t>，质保期满一年付到验收价款的</w:t>
      </w:r>
      <w:r>
        <w:rPr>
          <w:rFonts w:ascii="宋体" w:hAnsi="宋体" w:cs="宋体"/>
          <w:color w:val="auto"/>
          <w:highlight w:val="none"/>
          <w:lang w:val="zh-CN"/>
        </w:rPr>
        <w:t>90%</w:t>
      </w:r>
      <w:r>
        <w:rPr>
          <w:rFonts w:hint="eastAsia" w:ascii="宋体" w:hAnsi="宋体" w:cs="宋体"/>
          <w:color w:val="auto"/>
          <w:highlight w:val="none"/>
          <w:lang w:val="zh-CN"/>
        </w:rPr>
        <w:t>，质保期满二年付到验收价款的</w:t>
      </w:r>
      <w:r>
        <w:rPr>
          <w:rFonts w:ascii="宋体" w:hAnsi="宋体" w:cs="宋体"/>
          <w:color w:val="auto"/>
          <w:highlight w:val="none"/>
          <w:lang w:val="zh-CN"/>
        </w:rPr>
        <w:t>95%</w:t>
      </w:r>
      <w:r>
        <w:rPr>
          <w:rFonts w:hint="eastAsia" w:ascii="宋体" w:hAnsi="宋体" w:cs="宋体"/>
          <w:color w:val="auto"/>
          <w:highlight w:val="none"/>
          <w:lang w:val="zh-CN"/>
        </w:rPr>
        <w:t>，质保期满项目无质量问题余额一次性无息付清。</w:t>
      </w:r>
    </w:p>
    <w:p>
      <w:pPr>
        <w:spacing w:line="340" w:lineRule="exact"/>
        <w:ind w:firstLine="420"/>
        <w:rPr>
          <w:rFonts w:ascii="宋体" w:cs="Times New Roman"/>
          <w:b/>
          <w:bCs/>
          <w:color w:val="auto"/>
          <w:highlight w:val="none"/>
          <w:lang w:val="zh-CN"/>
        </w:rPr>
      </w:pPr>
      <w:r>
        <w:rPr>
          <w:rFonts w:hint="eastAsia" w:ascii="宋体" w:hAnsi="宋体" w:cs="宋体"/>
          <w:b/>
          <w:bCs/>
          <w:color w:val="auto"/>
          <w:highlight w:val="none"/>
          <w:lang w:val="zh-CN"/>
        </w:rPr>
        <w:t>九、本合同单价为不变价，不受市场风险等因素的影响。</w:t>
      </w:r>
    </w:p>
    <w:p>
      <w:pPr>
        <w:spacing w:line="340" w:lineRule="exact"/>
        <w:ind w:firstLine="420"/>
        <w:rPr>
          <w:rFonts w:ascii="宋体" w:cs="Times New Roman"/>
          <w:b/>
          <w:bCs/>
          <w:color w:val="auto"/>
          <w:highlight w:val="none"/>
        </w:rPr>
      </w:pPr>
      <w:r>
        <w:rPr>
          <w:rFonts w:hint="eastAsia" w:ascii="宋体" w:hAnsi="宋体" w:cs="宋体"/>
          <w:b/>
          <w:bCs/>
          <w:color w:val="auto"/>
          <w:highlight w:val="none"/>
          <w:lang w:val="zh-CN"/>
        </w:rPr>
        <w:t>十、</w:t>
      </w:r>
      <w:r>
        <w:rPr>
          <w:rFonts w:hint="eastAsia" w:ascii="宋体" w:hAnsi="宋体" w:cs="宋体"/>
          <w:b/>
          <w:bCs/>
          <w:color w:val="auto"/>
          <w:highlight w:val="none"/>
        </w:rPr>
        <w:t>货物变更</w:t>
      </w:r>
    </w:p>
    <w:p>
      <w:pPr>
        <w:spacing w:line="340" w:lineRule="exact"/>
        <w:ind w:firstLine="420"/>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中标方无权决定货物内容的变更，如确因市场因素需要变更，需向需方提出书面变更，征得需方同意后双方签字确认后方能变更。变更后的软件、硬件功能、性能、配置不得低于原产品。如变更后导致合同价款下降，则应按照实际价款进行支付，如导致合同价款上升，则应按审计价格执行。</w:t>
      </w:r>
    </w:p>
    <w:p>
      <w:pPr>
        <w:spacing w:line="340" w:lineRule="exact"/>
        <w:ind w:firstLine="42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、需方有权对部分非重要设备的内容提出变更，双方签字确认后方可实施。</w:t>
      </w:r>
    </w:p>
    <w:p>
      <w:pPr>
        <w:spacing w:line="340" w:lineRule="exact"/>
        <w:ind w:firstLine="420"/>
        <w:rPr>
          <w:rFonts w:ascii="宋体" w:cs="Times New Roman"/>
          <w:color w:val="auto"/>
          <w:highlight w:val="none"/>
        </w:rPr>
      </w:pPr>
      <w:r>
        <w:rPr>
          <w:rFonts w:ascii="宋体" w:hAnsi="宋体" w:cs="宋体"/>
          <w:color w:val="auto"/>
          <w:highlight w:val="none"/>
        </w:rPr>
        <w:t>3</w:t>
      </w:r>
      <w:r>
        <w:rPr>
          <w:rFonts w:hint="eastAsia" w:ascii="宋体" w:hAnsi="宋体" w:cs="宋体"/>
          <w:color w:val="auto"/>
          <w:highlight w:val="none"/>
        </w:rPr>
        <w:t>、变更内容如果中标方有投标报价的，按投标单价作合同调整，无投标报价的，双方协商价格并签署附属合同或备忘录。变更内容和价款应当符合政府采购法的有关规定。</w:t>
      </w:r>
    </w:p>
    <w:p>
      <w:pPr>
        <w:spacing w:line="340" w:lineRule="exact"/>
        <w:ind w:firstLine="420"/>
        <w:rPr>
          <w:rFonts w:ascii="宋体" w:cs="Times New Roman"/>
          <w:b/>
          <w:bCs/>
          <w:color w:val="auto"/>
          <w:highlight w:val="none"/>
          <w:lang w:val="zh-CN"/>
        </w:rPr>
      </w:pPr>
      <w:r>
        <w:rPr>
          <w:rFonts w:hint="eastAsia" w:ascii="宋体" w:hAnsi="宋体" w:cs="宋体"/>
          <w:b/>
          <w:bCs/>
          <w:color w:val="auto"/>
          <w:highlight w:val="none"/>
          <w:lang w:val="zh-CN"/>
        </w:rPr>
        <w:t>十一、违约责任</w:t>
      </w:r>
    </w:p>
    <w:p>
      <w:pPr>
        <w:spacing w:line="340" w:lineRule="exact"/>
        <w:ind w:firstLine="420"/>
        <w:rPr>
          <w:rFonts w:ascii="宋体" w:cs="Times New Roman"/>
          <w:color w:val="auto"/>
          <w:highlight w:val="none"/>
          <w:lang w:val="zh-CN"/>
        </w:rPr>
      </w:pPr>
      <w:r>
        <w:rPr>
          <w:rFonts w:hint="eastAsia" w:ascii="宋体" w:hAnsi="宋体" w:cs="宋体"/>
          <w:color w:val="auto"/>
          <w:highlight w:val="none"/>
          <w:lang w:val="zh-CN"/>
        </w:rPr>
        <w:t>供方所交付的货物品种、型号、规格、质量不符合国家规定标准及合同要求的，或者供方不能交付货物或完成系统安装、调试的，供方应向需方支付合同金额总值</w:t>
      </w:r>
      <w:r>
        <w:rPr>
          <w:rFonts w:ascii="宋体" w:hAnsi="宋体" w:cs="宋体"/>
          <w:color w:val="auto"/>
          <w:highlight w:val="none"/>
          <w:u w:val="single"/>
          <w:lang w:val="zh-CN"/>
        </w:rPr>
        <w:t xml:space="preserve"> 10 </w:t>
      </w:r>
      <w:r>
        <w:rPr>
          <w:rFonts w:ascii="宋体" w:hAnsi="宋体" w:cs="宋体"/>
          <w:color w:val="auto"/>
          <w:highlight w:val="none"/>
          <w:lang w:val="zh-CN"/>
        </w:rPr>
        <w:t xml:space="preserve"> %</w:t>
      </w:r>
      <w:r>
        <w:rPr>
          <w:rFonts w:hint="eastAsia" w:ascii="宋体" w:hAnsi="宋体" w:cs="宋体"/>
          <w:color w:val="auto"/>
          <w:highlight w:val="none"/>
          <w:lang w:val="zh-CN"/>
        </w:rPr>
        <w:t>的违约金；需方并有权解除合同，要求供方赔偿损失。供方如逾期交付的，每逾期一日供方应向需方支付合同金额的</w:t>
      </w:r>
      <w:r>
        <w:rPr>
          <w:rFonts w:ascii="宋体" w:hAnsi="宋体" w:cs="宋体"/>
          <w:color w:val="auto"/>
          <w:highlight w:val="none"/>
          <w:u w:val="single"/>
          <w:lang w:val="zh-CN"/>
        </w:rPr>
        <w:t xml:space="preserve">  0.1 %</w:t>
      </w:r>
      <w:r>
        <w:rPr>
          <w:rFonts w:hint="eastAsia" w:ascii="宋体" w:hAnsi="宋体" w:cs="宋体"/>
          <w:color w:val="auto"/>
          <w:highlight w:val="none"/>
          <w:lang w:val="zh-CN"/>
        </w:rPr>
        <w:t>的违约金。逾期交付的违约金总额不超过合同总金额的</w:t>
      </w:r>
      <w:r>
        <w:rPr>
          <w:rFonts w:ascii="宋体" w:hAnsi="宋体" w:cs="宋体"/>
          <w:color w:val="auto"/>
          <w:highlight w:val="none"/>
          <w:u w:val="single"/>
          <w:lang w:val="zh-CN"/>
        </w:rPr>
        <w:t>20%</w:t>
      </w:r>
      <w:r>
        <w:rPr>
          <w:rFonts w:hint="eastAsia" w:ascii="宋体" w:hAnsi="宋体" w:cs="宋体"/>
          <w:color w:val="auto"/>
          <w:highlight w:val="none"/>
          <w:u w:val="single"/>
          <w:lang w:val="zh-CN"/>
        </w:rPr>
        <w:t>。</w:t>
      </w:r>
      <w:r>
        <w:rPr>
          <w:rFonts w:hint="eastAsia" w:ascii="宋体" w:hAnsi="宋体" w:cs="宋体"/>
          <w:color w:val="auto"/>
          <w:highlight w:val="none"/>
          <w:lang w:val="zh-CN"/>
        </w:rPr>
        <w:t>逾期超过日的，需方有权解除合同或者选择继续履行；需方要求供方继续履行合同的，不影响需方向供方主张违约责任。</w:t>
      </w:r>
    </w:p>
    <w:p>
      <w:pPr>
        <w:spacing w:line="340" w:lineRule="exact"/>
        <w:ind w:firstLine="420"/>
        <w:rPr>
          <w:rFonts w:ascii="宋体" w:cs="Times New Roman"/>
          <w:color w:val="auto"/>
          <w:highlight w:val="none"/>
          <w:lang w:val="zh-CN"/>
        </w:rPr>
      </w:pPr>
      <w:r>
        <w:rPr>
          <w:rFonts w:hint="eastAsia" w:ascii="宋体" w:hAnsi="宋体" w:cs="宋体"/>
          <w:color w:val="auto"/>
          <w:highlight w:val="none"/>
          <w:lang w:val="zh-CN"/>
        </w:rPr>
        <w:t>如需方违约，按合同一般条款执行。</w:t>
      </w:r>
    </w:p>
    <w:p>
      <w:pPr>
        <w:spacing w:line="340" w:lineRule="exact"/>
        <w:ind w:firstLine="420"/>
        <w:rPr>
          <w:rFonts w:ascii="宋体" w:cs="Times New Roman"/>
          <w:color w:val="auto"/>
          <w:highlight w:val="none"/>
          <w:lang w:val="zh-CN"/>
        </w:rPr>
      </w:pPr>
      <w:r>
        <w:rPr>
          <w:rFonts w:hint="eastAsia" w:ascii="宋体" w:hAnsi="宋体" w:cs="宋体"/>
          <w:b/>
          <w:bCs/>
          <w:color w:val="auto"/>
          <w:highlight w:val="none"/>
        </w:rPr>
        <w:t>十二、</w:t>
      </w:r>
      <w:r>
        <w:rPr>
          <w:rFonts w:hint="eastAsia" w:ascii="宋体" w:hAnsi="宋体" w:cs="宋体"/>
          <w:b/>
          <w:bCs/>
          <w:color w:val="auto"/>
          <w:highlight w:val="none"/>
          <w:lang w:val="zh-CN"/>
        </w:rPr>
        <w:t>争议的解决</w:t>
      </w:r>
      <w:r>
        <w:rPr>
          <w:rFonts w:hint="eastAsia" w:ascii="宋体" w:hAnsi="宋体" w:cs="宋体"/>
          <w:color w:val="auto"/>
          <w:highlight w:val="none"/>
          <w:lang w:val="zh-CN"/>
        </w:rPr>
        <w:t>：</w:t>
      </w:r>
    </w:p>
    <w:p>
      <w:pPr>
        <w:spacing w:line="340" w:lineRule="exact"/>
        <w:ind w:firstLine="420"/>
        <w:rPr>
          <w:rFonts w:ascii="宋体" w:cs="Times New Roman"/>
          <w:color w:val="auto"/>
          <w:highlight w:val="none"/>
          <w:lang w:val="zh-CN"/>
        </w:rPr>
      </w:pPr>
      <w:r>
        <w:rPr>
          <w:rFonts w:ascii="宋体" w:hAnsi="宋体" w:cs="宋体"/>
          <w:color w:val="auto"/>
          <w:highlight w:val="none"/>
          <w:lang w:val="zh-CN"/>
        </w:rPr>
        <w:t>1</w:t>
      </w:r>
      <w:r>
        <w:rPr>
          <w:rFonts w:hint="eastAsia" w:ascii="宋体" w:hAnsi="宋体" w:cs="宋体"/>
          <w:color w:val="auto"/>
          <w:highlight w:val="none"/>
          <w:lang w:val="zh-CN"/>
        </w:rPr>
        <w:t>、双方友好协商；</w:t>
      </w:r>
    </w:p>
    <w:p>
      <w:pPr>
        <w:spacing w:line="340" w:lineRule="exact"/>
        <w:ind w:firstLine="420"/>
        <w:rPr>
          <w:rFonts w:ascii="宋体" w:cs="Times New Roman"/>
          <w:color w:val="auto"/>
          <w:highlight w:val="none"/>
          <w:lang w:val="zh-CN"/>
        </w:rPr>
      </w:pPr>
      <w:r>
        <w:rPr>
          <w:rFonts w:ascii="宋体" w:hAnsi="宋体" w:cs="宋体"/>
          <w:color w:val="auto"/>
          <w:highlight w:val="none"/>
          <w:lang w:val="zh-CN"/>
        </w:rPr>
        <w:t>2</w:t>
      </w:r>
      <w:r>
        <w:rPr>
          <w:rFonts w:hint="eastAsia" w:ascii="宋体" w:hAnsi="宋体" w:cs="宋体"/>
          <w:color w:val="auto"/>
          <w:highlight w:val="none"/>
          <w:lang w:val="zh-CN"/>
        </w:rPr>
        <w:t>、提请主管部门进行调解；</w:t>
      </w:r>
    </w:p>
    <w:p>
      <w:pPr>
        <w:spacing w:line="340" w:lineRule="exact"/>
        <w:ind w:firstLine="420"/>
        <w:rPr>
          <w:rFonts w:ascii="宋体" w:cs="宋体"/>
          <w:b/>
          <w:bCs/>
          <w:color w:val="auto"/>
          <w:highlight w:val="none"/>
        </w:rPr>
      </w:pPr>
      <w:r>
        <w:rPr>
          <w:rFonts w:ascii="宋体" w:hAnsi="宋体" w:cs="宋体"/>
          <w:color w:val="auto"/>
          <w:highlight w:val="none"/>
          <w:lang w:val="zh-CN"/>
        </w:rPr>
        <w:t>3</w:t>
      </w:r>
      <w:r>
        <w:rPr>
          <w:rFonts w:hint="eastAsia" w:ascii="宋体" w:hAnsi="宋体" w:cs="宋体"/>
          <w:color w:val="auto"/>
          <w:highlight w:val="none"/>
          <w:lang w:val="zh-CN"/>
        </w:rPr>
        <w:t>、由需方所在地人民法院诉讼管辖。</w:t>
      </w:r>
    </w:p>
    <w:p>
      <w:pPr>
        <w:spacing w:line="340" w:lineRule="exact"/>
        <w:ind w:firstLine="420"/>
        <w:rPr>
          <w:rFonts w:ascii="宋体" w:cs="Times New Roman"/>
          <w:b/>
          <w:bCs/>
          <w:color w:val="auto"/>
          <w:highlight w:val="none"/>
        </w:rPr>
      </w:pPr>
      <w:r>
        <w:rPr>
          <w:rFonts w:hint="eastAsia" w:ascii="宋体" w:hAnsi="宋体" w:cs="宋体"/>
          <w:b/>
          <w:bCs/>
          <w:color w:val="auto"/>
          <w:highlight w:val="none"/>
        </w:rPr>
        <w:t>十三、合同生效、备案及其它</w:t>
      </w:r>
    </w:p>
    <w:p>
      <w:pPr>
        <w:spacing w:line="340" w:lineRule="exact"/>
        <w:ind w:firstLine="420"/>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、本合同经双方代表签字并加盖公章后生效。</w:t>
      </w:r>
    </w:p>
    <w:p>
      <w:pPr>
        <w:spacing w:line="340" w:lineRule="exact"/>
        <w:ind w:firstLine="42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、本合同一式五份，供需双方各持一份，在合同签订之日起七个工作日内交付温县财政局备案一份、温县公共资源交易中心存档一份，办理资金支付手续时提交一份。</w:t>
      </w:r>
    </w:p>
    <w:p>
      <w:pPr>
        <w:spacing w:line="340" w:lineRule="exact"/>
        <w:ind w:firstLine="420"/>
        <w:rPr>
          <w:rFonts w:ascii="宋体" w:cs="Times New Roman"/>
          <w:color w:val="auto"/>
          <w:highlight w:val="none"/>
          <w:lang w:val="zh-CN"/>
        </w:rPr>
      </w:pPr>
      <w:r>
        <w:rPr>
          <w:rFonts w:ascii="宋体" w:hAnsi="宋体" w:cs="宋体"/>
          <w:color w:val="auto"/>
          <w:highlight w:val="none"/>
        </w:rPr>
        <w:t>3</w:t>
      </w:r>
      <w:r>
        <w:rPr>
          <w:rFonts w:hint="eastAsia" w:ascii="宋体" w:hAnsi="宋体" w:cs="宋体"/>
          <w:color w:val="auto"/>
          <w:highlight w:val="none"/>
        </w:rPr>
        <w:t>、</w:t>
      </w:r>
      <w:r>
        <w:rPr>
          <w:rFonts w:hint="eastAsia" w:ascii="宋体" w:hAnsi="宋体" w:cs="宋体"/>
          <w:color w:val="auto"/>
          <w:highlight w:val="none"/>
          <w:lang w:val="zh-CN"/>
        </w:rPr>
        <w:t>本合同未尽事宜，供需双方可签订补充协议，但补充协议不得违背本招标文件及供方的投标文件或报价文件的实质性约定内容。</w:t>
      </w:r>
    </w:p>
    <w:p>
      <w:pPr>
        <w:spacing w:line="340" w:lineRule="exact"/>
        <w:rPr>
          <w:rFonts w:ascii="宋体" w:cs="Times New Roman"/>
          <w:color w:val="auto"/>
          <w:highlight w:val="none"/>
        </w:rPr>
      </w:pPr>
    </w:p>
    <w:p>
      <w:pPr>
        <w:spacing w:line="340" w:lineRule="exact"/>
        <w:rPr>
          <w:rFonts w:ascii="宋体" w:cs="Times New Roman"/>
          <w:color w:val="auto"/>
          <w:highlight w:val="none"/>
        </w:rPr>
      </w:pPr>
      <w:r>
        <w:rPr>
          <w:rFonts w:hint="eastAsia" w:ascii="宋体" w:hAnsi="宋体" w:cs="宋体"/>
          <w:color w:val="auto"/>
          <w:highlight w:val="none"/>
        </w:rPr>
        <w:t>供方（公章）：</w:t>
      </w:r>
      <w:r>
        <w:rPr>
          <w:rFonts w:ascii="宋体" w:hAnsi="宋体" w:cs="宋体"/>
          <w:color w:val="auto"/>
          <w:highlight w:val="none"/>
        </w:rPr>
        <w:t xml:space="preserve">                    </w:t>
      </w:r>
      <w:r>
        <w:rPr>
          <w:rFonts w:hint="eastAsia" w:ascii="宋体" w:hAnsi="宋体" w:cs="宋体"/>
          <w:color w:val="auto"/>
          <w:highlight w:val="none"/>
        </w:rPr>
        <w:t>需方（公章）：</w:t>
      </w:r>
    </w:p>
    <w:p>
      <w:pPr>
        <w:spacing w:line="340" w:lineRule="exact"/>
        <w:rPr>
          <w:rFonts w:ascii="宋体" w:cs="Times New Roman"/>
          <w:color w:val="auto"/>
          <w:highlight w:val="none"/>
        </w:rPr>
      </w:pPr>
      <w:r>
        <w:rPr>
          <w:rFonts w:hint="eastAsia" w:ascii="宋体" w:hAnsi="宋体" w:cs="宋体"/>
          <w:color w:val="auto"/>
          <w:highlight w:val="none"/>
        </w:rPr>
        <w:t>地址：地址：</w:t>
      </w:r>
    </w:p>
    <w:p>
      <w:pPr>
        <w:spacing w:line="340" w:lineRule="exact"/>
        <w:rPr>
          <w:rFonts w:ascii="宋体" w:cs="Times New Roman"/>
          <w:color w:val="auto"/>
          <w:highlight w:val="none"/>
        </w:rPr>
      </w:pPr>
      <w:r>
        <w:rPr>
          <w:rFonts w:hint="eastAsia" w:ascii="宋体" w:hAnsi="宋体" w:cs="宋体"/>
          <w:color w:val="auto"/>
          <w:highlight w:val="none"/>
        </w:rPr>
        <w:t>法定代表人或委托</w:t>
      </w:r>
      <w:r>
        <w:rPr>
          <w:rFonts w:ascii="宋体" w:hAnsi="宋体" w:cs="宋体"/>
          <w:color w:val="auto"/>
          <w:highlight w:val="none"/>
        </w:rPr>
        <w:t xml:space="preserve">                  </w:t>
      </w:r>
      <w:r>
        <w:rPr>
          <w:rFonts w:hint="eastAsia" w:ascii="宋体" w:hAnsi="宋体" w:cs="宋体"/>
          <w:color w:val="auto"/>
          <w:highlight w:val="none"/>
        </w:rPr>
        <w:t>法定代表人或委托</w:t>
      </w:r>
    </w:p>
    <w:p>
      <w:pPr>
        <w:spacing w:line="340" w:lineRule="exact"/>
        <w:rPr>
          <w:rFonts w:ascii="宋体" w:cs="Times New Roman"/>
          <w:color w:val="auto"/>
          <w:highlight w:val="none"/>
        </w:rPr>
      </w:pPr>
      <w:r>
        <w:rPr>
          <w:rFonts w:hint="eastAsia" w:ascii="宋体" w:hAnsi="宋体" w:cs="宋体"/>
          <w:color w:val="auto"/>
          <w:highlight w:val="none"/>
        </w:rPr>
        <w:t>代理人（签字）：</w:t>
      </w:r>
      <w:r>
        <w:rPr>
          <w:rFonts w:ascii="宋体" w:hAnsi="宋体" w:cs="宋体"/>
          <w:color w:val="auto"/>
          <w:highlight w:val="none"/>
        </w:rPr>
        <w:t xml:space="preserve">                  </w:t>
      </w:r>
      <w:r>
        <w:rPr>
          <w:rFonts w:hint="eastAsia" w:ascii="宋体" w:hAnsi="宋体" w:cs="宋体"/>
          <w:color w:val="auto"/>
          <w:highlight w:val="none"/>
        </w:rPr>
        <w:t>代理人（签字）：</w:t>
      </w:r>
    </w:p>
    <w:p>
      <w:pPr>
        <w:spacing w:line="340" w:lineRule="exact"/>
        <w:rPr>
          <w:rFonts w:ascii="宋体" w:cs="Times New Roman"/>
          <w:color w:val="auto"/>
          <w:highlight w:val="none"/>
        </w:rPr>
      </w:pPr>
      <w:r>
        <w:rPr>
          <w:rFonts w:hint="eastAsia" w:ascii="宋体" w:hAnsi="宋体" w:cs="宋体"/>
          <w:color w:val="auto"/>
          <w:highlight w:val="none"/>
        </w:rPr>
        <w:t>电话：</w:t>
      </w:r>
      <w:r>
        <w:rPr>
          <w:rFonts w:ascii="宋体" w:hAnsi="宋体" w:cs="宋体"/>
          <w:color w:val="auto"/>
          <w:highlight w:val="none"/>
        </w:rPr>
        <w:t xml:space="preserve">                            </w:t>
      </w:r>
      <w:r>
        <w:rPr>
          <w:rFonts w:hint="eastAsia" w:ascii="宋体" w:hAnsi="宋体" w:cs="宋体"/>
          <w:color w:val="auto"/>
          <w:highlight w:val="none"/>
        </w:rPr>
        <w:t>电话：</w:t>
      </w:r>
    </w:p>
    <w:p>
      <w:pPr>
        <w:spacing w:line="340" w:lineRule="exact"/>
        <w:rPr>
          <w:rFonts w:ascii="宋体" w:cs="Times New Roman"/>
          <w:color w:val="auto"/>
          <w:highlight w:val="none"/>
        </w:rPr>
      </w:pPr>
      <w:r>
        <w:rPr>
          <w:rFonts w:hint="eastAsia" w:ascii="宋体" w:hAnsi="宋体" w:cs="宋体"/>
          <w:color w:val="auto"/>
          <w:highlight w:val="none"/>
        </w:rPr>
        <w:t>开户行：</w:t>
      </w:r>
      <w:r>
        <w:rPr>
          <w:rFonts w:ascii="宋体" w:hAnsi="宋体" w:cs="宋体"/>
          <w:color w:val="auto"/>
          <w:highlight w:val="none"/>
        </w:rPr>
        <w:t xml:space="preserve">                          </w:t>
      </w:r>
      <w:r>
        <w:rPr>
          <w:rFonts w:hint="eastAsia" w:ascii="宋体" w:hAnsi="宋体" w:cs="宋体"/>
          <w:color w:val="auto"/>
          <w:highlight w:val="none"/>
        </w:rPr>
        <w:t>开户行：</w:t>
      </w:r>
    </w:p>
    <w:p>
      <w:pPr>
        <w:spacing w:line="340" w:lineRule="exact"/>
        <w:rPr>
          <w:rFonts w:ascii="宋体" w:cs="Times New Roman"/>
          <w:color w:val="auto"/>
          <w:highlight w:val="none"/>
        </w:rPr>
      </w:pPr>
      <w:r>
        <w:rPr>
          <w:rFonts w:hint="eastAsia" w:ascii="宋体" w:hAnsi="宋体" w:cs="宋体"/>
          <w:color w:val="auto"/>
          <w:highlight w:val="none"/>
        </w:rPr>
        <w:t>账号：</w:t>
      </w:r>
      <w:r>
        <w:rPr>
          <w:rFonts w:ascii="宋体" w:hAnsi="宋体" w:cs="宋体"/>
          <w:color w:val="auto"/>
          <w:highlight w:val="none"/>
        </w:rPr>
        <w:t xml:space="preserve">                            </w:t>
      </w:r>
      <w:r>
        <w:rPr>
          <w:rFonts w:hint="eastAsia" w:ascii="宋体" w:hAnsi="宋体" w:cs="宋体"/>
          <w:color w:val="auto"/>
          <w:highlight w:val="none"/>
        </w:rPr>
        <w:t>账号：</w:t>
      </w:r>
    </w:p>
    <w:p>
      <w:pPr>
        <w:spacing w:line="340" w:lineRule="exact"/>
        <w:rPr>
          <w:rFonts w:ascii="宋体" w:cs="Times New Roman"/>
          <w:color w:val="auto"/>
          <w:highlight w:val="none"/>
        </w:rPr>
      </w:pPr>
      <w:r>
        <w:rPr>
          <w:rFonts w:hint="eastAsia" w:ascii="宋体" w:hAnsi="宋体" w:cs="宋体"/>
          <w:color w:val="auto"/>
          <w:highlight w:val="none"/>
        </w:rPr>
        <w:t>签约时间：</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签约时间：</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pacing w:line="440" w:lineRule="exact"/>
        <w:rPr>
          <w:rFonts w:ascii="宋体" w:cs="Times New Roman"/>
          <w:color w:val="auto"/>
          <w:highlight w:val="none"/>
        </w:rPr>
      </w:pPr>
    </w:p>
    <w:p>
      <w:pPr>
        <w:spacing w:line="440" w:lineRule="exact"/>
        <w:rPr>
          <w:rFonts w:ascii="宋体" w:cs="Times New Roman"/>
          <w:color w:val="auto"/>
          <w:highlight w:val="none"/>
        </w:rPr>
      </w:pPr>
    </w:p>
    <w:p>
      <w:pPr>
        <w:spacing w:line="440" w:lineRule="exact"/>
        <w:rPr>
          <w:rFonts w:ascii="宋体" w:cs="Times New Roman"/>
          <w:color w:val="auto"/>
          <w:highlight w:val="none"/>
        </w:rPr>
      </w:pPr>
    </w:p>
    <w:p>
      <w:pPr>
        <w:pStyle w:val="2"/>
        <w:rPr>
          <w:color w:val="auto"/>
          <w:highlight w:val="none"/>
        </w:rPr>
      </w:pPr>
    </w:p>
    <w:p>
      <w:pPr>
        <w:spacing w:line="440" w:lineRule="exact"/>
        <w:rPr>
          <w:rFonts w:ascii="宋体" w:cs="Times New Roman"/>
          <w:color w:val="auto"/>
          <w:highlight w:val="none"/>
        </w:rPr>
      </w:pPr>
    </w:p>
    <w:p>
      <w:pPr>
        <w:jc w:val="right"/>
        <w:rPr>
          <w:rFonts w:ascii="仿宋_GB2312" w:hAnsi="仿宋_GB2312" w:eastAsia="仿宋_GB2312" w:cs="Times New Roman"/>
          <w:color w:val="auto"/>
          <w:sz w:val="44"/>
          <w:szCs w:val="44"/>
          <w:highlight w:val="none"/>
        </w:rPr>
      </w:pPr>
      <w:bookmarkStart w:id="73" w:name="_Toc22743"/>
      <w:r>
        <w:rPr>
          <w:rFonts w:hint="eastAsia" w:ascii="宋体" w:hAnsi="宋体" w:cs="宋体"/>
          <w:color w:val="auto"/>
          <w:sz w:val="28"/>
          <w:szCs w:val="28"/>
          <w:highlight w:val="none"/>
        </w:rPr>
        <w:t>正</w:t>
      </w:r>
      <w:r>
        <w:rPr>
          <w:rFonts w:ascii="宋体" w:hAnsi="宋体" w:cs="宋体"/>
          <w:color w:val="auto"/>
          <w:sz w:val="28"/>
          <w:szCs w:val="28"/>
          <w:highlight w:val="none"/>
        </w:rPr>
        <w:t>/</w:t>
      </w:r>
      <w:r>
        <w:rPr>
          <w:rFonts w:hint="eastAsia" w:ascii="宋体" w:hAnsi="宋体" w:cs="宋体"/>
          <w:color w:val="auto"/>
          <w:sz w:val="28"/>
          <w:szCs w:val="28"/>
          <w:highlight w:val="none"/>
        </w:rPr>
        <w:t>副本</w:t>
      </w:r>
    </w:p>
    <w:p>
      <w:pPr>
        <w:pStyle w:val="3"/>
        <w:ind w:firstLine="1560" w:firstLineChars="300"/>
        <w:jc w:val="both"/>
        <w:rPr>
          <w:rFonts w:ascii="宋体" w:eastAsia="宋体" w:cs="Times New Roman"/>
          <w:b w:val="0"/>
          <w:bCs w:val="0"/>
          <w:color w:val="auto"/>
          <w:sz w:val="52"/>
          <w:szCs w:val="52"/>
          <w:highlight w:val="none"/>
        </w:rPr>
      </w:pPr>
    </w:p>
    <w:p>
      <w:pPr>
        <w:pStyle w:val="3"/>
        <w:ind w:firstLine="1560" w:firstLineChars="300"/>
        <w:jc w:val="both"/>
        <w:rPr>
          <w:rFonts w:ascii="宋体" w:eastAsia="宋体" w:cs="Times New Roman"/>
          <w:color w:val="auto"/>
          <w:sz w:val="52"/>
          <w:szCs w:val="52"/>
          <w:highlight w:val="none"/>
        </w:rPr>
      </w:pPr>
      <w:bookmarkStart w:id="74" w:name="_Toc10861"/>
      <w:r>
        <w:rPr>
          <w:rFonts w:hint="eastAsia" w:ascii="宋体" w:hAnsi="宋体"/>
          <w:b w:val="0"/>
          <w:bCs w:val="0"/>
          <w:color w:val="auto"/>
          <w:sz w:val="52"/>
          <w:szCs w:val="52"/>
          <w:highlight w:val="none"/>
        </w:rPr>
        <w:t>第六章投标文件（格式）</w:t>
      </w:r>
      <w:bookmarkEnd w:id="73"/>
      <w:bookmarkEnd w:id="74"/>
    </w:p>
    <w:p>
      <w:pPr>
        <w:jc w:val="center"/>
        <w:rPr>
          <w:rFonts w:ascii="仿宋_GB2312" w:hAnsi="仿宋_GB2312" w:eastAsia="仿宋_GB2312" w:cs="Times New Roman"/>
          <w:color w:val="auto"/>
          <w:sz w:val="44"/>
          <w:szCs w:val="44"/>
          <w:highlight w:val="none"/>
        </w:rPr>
      </w:pPr>
    </w:p>
    <w:p>
      <w:pPr>
        <w:jc w:val="center"/>
        <w:rPr>
          <w:rFonts w:ascii="宋体" w:cs="Times New Roman"/>
          <w:b/>
          <w:bCs/>
          <w:color w:val="auto"/>
          <w:sz w:val="44"/>
          <w:szCs w:val="44"/>
          <w:highlight w:val="none"/>
        </w:rPr>
      </w:pPr>
      <w:r>
        <w:rPr>
          <w:rFonts w:hint="eastAsia" w:ascii="宋体" w:hAnsi="宋体" w:cs="宋体"/>
          <w:b/>
          <w:bCs/>
          <w:color w:val="auto"/>
          <w:sz w:val="32"/>
          <w:szCs w:val="32"/>
          <w:highlight w:val="none"/>
        </w:rPr>
        <w:t>（项目名称）</w:t>
      </w:r>
    </w:p>
    <w:p>
      <w:pPr>
        <w:jc w:val="center"/>
        <w:rPr>
          <w:rFonts w:ascii="宋体" w:cs="Times New Roman"/>
          <w:color w:val="auto"/>
          <w:sz w:val="44"/>
          <w:szCs w:val="44"/>
          <w:highlight w:val="none"/>
        </w:rPr>
      </w:pPr>
    </w:p>
    <w:p>
      <w:pPr>
        <w:jc w:val="center"/>
        <w:rPr>
          <w:rFonts w:ascii="宋体" w:cs="Times New Roman"/>
          <w:color w:val="auto"/>
          <w:sz w:val="44"/>
          <w:szCs w:val="44"/>
          <w:highlight w:val="none"/>
        </w:rPr>
      </w:pPr>
    </w:p>
    <w:p>
      <w:pPr>
        <w:jc w:val="center"/>
        <w:rPr>
          <w:rFonts w:ascii="宋体" w:cs="Times New Roman"/>
          <w:color w:val="auto"/>
          <w:sz w:val="44"/>
          <w:szCs w:val="44"/>
          <w:highlight w:val="none"/>
        </w:rPr>
      </w:pPr>
    </w:p>
    <w:p>
      <w:pPr>
        <w:jc w:val="center"/>
        <w:rPr>
          <w:rFonts w:ascii="宋体" w:cs="Times New Roman"/>
          <w:b/>
          <w:bCs/>
          <w:color w:val="auto"/>
          <w:sz w:val="52"/>
          <w:szCs w:val="52"/>
          <w:highlight w:val="none"/>
        </w:rPr>
      </w:pPr>
      <w:r>
        <w:rPr>
          <w:rFonts w:hint="eastAsia" w:ascii="宋体" w:hAnsi="宋体" w:cs="宋体"/>
          <w:b/>
          <w:bCs/>
          <w:color w:val="auto"/>
          <w:sz w:val="52"/>
          <w:szCs w:val="52"/>
          <w:highlight w:val="none"/>
        </w:rPr>
        <w:t>投标文件</w:t>
      </w:r>
    </w:p>
    <w:p>
      <w:pPr>
        <w:jc w:val="center"/>
        <w:rPr>
          <w:rFonts w:ascii="宋体" w:cs="Times New Roman"/>
          <w:color w:val="auto"/>
          <w:sz w:val="28"/>
          <w:szCs w:val="28"/>
          <w:highlight w:val="none"/>
        </w:rPr>
      </w:pPr>
    </w:p>
    <w:p>
      <w:pPr>
        <w:spacing w:line="360" w:lineRule="auto"/>
        <w:jc w:val="center"/>
        <w:rPr>
          <w:rFonts w:ascii="宋体" w:cs="Times New Roman"/>
          <w:color w:val="auto"/>
          <w:highlight w:val="none"/>
        </w:rPr>
      </w:pPr>
      <w:r>
        <w:rPr>
          <w:rFonts w:hint="eastAsia" w:ascii="宋体" w:hAnsi="宋体" w:cs="宋体"/>
          <w:color w:val="auto"/>
          <w:highlight w:val="none"/>
        </w:rPr>
        <w:t>项目编号：</w:t>
      </w:r>
    </w:p>
    <w:p>
      <w:pPr>
        <w:spacing w:line="360" w:lineRule="auto"/>
        <w:jc w:val="center"/>
        <w:rPr>
          <w:rFonts w:ascii="宋体" w:cs="Times New Roman"/>
          <w:color w:val="auto"/>
          <w:highlight w:val="none"/>
        </w:rPr>
      </w:pPr>
      <w:r>
        <w:rPr>
          <w:rFonts w:hint="eastAsia" w:ascii="宋体" w:hAnsi="宋体" w:cs="宋体"/>
          <w:color w:val="auto"/>
          <w:highlight w:val="none"/>
        </w:rPr>
        <w:t>采购编号：</w:t>
      </w:r>
    </w:p>
    <w:p>
      <w:pPr>
        <w:jc w:val="center"/>
        <w:rPr>
          <w:rFonts w:ascii="宋体" w:cs="Times New Roman"/>
          <w:color w:val="auto"/>
          <w:sz w:val="28"/>
          <w:szCs w:val="28"/>
          <w:highlight w:val="none"/>
        </w:rPr>
      </w:pPr>
    </w:p>
    <w:p>
      <w:pPr>
        <w:jc w:val="center"/>
        <w:rPr>
          <w:rFonts w:ascii="宋体" w:cs="Times New Roman"/>
          <w:color w:val="auto"/>
          <w:sz w:val="28"/>
          <w:szCs w:val="28"/>
          <w:highlight w:val="none"/>
        </w:rPr>
      </w:pPr>
    </w:p>
    <w:p>
      <w:pPr>
        <w:jc w:val="center"/>
        <w:rPr>
          <w:rFonts w:ascii="宋体" w:cs="Times New Roman"/>
          <w:color w:val="auto"/>
          <w:sz w:val="28"/>
          <w:szCs w:val="28"/>
          <w:highlight w:val="none"/>
        </w:rPr>
      </w:pPr>
    </w:p>
    <w:p>
      <w:pPr>
        <w:rPr>
          <w:rFonts w:ascii="宋体" w:cs="Times New Roman"/>
          <w:color w:val="auto"/>
          <w:sz w:val="28"/>
          <w:szCs w:val="28"/>
          <w:highlight w:val="none"/>
        </w:rPr>
      </w:pPr>
    </w:p>
    <w:p>
      <w:pPr>
        <w:jc w:val="center"/>
        <w:rPr>
          <w:rFonts w:ascii="宋体" w:cs="Times New Roman"/>
          <w:color w:val="auto"/>
          <w:sz w:val="28"/>
          <w:szCs w:val="28"/>
          <w:highlight w:val="none"/>
        </w:rPr>
      </w:pPr>
    </w:p>
    <w:p>
      <w:pPr>
        <w:spacing w:line="360" w:lineRule="exact"/>
        <w:ind w:firstLine="1383" w:firstLineChars="492"/>
        <w:rPr>
          <w:rFonts w:ascii="宋体" w:cs="Times New Roman"/>
          <w:b/>
          <w:bCs/>
          <w:color w:val="auto"/>
          <w:sz w:val="28"/>
          <w:szCs w:val="28"/>
          <w:highlight w:val="none"/>
        </w:rPr>
      </w:pPr>
      <w:r>
        <w:rPr>
          <w:rFonts w:hint="eastAsia" w:ascii="宋体" w:hAnsi="宋体" w:cs="宋体"/>
          <w:b/>
          <w:bCs/>
          <w:color w:val="auto"/>
          <w:sz w:val="28"/>
          <w:szCs w:val="28"/>
          <w:highlight w:val="none"/>
        </w:rPr>
        <w:t>投标人：</w:t>
      </w:r>
      <w:r>
        <w:rPr>
          <w:rFonts w:hint="eastAsia" w:ascii="宋体" w:hAnsi="宋体" w:cs="宋体"/>
          <w:b/>
          <w:bCs/>
          <w:color w:val="auto"/>
          <w:sz w:val="28"/>
          <w:szCs w:val="28"/>
          <w:highlight w:val="none"/>
          <w:u w:val="single"/>
        </w:rPr>
        <w:t>单位全称（加盖单位公章）</w:t>
      </w:r>
    </w:p>
    <w:p>
      <w:pPr>
        <w:spacing w:line="360" w:lineRule="exact"/>
        <w:ind w:firstLine="1397" w:firstLineChars="497"/>
        <w:rPr>
          <w:rFonts w:ascii="宋体" w:cs="Times New Roman"/>
          <w:b/>
          <w:bCs/>
          <w:color w:val="auto"/>
          <w:sz w:val="28"/>
          <w:szCs w:val="28"/>
          <w:highlight w:val="none"/>
          <w:u w:val="single"/>
        </w:rPr>
      </w:pPr>
      <w:r>
        <w:rPr>
          <w:rFonts w:hint="eastAsia" w:ascii="宋体" w:hAnsi="宋体" w:cs="宋体"/>
          <w:b/>
          <w:bCs/>
          <w:color w:val="auto"/>
          <w:sz w:val="28"/>
          <w:szCs w:val="28"/>
          <w:highlight w:val="none"/>
        </w:rPr>
        <w:t>法定代表人或授权代理人：</w:t>
      </w:r>
      <w:r>
        <w:rPr>
          <w:rFonts w:hint="eastAsia" w:ascii="宋体" w:hAnsi="宋体" w:cs="宋体"/>
          <w:b/>
          <w:bCs/>
          <w:color w:val="auto"/>
          <w:sz w:val="28"/>
          <w:szCs w:val="28"/>
          <w:highlight w:val="none"/>
          <w:u w:val="single"/>
        </w:rPr>
        <w:t>（签字或加盖印鉴）</w:t>
      </w:r>
    </w:p>
    <w:p>
      <w:pPr>
        <w:spacing w:line="360" w:lineRule="exact"/>
        <w:jc w:val="center"/>
        <w:rPr>
          <w:rFonts w:ascii="宋体" w:cs="Times New Roman"/>
          <w:b/>
          <w:bCs/>
          <w:color w:val="auto"/>
          <w:sz w:val="32"/>
          <w:szCs w:val="32"/>
          <w:highlight w:val="none"/>
        </w:rPr>
      </w:pPr>
      <w:r>
        <w:rPr>
          <w:rFonts w:hint="eastAsia" w:ascii="宋体" w:hAnsi="宋体" w:cs="宋体"/>
          <w:b/>
          <w:bCs/>
          <w:color w:val="auto"/>
          <w:sz w:val="28"/>
          <w:szCs w:val="28"/>
          <w:highlight w:val="none"/>
        </w:rPr>
        <w:t>年</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月</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日</w:t>
      </w:r>
    </w:p>
    <w:p>
      <w:pPr>
        <w:spacing w:line="360" w:lineRule="exact"/>
        <w:jc w:val="center"/>
        <w:rPr>
          <w:rFonts w:ascii="宋体" w:cs="Times New Roman"/>
          <w:b/>
          <w:bCs/>
          <w:color w:val="auto"/>
          <w:sz w:val="32"/>
          <w:szCs w:val="32"/>
          <w:highlight w:val="none"/>
        </w:rPr>
      </w:pPr>
    </w:p>
    <w:p>
      <w:pPr>
        <w:spacing w:line="360" w:lineRule="auto"/>
        <w:jc w:val="center"/>
        <w:rPr>
          <w:rFonts w:ascii="宋体" w:cs="Times New Roman"/>
          <w:color w:val="auto"/>
          <w:sz w:val="20"/>
          <w:szCs w:val="20"/>
          <w:highlight w:val="none"/>
        </w:rPr>
      </w:pPr>
    </w:p>
    <w:p>
      <w:pPr>
        <w:rPr>
          <w:rFonts w:ascii="仿宋_GB2312" w:hAnsi="仿宋_GB2312" w:eastAsia="仿宋_GB2312" w:cs="Times New Roman"/>
          <w:color w:val="auto"/>
          <w:sz w:val="32"/>
          <w:szCs w:val="32"/>
          <w:highlight w:val="none"/>
        </w:rPr>
      </w:pPr>
      <w:r>
        <w:rPr>
          <w:rFonts w:ascii="仿宋_GB2312" w:hAnsi="仿宋_GB2312" w:eastAsia="仿宋_GB2312" w:cs="Times New Roman"/>
          <w:color w:val="auto"/>
          <w:sz w:val="32"/>
          <w:szCs w:val="32"/>
          <w:highlight w:val="none"/>
        </w:rPr>
        <w:br w:type="page"/>
      </w:r>
    </w:p>
    <w:p>
      <w:pPr>
        <w:jc w:val="center"/>
        <w:rPr>
          <w:rFonts w:ascii="宋体" w:cs="Times New Roman"/>
          <w:color w:val="auto"/>
          <w:sz w:val="44"/>
          <w:szCs w:val="44"/>
          <w:highlight w:val="none"/>
        </w:rPr>
      </w:pPr>
      <w:r>
        <w:rPr>
          <w:rFonts w:hint="eastAsia" w:ascii="宋体" w:hAnsi="宋体" w:cs="宋体"/>
          <w:color w:val="auto"/>
          <w:sz w:val="44"/>
          <w:szCs w:val="44"/>
          <w:highlight w:val="none"/>
        </w:rPr>
        <w:t>目录</w:t>
      </w:r>
    </w:p>
    <w:p>
      <w:pPr>
        <w:spacing w:line="600" w:lineRule="exact"/>
        <w:rPr>
          <w:rFonts w:ascii="宋体" w:cs="Times New Roman"/>
          <w:color w:val="auto"/>
          <w:sz w:val="44"/>
          <w:szCs w:val="44"/>
          <w:highlight w:val="none"/>
        </w:rPr>
      </w:pPr>
      <w:bookmarkStart w:id="75" w:name="OLE_LINK3"/>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一、投标函</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二、投标（报价）一览表</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三、货物清单设备和材料技术规格和商务条款偏差表</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四、法定代表人（负责人）身份证明</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五、授权委托书</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六、投标承诺函</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七、类似业绩</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八、售后服务承诺</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九、反商业贿赂承诺书</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十、投标人资格声明函</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十一、投标人资格证明文件</w:t>
      </w:r>
    </w:p>
    <w:p>
      <w:pPr>
        <w:spacing w:line="600" w:lineRule="exact"/>
        <w:rPr>
          <w:rFonts w:ascii="宋体" w:cs="Times New Roman"/>
          <w:color w:val="auto"/>
          <w:sz w:val="24"/>
          <w:szCs w:val="24"/>
          <w:highlight w:val="none"/>
        </w:rPr>
      </w:pPr>
      <w:r>
        <w:rPr>
          <w:rFonts w:hint="eastAsia" w:ascii="宋体" w:hAnsi="宋体" w:cs="宋体"/>
          <w:color w:val="auto"/>
          <w:sz w:val="24"/>
          <w:szCs w:val="24"/>
          <w:highlight w:val="none"/>
        </w:rPr>
        <w:t>十二、投标人认为应提供的其它资料</w:t>
      </w:r>
      <w:bookmarkEnd w:id="75"/>
    </w:p>
    <w:p>
      <w:pPr>
        <w:numPr>
          <w:ilvl w:val="0"/>
          <w:numId w:val="10"/>
        </w:numPr>
        <w:spacing w:line="480" w:lineRule="auto"/>
        <w:ind w:right="140"/>
        <w:jc w:val="left"/>
        <w:rPr>
          <w:rFonts w:ascii="宋体" w:cs="Times New Roman"/>
          <w:b/>
          <w:bCs/>
          <w:color w:val="auto"/>
          <w:sz w:val="28"/>
          <w:szCs w:val="28"/>
          <w:highlight w:val="none"/>
        </w:rPr>
      </w:pPr>
      <w:r>
        <w:rPr>
          <w:rFonts w:ascii="仿宋_GB2312" w:hAnsi="仿宋_GB2312" w:eastAsia="仿宋_GB2312" w:cs="Times New Roman"/>
          <w:color w:val="auto"/>
          <w:highlight w:val="none"/>
        </w:rPr>
        <w:br w:type="page"/>
      </w:r>
      <w:bookmarkStart w:id="76" w:name="_Toc6650"/>
      <w:r>
        <w:rPr>
          <w:rFonts w:hint="eastAsia" w:ascii="宋体" w:hAnsi="宋体" w:cs="宋体"/>
          <w:b/>
          <w:bCs/>
          <w:color w:val="auto"/>
          <w:sz w:val="28"/>
          <w:szCs w:val="28"/>
          <w:highlight w:val="none"/>
        </w:rPr>
        <w:t>投标函</w:t>
      </w:r>
      <w:bookmarkEnd w:id="76"/>
    </w:p>
    <w:p>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致：（采购人名称）</w:t>
      </w:r>
    </w:p>
    <w:p>
      <w:pPr>
        <w:spacing w:line="520" w:lineRule="exact"/>
        <w:rPr>
          <w:rFonts w:ascii="宋体" w:cs="Times New Roman"/>
          <w:color w:val="auto"/>
          <w:highlight w:val="none"/>
        </w:rPr>
      </w:pPr>
      <w:r>
        <w:rPr>
          <w:rFonts w:hint="eastAsia" w:ascii="宋体" w:hAnsi="宋体" w:cs="宋体"/>
          <w:color w:val="auto"/>
          <w:highlight w:val="none"/>
        </w:rPr>
        <w:t>根据贵方（项目名称和项目编号）招标文件，签字代表：</w:t>
      </w:r>
      <w:r>
        <w:rPr>
          <w:rFonts w:hint="eastAsia" w:ascii="宋体" w:hAnsi="宋体" w:cs="宋体"/>
          <w:color w:val="auto"/>
          <w:highlight w:val="none"/>
          <w:u w:val="single"/>
        </w:rPr>
        <w:t>（法人代表或负责人）</w:t>
      </w:r>
      <w:r>
        <w:rPr>
          <w:rFonts w:hint="eastAsia" w:ascii="宋体" w:hAnsi="宋体" w:cs="宋体"/>
          <w:color w:val="auto"/>
          <w:highlight w:val="none"/>
        </w:rPr>
        <w:t>正式授权</w:t>
      </w:r>
      <w:r>
        <w:rPr>
          <w:rFonts w:hint="eastAsia" w:ascii="宋体" w:hAnsi="宋体" w:cs="宋体"/>
          <w:color w:val="auto"/>
          <w:highlight w:val="none"/>
          <w:u w:val="single"/>
        </w:rPr>
        <w:t>（姓名、职务）</w:t>
      </w:r>
      <w:r>
        <w:rPr>
          <w:rFonts w:hint="eastAsia" w:ascii="宋体" w:hAnsi="宋体" w:cs="宋体"/>
          <w:color w:val="auto"/>
          <w:highlight w:val="none"/>
        </w:rPr>
        <w:t>代表投标单位</w:t>
      </w:r>
      <w:r>
        <w:rPr>
          <w:rFonts w:hint="eastAsia" w:ascii="宋体" w:hAnsi="宋体" w:cs="宋体"/>
          <w:color w:val="auto"/>
          <w:highlight w:val="none"/>
          <w:u w:val="single"/>
        </w:rPr>
        <w:t>（单位名称、单位地址）</w:t>
      </w:r>
      <w:r>
        <w:rPr>
          <w:rFonts w:hint="eastAsia" w:ascii="宋体" w:hAnsi="宋体" w:cs="宋体"/>
          <w:color w:val="auto"/>
          <w:highlight w:val="none"/>
        </w:rPr>
        <w:t>提交以下文件正本</w:t>
      </w:r>
      <w:r>
        <w:rPr>
          <w:rFonts w:hint="eastAsia" w:ascii="宋体" w:hAnsi="宋体" w:cs="宋体"/>
          <w:color w:val="auto"/>
          <w:highlight w:val="none"/>
          <w:u w:val="single"/>
        </w:rPr>
        <w:t>壹</w:t>
      </w:r>
      <w:r>
        <w:rPr>
          <w:rFonts w:hint="eastAsia" w:ascii="宋体" w:hAnsi="宋体" w:cs="宋体"/>
          <w:color w:val="auto"/>
          <w:highlight w:val="none"/>
        </w:rPr>
        <w:t>份和副本份，并对之负法律责任。</w:t>
      </w:r>
    </w:p>
    <w:p>
      <w:pPr>
        <w:spacing w:line="520" w:lineRule="exact"/>
        <w:ind w:firstLine="420" w:firstLineChars="200"/>
        <w:rPr>
          <w:rFonts w:ascii="宋体" w:cs="Times New Roman"/>
          <w:color w:val="auto"/>
          <w:highlight w:val="none"/>
        </w:rPr>
      </w:pPr>
      <w:r>
        <w:rPr>
          <w:rFonts w:hint="eastAsia" w:ascii="宋体" w:hAnsi="宋体" w:cs="宋体"/>
          <w:color w:val="auto"/>
          <w:highlight w:val="none"/>
        </w:rPr>
        <w:t>据此函，签字代表宣布同意如下：</w:t>
      </w:r>
    </w:p>
    <w:p>
      <w:pPr>
        <w:spacing w:line="520" w:lineRule="exact"/>
        <w:rPr>
          <w:rFonts w:ascii="宋体" w:cs="Times New Roman"/>
          <w:color w:val="auto"/>
          <w:highlight w:val="none"/>
          <w:u w:val="single"/>
        </w:rPr>
      </w:pPr>
      <w:r>
        <w:rPr>
          <w:rFonts w:ascii="宋体" w:hAnsi="宋体" w:cs="宋体"/>
          <w:color w:val="auto"/>
          <w:highlight w:val="none"/>
        </w:rPr>
        <w:t xml:space="preserve">    1</w:t>
      </w:r>
      <w:r>
        <w:rPr>
          <w:rFonts w:hint="eastAsia" w:ascii="宋体" w:hAnsi="宋体" w:cs="宋体"/>
          <w:color w:val="auto"/>
          <w:highlight w:val="none"/>
        </w:rPr>
        <w:t>、我方投标单价为人民币</w:t>
      </w:r>
      <w:r>
        <w:rPr>
          <w:rFonts w:hint="eastAsia" w:ascii="宋体" w:hAnsi="宋体" w:cs="宋体"/>
          <w:b/>
          <w:bCs/>
          <w:color w:val="auto"/>
          <w:highlight w:val="none"/>
          <w:u w:val="single"/>
        </w:rPr>
        <w:t>（大写）</w:t>
      </w:r>
      <w:r>
        <w:rPr>
          <w:rFonts w:hint="eastAsia" w:ascii="宋体" w:hAnsi="宋体" w:cs="宋体"/>
          <w:color w:val="auto"/>
          <w:highlight w:val="none"/>
        </w:rPr>
        <w:t>元；</w:t>
      </w:r>
      <w:r>
        <w:rPr>
          <w:rFonts w:hint="eastAsia" w:ascii="宋体" w:hAnsi="宋体" w:cs="宋体"/>
          <w:color w:val="auto"/>
          <w:highlight w:val="none"/>
          <w:u w:val="single"/>
        </w:rPr>
        <w:t>（小写）</w:t>
      </w:r>
      <w:r>
        <w:rPr>
          <w:rFonts w:hint="eastAsia" w:ascii="宋体" w:hAnsi="宋体" w:cs="宋体"/>
          <w:color w:val="auto"/>
          <w:highlight w:val="none"/>
        </w:rPr>
        <w:t>元</w:t>
      </w:r>
    </w:p>
    <w:p>
      <w:pPr>
        <w:spacing w:line="520" w:lineRule="exact"/>
        <w:ind w:firstLine="315" w:firstLineChars="150"/>
        <w:rPr>
          <w:rFonts w:ascii="宋体" w:cs="Times New Roman"/>
          <w:color w:val="auto"/>
          <w:highlight w:val="none"/>
          <w:u w:val="single"/>
        </w:rPr>
      </w:pPr>
      <w:r>
        <w:rPr>
          <w:rFonts w:ascii="宋体" w:hAnsi="宋体" w:cs="宋体"/>
          <w:color w:val="auto"/>
          <w:highlight w:val="none"/>
        </w:rPr>
        <w:t xml:space="preserve"> 2</w:t>
      </w:r>
      <w:r>
        <w:rPr>
          <w:rFonts w:hint="eastAsia" w:ascii="宋体" w:hAnsi="宋体" w:cs="宋体"/>
          <w:color w:val="auto"/>
          <w:highlight w:val="none"/>
        </w:rPr>
        <w:t>、服务及供货期限：</w:t>
      </w:r>
    </w:p>
    <w:p>
      <w:pPr>
        <w:spacing w:line="520" w:lineRule="exact"/>
        <w:ind w:firstLine="315" w:firstLineChars="150"/>
        <w:rPr>
          <w:rFonts w:ascii="宋体" w:cs="Times New Roman"/>
          <w:color w:val="auto"/>
          <w:highlight w:val="none"/>
        </w:rPr>
      </w:pPr>
      <w:r>
        <w:rPr>
          <w:rFonts w:ascii="宋体" w:hAnsi="宋体" w:cs="宋体"/>
          <w:color w:val="auto"/>
          <w:highlight w:val="none"/>
        </w:rPr>
        <w:t xml:space="preserve"> 3</w:t>
      </w:r>
      <w:r>
        <w:rPr>
          <w:rFonts w:hint="eastAsia" w:ascii="宋体" w:hAnsi="宋体" w:cs="宋体"/>
          <w:color w:val="auto"/>
          <w:highlight w:val="none"/>
        </w:rPr>
        <w:t>、如果我们的投标文件被接受，我们将按招标文件的规定签订并严格履行合同中的责任和义务。</w:t>
      </w:r>
    </w:p>
    <w:p>
      <w:pPr>
        <w:spacing w:line="520" w:lineRule="exact"/>
        <w:ind w:firstLine="315" w:firstLineChars="150"/>
        <w:rPr>
          <w:rFonts w:ascii="宋体" w:cs="Times New Roman"/>
          <w:color w:val="auto"/>
          <w:highlight w:val="none"/>
        </w:rPr>
      </w:pPr>
      <w:r>
        <w:rPr>
          <w:rFonts w:ascii="宋体" w:hAnsi="宋体" w:cs="宋体"/>
          <w:color w:val="auto"/>
          <w:highlight w:val="none"/>
        </w:rPr>
        <w:t xml:space="preserve"> 4</w:t>
      </w:r>
      <w:r>
        <w:rPr>
          <w:rFonts w:hint="eastAsia" w:ascii="宋体" w:hAnsi="宋体" w:cs="宋体"/>
          <w:color w:val="auto"/>
          <w:highlight w:val="none"/>
        </w:rPr>
        <w:t>、投标人已详细审查全部招标文件，包括修改文件以及全部参考资料和有关附件。我们完全理解并同意放弃对这方面有不明及误解的权利。</w:t>
      </w:r>
    </w:p>
    <w:p>
      <w:pPr>
        <w:spacing w:line="520" w:lineRule="exact"/>
        <w:ind w:firstLine="315" w:firstLineChars="150"/>
        <w:rPr>
          <w:rFonts w:ascii="宋体" w:cs="Times New Roman"/>
          <w:color w:val="auto"/>
          <w:highlight w:val="none"/>
        </w:rPr>
      </w:pPr>
      <w:r>
        <w:rPr>
          <w:rFonts w:ascii="宋体" w:hAnsi="宋体" w:cs="宋体"/>
          <w:color w:val="auto"/>
          <w:highlight w:val="none"/>
        </w:rPr>
        <w:t xml:space="preserve"> 5</w:t>
      </w:r>
      <w:r>
        <w:rPr>
          <w:rFonts w:hint="eastAsia" w:ascii="宋体" w:hAnsi="宋体" w:cs="宋体"/>
          <w:color w:val="auto"/>
          <w:highlight w:val="none"/>
        </w:rPr>
        <w:t>、提供的货物是原装全新、符合招标文件规定技术参数的设备或产品；</w:t>
      </w:r>
    </w:p>
    <w:p>
      <w:pPr>
        <w:spacing w:line="520" w:lineRule="exact"/>
        <w:ind w:firstLine="315" w:firstLineChars="150"/>
        <w:rPr>
          <w:rFonts w:ascii="宋体" w:cs="Times New Roman"/>
          <w:color w:val="auto"/>
          <w:highlight w:val="none"/>
        </w:rPr>
      </w:pPr>
      <w:r>
        <w:rPr>
          <w:rFonts w:ascii="宋体" w:hAnsi="宋体" w:cs="宋体"/>
          <w:color w:val="auto"/>
          <w:highlight w:val="none"/>
        </w:rPr>
        <w:t xml:space="preserve"> 6</w:t>
      </w:r>
      <w:r>
        <w:rPr>
          <w:rFonts w:hint="eastAsia" w:ascii="宋体" w:hAnsi="宋体" w:cs="宋体"/>
          <w:color w:val="auto"/>
          <w:highlight w:val="none"/>
        </w:rPr>
        <w:t>、本投标自开标日起有效期为日历天。</w:t>
      </w:r>
    </w:p>
    <w:p>
      <w:pPr>
        <w:spacing w:line="520" w:lineRule="exact"/>
        <w:ind w:firstLine="420" w:firstLineChars="200"/>
        <w:rPr>
          <w:rFonts w:ascii="宋体" w:cs="Times New Roman"/>
          <w:color w:val="auto"/>
          <w:highlight w:val="none"/>
        </w:rPr>
      </w:pPr>
      <w:r>
        <w:rPr>
          <w:rFonts w:ascii="宋体" w:cs="宋体"/>
          <w:color w:val="auto"/>
          <w:highlight w:val="none"/>
        </w:rPr>
        <w:t>7</w:t>
      </w:r>
      <w:r>
        <w:rPr>
          <w:rFonts w:hint="eastAsia" w:ascii="宋体" w:cs="宋体"/>
          <w:color w:val="auto"/>
          <w:highlight w:val="none"/>
        </w:rPr>
        <w:t>、如果在规定的开标时间后，投标人不得在投标有效期内撤回投标。</w:t>
      </w:r>
    </w:p>
    <w:p>
      <w:pPr>
        <w:spacing w:line="520" w:lineRule="exact"/>
        <w:ind w:firstLine="420" w:firstLineChars="200"/>
        <w:rPr>
          <w:rFonts w:ascii="宋体" w:cs="Times New Roman"/>
          <w:color w:val="auto"/>
          <w:highlight w:val="none"/>
        </w:rPr>
      </w:pPr>
      <w:r>
        <w:rPr>
          <w:rFonts w:ascii="宋体" w:hAnsi="宋体" w:cs="宋体"/>
          <w:color w:val="auto"/>
          <w:highlight w:val="none"/>
        </w:rPr>
        <w:t>8</w:t>
      </w:r>
      <w:r>
        <w:rPr>
          <w:rFonts w:hint="eastAsia" w:ascii="宋体" w:hAnsi="宋体" w:cs="宋体"/>
          <w:color w:val="auto"/>
          <w:highlight w:val="none"/>
        </w:rPr>
        <w:t>、投标人同意提供按照贵方可能要求的与其投标有关的一切数据或资料，完全理解贵方不一定接受最低价的投标或其他任何投标。</w:t>
      </w:r>
    </w:p>
    <w:p>
      <w:pPr>
        <w:spacing w:line="520" w:lineRule="exact"/>
        <w:rPr>
          <w:rFonts w:ascii="宋体" w:cs="Times New Roman"/>
          <w:color w:val="auto"/>
          <w:highlight w:val="none"/>
          <w:u w:val="single"/>
        </w:rPr>
      </w:pPr>
      <w:r>
        <w:rPr>
          <w:rFonts w:hint="eastAsia" w:ascii="宋体" w:hAnsi="宋体" w:cs="宋体"/>
          <w:color w:val="auto"/>
          <w:highlight w:val="none"/>
        </w:rPr>
        <w:t>投标人地址：</w:t>
      </w:r>
    </w:p>
    <w:p>
      <w:pPr>
        <w:spacing w:line="520" w:lineRule="exact"/>
        <w:ind w:firstLine="315" w:firstLineChars="150"/>
        <w:rPr>
          <w:rFonts w:ascii="宋体" w:cs="Times New Roman"/>
          <w:color w:val="auto"/>
          <w:highlight w:val="none"/>
        </w:rPr>
      </w:pPr>
      <w:r>
        <w:rPr>
          <w:rFonts w:hint="eastAsia" w:ascii="宋体" w:hAnsi="宋体" w:cs="宋体"/>
          <w:color w:val="auto"/>
          <w:highlight w:val="none"/>
        </w:rPr>
        <w:t>电话（传真）</w:t>
      </w:r>
      <w:r>
        <w:rPr>
          <w:rFonts w:ascii="宋体" w:hAnsi="宋体" w:cs="宋体"/>
          <w:color w:val="auto"/>
          <w:highlight w:val="none"/>
        </w:rPr>
        <w:t xml:space="preserve">:   </w:t>
      </w:r>
    </w:p>
    <w:p>
      <w:pPr>
        <w:spacing w:line="520" w:lineRule="exact"/>
        <w:ind w:firstLine="315" w:firstLineChars="150"/>
        <w:rPr>
          <w:rFonts w:ascii="宋体" w:cs="Times New Roman"/>
          <w:color w:val="auto"/>
          <w:highlight w:val="none"/>
        </w:rPr>
      </w:pPr>
      <w:r>
        <w:rPr>
          <w:rFonts w:hint="eastAsia" w:ascii="宋体" w:hAnsi="宋体" w:cs="宋体"/>
          <w:color w:val="auto"/>
          <w:highlight w:val="none"/>
        </w:rPr>
        <w:t>邮政编码：</w:t>
      </w:r>
    </w:p>
    <w:p>
      <w:pPr>
        <w:spacing w:line="520" w:lineRule="exact"/>
        <w:ind w:firstLine="315" w:firstLineChars="150"/>
        <w:rPr>
          <w:rFonts w:ascii="宋体" w:cs="Times New Roman"/>
          <w:color w:val="auto"/>
          <w:highlight w:val="none"/>
          <w:u w:val="single"/>
        </w:rPr>
      </w:pPr>
      <w:r>
        <w:rPr>
          <w:rFonts w:hint="eastAsia" w:ascii="宋体" w:hAnsi="宋体" w:cs="宋体"/>
          <w:color w:val="auto"/>
          <w:highlight w:val="none"/>
        </w:rPr>
        <w:t>开户银行及账号：</w:t>
      </w:r>
    </w:p>
    <w:p>
      <w:pPr>
        <w:spacing w:line="520" w:lineRule="exact"/>
        <w:ind w:firstLine="315" w:firstLineChars="150"/>
        <w:rPr>
          <w:rFonts w:ascii="宋体" w:cs="Times New Roman"/>
          <w:color w:val="auto"/>
          <w:highlight w:val="none"/>
        </w:rPr>
      </w:pPr>
      <w:r>
        <w:rPr>
          <w:rFonts w:hint="eastAsia" w:ascii="宋体" w:hAnsi="宋体" w:cs="宋体"/>
          <w:color w:val="auto"/>
          <w:highlight w:val="none"/>
        </w:rPr>
        <w:t>法定代表人或授权委托人签字</w:t>
      </w:r>
      <w:r>
        <w:rPr>
          <w:rFonts w:ascii="宋体" w:hAnsi="宋体" w:cs="宋体"/>
          <w:color w:val="auto"/>
          <w:highlight w:val="none"/>
        </w:rPr>
        <w:t>:</w:t>
      </w:r>
    </w:p>
    <w:p>
      <w:pPr>
        <w:spacing w:line="520" w:lineRule="exact"/>
        <w:ind w:firstLine="315" w:firstLineChars="150"/>
        <w:rPr>
          <w:rFonts w:ascii="宋体" w:cs="Times New Roman"/>
          <w:color w:val="auto"/>
          <w:highlight w:val="none"/>
        </w:rPr>
      </w:pPr>
      <w:r>
        <w:rPr>
          <w:rFonts w:hint="eastAsia" w:ascii="宋体" w:hAnsi="宋体" w:cs="宋体"/>
          <w:color w:val="auto"/>
          <w:highlight w:val="none"/>
        </w:rPr>
        <w:t>投标人名称（公章）</w:t>
      </w:r>
    </w:p>
    <w:p>
      <w:pPr>
        <w:spacing w:line="520" w:lineRule="exact"/>
        <w:ind w:firstLine="315" w:firstLineChars="150"/>
        <w:rPr>
          <w:rFonts w:ascii="宋体" w:cs="Times New Roman"/>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pStyle w:val="4"/>
        <w:rPr>
          <w:rFonts w:ascii="宋体" w:cs="Times New Roman"/>
          <w:color w:val="auto"/>
          <w:highlight w:val="none"/>
        </w:rPr>
      </w:pPr>
      <w:r>
        <w:rPr>
          <w:rFonts w:ascii="宋体" w:cs="Times New Roman"/>
          <w:color w:val="auto"/>
          <w:highlight w:val="none"/>
        </w:rPr>
        <w:br w:type="page"/>
      </w:r>
      <w:bookmarkStart w:id="77" w:name="_Toc995"/>
      <w:bookmarkStart w:id="78" w:name="_Toc101264860"/>
      <w:bookmarkStart w:id="79" w:name="_Toc98669376"/>
      <w:bookmarkStart w:id="80" w:name="_Toc29937"/>
      <w:bookmarkStart w:id="81" w:name="_Toc20821551"/>
      <w:bookmarkStart w:id="82" w:name="_Toc76955306"/>
      <w:bookmarkStart w:id="83" w:name="_Toc98669734"/>
    </w:p>
    <w:p>
      <w:pPr>
        <w:pStyle w:val="4"/>
        <w:rPr>
          <w:rFonts w:ascii="宋体" w:cs="Times New Roman"/>
          <w:color w:val="auto"/>
          <w:sz w:val="28"/>
          <w:szCs w:val="28"/>
          <w:highlight w:val="none"/>
        </w:rPr>
      </w:pPr>
      <w:bookmarkStart w:id="84" w:name="_Toc26734"/>
      <w:r>
        <w:rPr>
          <w:rFonts w:hint="eastAsia" w:ascii="宋体" w:hAnsi="宋体" w:cs="宋体"/>
          <w:color w:val="auto"/>
          <w:sz w:val="28"/>
          <w:szCs w:val="28"/>
          <w:highlight w:val="none"/>
        </w:rPr>
        <w:t>二、投标（报价）一览表</w:t>
      </w:r>
      <w:bookmarkEnd w:id="77"/>
      <w:bookmarkEnd w:id="84"/>
    </w:p>
    <w:p>
      <w:pPr>
        <w:pStyle w:val="5"/>
        <w:rPr>
          <w:rFonts w:cs="Times New Roman"/>
          <w:color w:val="auto"/>
          <w:highlight w:val="none"/>
        </w:rPr>
      </w:pPr>
    </w:p>
    <w:tbl>
      <w:tblPr>
        <w:tblStyle w:val="23"/>
        <w:tblW w:w="98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8"/>
        <w:gridCol w:w="77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2138" w:type="dxa"/>
            <w:tcBorders>
              <w:top w:val="double" w:color="auto" w:sz="4" w:space="0"/>
              <w:bottom w:val="single" w:color="auto" w:sz="4" w:space="0"/>
            </w:tcBorders>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项目名称</w:t>
            </w:r>
          </w:p>
        </w:tc>
        <w:tc>
          <w:tcPr>
            <w:tcW w:w="7738" w:type="dxa"/>
            <w:tcBorders>
              <w:top w:val="double" w:color="auto" w:sz="4" w:space="0"/>
              <w:bottom w:val="single" w:color="auto" w:sz="4" w:space="0"/>
            </w:tcBorders>
            <w:vAlign w:val="center"/>
          </w:tcPr>
          <w:p>
            <w:pPr>
              <w:spacing w:line="360" w:lineRule="auto"/>
              <w:ind w:firstLine="2289" w:firstLineChars="950"/>
              <w:rPr>
                <w:rFonts w:ascii="宋体" w:cs="Times New Roman"/>
                <w:b/>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138" w:type="dxa"/>
            <w:tcBorders>
              <w:top w:val="single" w:color="auto" w:sz="4" w:space="0"/>
            </w:tcBorders>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投标单位名称</w:t>
            </w:r>
          </w:p>
        </w:tc>
        <w:tc>
          <w:tcPr>
            <w:tcW w:w="7738" w:type="dxa"/>
            <w:tcBorders>
              <w:top w:val="single" w:color="auto" w:sz="4" w:space="0"/>
            </w:tcBorders>
            <w:vAlign w:val="center"/>
          </w:tcPr>
          <w:p>
            <w:pPr>
              <w:spacing w:line="360" w:lineRule="auto"/>
              <w:jc w:val="center"/>
              <w:rPr>
                <w:rFonts w:ascii="宋体" w:cs="Times New Roman"/>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2138" w:type="dxa"/>
            <w:tcBorders>
              <w:top w:val="single" w:color="auto" w:sz="4" w:space="0"/>
            </w:tcBorders>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投标报价（元）</w:t>
            </w:r>
          </w:p>
        </w:tc>
        <w:tc>
          <w:tcPr>
            <w:tcW w:w="7738" w:type="dxa"/>
            <w:tcBorders>
              <w:top w:val="single" w:color="auto" w:sz="4" w:space="0"/>
            </w:tcBorders>
            <w:vAlign w:val="center"/>
          </w:tcPr>
          <w:p>
            <w:pPr>
              <w:spacing w:line="360" w:lineRule="auto"/>
              <w:ind w:firstLine="103" w:firstLineChars="43"/>
              <w:rPr>
                <w:rFonts w:ascii="宋体" w:cs="Times New Roman"/>
                <w:color w:val="auto"/>
                <w:sz w:val="24"/>
                <w:szCs w:val="24"/>
                <w:highlight w:val="none"/>
              </w:rPr>
            </w:pPr>
            <w:r>
              <w:rPr>
                <w:rFonts w:hint="eastAsia" w:ascii="宋体" w:hAnsi="宋体" w:cs="宋体"/>
                <w:color w:val="auto"/>
                <w:sz w:val="24"/>
                <w:szCs w:val="24"/>
                <w:highlight w:val="none"/>
              </w:rPr>
              <w:t>大写：</w:t>
            </w:r>
          </w:p>
          <w:p>
            <w:pPr>
              <w:spacing w:line="360" w:lineRule="auto"/>
              <w:ind w:firstLine="103" w:firstLineChars="43"/>
              <w:rPr>
                <w:rFonts w:ascii="宋体" w:cs="Times New Roman"/>
                <w:color w:val="auto"/>
                <w:sz w:val="24"/>
                <w:szCs w:val="24"/>
                <w:highlight w:val="none"/>
                <w:u w:val="single"/>
              </w:rPr>
            </w:pPr>
            <w:r>
              <w:rPr>
                <w:rFonts w:hint="eastAsia" w:ascii="宋体" w:hAnsi="宋体" w:cs="宋体"/>
                <w:color w:val="auto"/>
                <w:sz w:val="24"/>
                <w:szCs w:val="24"/>
                <w:highlight w:val="none"/>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2138" w:type="dxa"/>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交货地点</w:t>
            </w:r>
          </w:p>
        </w:tc>
        <w:tc>
          <w:tcPr>
            <w:tcW w:w="7738" w:type="dxa"/>
            <w:vAlign w:val="center"/>
          </w:tcPr>
          <w:p>
            <w:pPr>
              <w:spacing w:line="360" w:lineRule="auto"/>
              <w:jc w:val="center"/>
              <w:rPr>
                <w:rFonts w:ascii="宋体" w:cs="Times New Roman"/>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2138" w:type="dxa"/>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供货期</w:t>
            </w:r>
          </w:p>
        </w:tc>
        <w:tc>
          <w:tcPr>
            <w:tcW w:w="7738" w:type="dxa"/>
            <w:vAlign w:val="center"/>
          </w:tcPr>
          <w:p>
            <w:pPr>
              <w:spacing w:line="360" w:lineRule="auto"/>
              <w:jc w:val="center"/>
              <w:rPr>
                <w:rFonts w:ascii="宋体" w:cs="Times New Roman"/>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2138" w:type="dxa"/>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质量要求</w:t>
            </w:r>
          </w:p>
        </w:tc>
        <w:tc>
          <w:tcPr>
            <w:tcW w:w="7738" w:type="dxa"/>
            <w:vAlign w:val="center"/>
          </w:tcPr>
          <w:p>
            <w:pPr>
              <w:spacing w:line="360" w:lineRule="auto"/>
              <w:jc w:val="center"/>
              <w:rPr>
                <w:rFonts w:ascii="宋体" w:cs="Times New Roman"/>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2138" w:type="dxa"/>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质保期</w:t>
            </w:r>
          </w:p>
        </w:tc>
        <w:tc>
          <w:tcPr>
            <w:tcW w:w="7738" w:type="dxa"/>
            <w:vAlign w:val="center"/>
          </w:tcPr>
          <w:p>
            <w:pPr>
              <w:spacing w:line="360" w:lineRule="auto"/>
              <w:jc w:val="center"/>
              <w:rPr>
                <w:rFonts w:ascii="宋体" w:cs="Times New Roman"/>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2138" w:type="dxa"/>
            <w:tcBorders>
              <w:bottom w:val="double" w:color="auto" w:sz="4" w:space="0"/>
            </w:tcBorders>
            <w:vAlign w:val="center"/>
          </w:tcPr>
          <w:p>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备注</w:t>
            </w:r>
          </w:p>
        </w:tc>
        <w:tc>
          <w:tcPr>
            <w:tcW w:w="7738" w:type="dxa"/>
            <w:tcBorders>
              <w:bottom w:val="double" w:color="auto" w:sz="4" w:space="0"/>
            </w:tcBorders>
            <w:vAlign w:val="center"/>
          </w:tcPr>
          <w:p>
            <w:pPr>
              <w:spacing w:line="360" w:lineRule="auto"/>
              <w:jc w:val="center"/>
              <w:rPr>
                <w:rFonts w:ascii="宋体" w:cs="Times New Roman"/>
                <w:color w:val="auto"/>
                <w:sz w:val="24"/>
                <w:szCs w:val="24"/>
                <w:highlight w:val="none"/>
              </w:rPr>
            </w:pPr>
          </w:p>
        </w:tc>
      </w:tr>
    </w:tbl>
    <w:p>
      <w:pPr>
        <w:spacing w:line="400" w:lineRule="exact"/>
        <w:rPr>
          <w:rFonts w:cs="Times New Roman"/>
          <w:color w:val="auto"/>
          <w:sz w:val="24"/>
          <w:szCs w:val="24"/>
          <w:highlight w:val="none"/>
        </w:rPr>
      </w:pPr>
      <w:r>
        <w:rPr>
          <w:rFonts w:hint="eastAsia" w:cs="宋体"/>
          <w:color w:val="auto"/>
          <w:sz w:val="24"/>
          <w:szCs w:val="24"/>
          <w:highlight w:val="none"/>
        </w:rPr>
        <w:t>注：</w:t>
      </w:r>
      <w:r>
        <w:rPr>
          <w:color w:val="auto"/>
          <w:sz w:val="24"/>
          <w:szCs w:val="24"/>
          <w:highlight w:val="none"/>
        </w:rPr>
        <w:t>1.</w:t>
      </w:r>
      <w:r>
        <w:rPr>
          <w:rFonts w:hint="eastAsia" w:cs="宋体"/>
          <w:color w:val="auto"/>
          <w:sz w:val="24"/>
          <w:szCs w:val="24"/>
          <w:highlight w:val="none"/>
        </w:rPr>
        <w:t>投标人只允许有一个投标报价，招标人和招标代理机构不接受任何有选择的投标报价。</w:t>
      </w:r>
    </w:p>
    <w:p>
      <w:pPr>
        <w:spacing w:line="400" w:lineRule="exact"/>
        <w:ind w:left="1"/>
        <w:rPr>
          <w:rFonts w:cs="Times New Roman"/>
          <w:color w:val="auto"/>
          <w:sz w:val="24"/>
          <w:szCs w:val="24"/>
          <w:highlight w:val="none"/>
        </w:rPr>
      </w:pPr>
      <w:r>
        <w:rPr>
          <w:color w:val="auto"/>
          <w:sz w:val="24"/>
          <w:szCs w:val="24"/>
          <w:highlight w:val="none"/>
        </w:rPr>
        <w:t>2.</w:t>
      </w:r>
      <w:r>
        <w:rPr>
          <w:rFonts w:hint="eastAsia" w:cs="宋体"/>
          <w:color w:val="auto"/>
          <w:sz w:val="24"/>
          <w:szCs w:val="24"/>
          <w:highlight w:val="none"/>
        </w:rPr>
        <w:t>本表投标总价应与投标文件中报价表的总报价一致，如有偏差，以投标文件正本大写报价为准。</w:t>
      </w:r>
    </w:p>
    <w:p>
      <w:pPr>
        <w:spacing w:line="400" w:lineRule="exact"/>
        <w:ind w:left="1"/>
        <w:rPr>
          <w:rFonts w:cs="Times New Roman"/>
          <w:color w:val="auto"/>
          <w:sz w:val="24"/>
          <w:szCs w:val="24"/>
          <w:highlight w:val="none"/>
        </w:rPr>
      </w:pPr>
      <w:r>
        <w:rPr>
          <w:color w:val="auto"/>
          <w:sz w:val="24"/>
          <w:szCs w:val="24"/>
          <w:highlight w:val="none"/>
        </w:rPr>
        <w:t>3.</w:t>
      </w:r>
      <w:r>
        <w:rPr>
          <w:rFonts w:hint="eastAsia" w:cs="宋体"/>
          <w:color w:val="auto"/>
          <w:sz w:val="24"/>
          <w:szCs w:val="24"/>
          <w:highlight w:val="none"/>
        </w:rPr>
        <w:t>投标报价为：目的地交货价，包括：设备和原厂服务的价格，全部的辅助材料费用及设备检验等相关费用。</w:t>
      </w:r>
    </w:p>
    <w:p>
      <w:pPr>
        <w:spacing w:line="400" w:lineRule="exact"/>
        <w:ind w:left="1"/>
        <w:rPr>
          <w:rFonts w:cs="Times New Roman"/>
          <w:color w:val="auto"/>
          <w:sz w:val="24"/>
          <w:szCs w:val="24"/>
          <w:highlight w:val="none"/>
        </w:rPr>
      </w:pPr>
      <w:r>
        <w:rPr>
          <w:color w:val="auto"/>
          <w:sz w:val="24"/>
          <w:szCs w:val="24"/>
          <w:highlight w:val="none"/>
        </w:rPr>
        <w:t>4.</w:t>
      </w:r>
      <w:r>
        <w:rPr>
          <w:rFonts w:hint="eastAsia" w:cs="宋体"/>
          <w:color w:val="auto"/>
          <w:sz w:val="24"/>
          <w:szCs w:val="24"/>
          <w:highlight w:val="none"/>
        </w:rPr>
        <w:t>投标总报价应包含成本、运输、税金、培训、安装调试等一切与之相关费用。</w:t>
      </w:r>
    </w:p>
    <w:p>
      <w:pPr>
        <w:spacing w:line="400" w:lineRule="exact"/>
        <w:ind w:firstLine="315" w:firstLineChars="150"/>
        <w:rPr>
          <w:rFonts w:ascii="宋体" w:cs="Times New Roman"/>
          <w:color w:val="auto"/>
          <w:highlight w:val="none"/>
        </w:rPr>
      </w:pPr>
    </w:p>
    <w:p>
      <w:pPr>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投标单位名称：（公章）</w:t>
      </w:r>
    </w:p>
    <w:p>
      <w:pPr>
        <w:spacing w:line="400" w:lineRule="exact"/>
        <w:jc w:val="left"/>
        <w:rPr>
          <w:rFonts w:ascii="宋体" w:cs="Times New Roman"/>
          <w:color w:val="auto"/>
          <w:sz w:val="24"/>
          <w:szCs w:val="24"/>
          <w:highlight w:val="none"/>
        </w:rPr>
      </w:pPr>
      <w:r>
        <w:rPr>
          <w:rFonts w:hint="eastAsia" w:ascii="宋体" w:hAnsi="宋体" w:cs="宋体"/>
          <w:color w:val="auto"/>
          <w:sz w:val="24"/>
          <w:szCs w:val="24"/>
          <w:highlight w:val="none"/>
        </w:rPr>
        <w:t>法人代表或委托代理人：（签字或盖章）</w:t>
      </w:r>
    </w:p>
    <w:p>
      <w:pPr>
        <w:spacing w:line="400" w:lineRule="exact"/>
        <w:ind w:right="140"/>
        <w:jc w:val="left"/>
        <w:rPr>
          <w:rFonts w:ascii="宋体" w:cs="Times New Roman"/>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pacing w:line="400" w:lineRule="exact"/>
        <w:ind w:right="140"/>
        <w:jc w:val="left"/>
        <w:rPr>
          <w:rFonts w:ascii="宋体" w:cs="Times New Roman"/>
          <w:color w:val="auto"/>
          <w:sz w:val="24"/>
          <w:szCs w:val="24"/>
          <w:highlight w:val="none"/>
        </w:rPr>
      </w:pPr>
    </w:p>
    <w:p>
      <w:pPr>
        <w:spacing w:line="400" w:lineRule="exact"/>
        <w:ind w:right="140"/>
        <w:jc w:val="left"/>
        <w:rPr>
          <w:rFonts w:ascii="宋体" w:cs="Times New Roman"/>
          <w:color w:val="auto"/>
          <w:highlight w:val="none"/>
        </w:rPr>
      </w:pPr>
    </w:p>
    <w:p>
      <w:pPr>
        <w:pStyle w:val="17"/>
        <w:jc w:val="both"/>
        <w:rPr>
          <w:rFonts w:ascii="宋体" w:cs="Times New Roman"/>
          <w:color w:val="auto"/>
          <w:sz w:val="28"/>
          <w:szCs w:val="28"/>
          <w:highlight w:val="none"/>
        </w:rPr>
      </w:pPr>
    </w:p>
    <w:p>
      <w:pPr>
        <w:pStyle w:val="17"/>
        <w:rPr>
          <w:rFonts w:ascii="宋体" w:cs="Times New Roman"/>
          <w:color w:val="auto"/>
          <w:highlight w:val="none"/>
        </w:rPr>
      </w:pPr>
      <w:bookmarkStart w:id="85" w:name="_Toc16959"/>
      <w:r>
        <w:rPr>
          <w:rFonts w:hint="eastAsia" w:ascii="宋体" w:hAnsi="宋体" w:cs="宋体"/>
          <w:color w:val="auto"/>
          <w:sz w:val="28"/>
          <w:szCs w:val="28"/>
          <w:highlight w:val="none"/>
        </w:rPr>
        <w:t>三、</w:t>
      </w:r>
      <w:bookmarkEnd w:id="78"/>
      <w:bookmarkEnd w:id="79"/>
      <w:bookmarkEnd w:id="80"/>
      <w:bookmarkEnd w:id="81"/>
      <w:bookmarkEnd w:id="82"/>
      <w:bookmarkEnd w:id="83"/>
      <w:r>
        <w:rPr>
          <w:rFonts w:hint="eastAsia" w:ascii="宋体" w:hAnsi="宋体" w:cs="宋体"/>
          <w:color w:val="auto"/>
          <w:highlight w:val="none"/>
        </w:rPr>
        <w:t>货物清单及报价明细表</w:t>
      </w:r>
      <w:bookmarkEnd w:id="85"/>
    </w:p>
    <w:tbl>
      <w:tblPr>
        <w:tblStyle w:val="23"/>
        <w:tblpPr w:leftFromText="180" w:rightFromText="180" w:vertAnchor="text" w:horzAnchor="page" w:tblpX="1322" w:tblpY="419"/>
        <w:tblOverlap w:val="never"/>
        <w:tblW w:w="9700" w:type="dxa"/>
        <w:tblInd w:w="0" w:type="dxa"/>
        <w:tblLayout w:type="fixed"/>
        <w:tblCellMar>
          <w:top w:w="0" w:type="dxa"/>
          <w:left w:w="0" w:type="dxa"/>
          <w:bottom w:w="0" w:type="dxa"/>
          <w:right w:w="0" w:type="dxa"/>
        </w:tblCellMar>
      </w:tblPr>
      <w:tblGrid>
        <w:gridCol w:w="559"/>
        <w:gridCol w:w="1555"/>
        <w:gridCol w:w="2289"/>
        <w:gridCol w:w="833"/>
        <w:gridCol w:w="905"/>
        <w:gridCol w:w="1204"/>
        <w:gridCol w:w="1134"/>
        <w:gridCol w:w="1221"/>
      </w:tblGrid>
      <w:tr>
        <w:tblPrEx>
          <w:tblCellMar>
            <w:top w:w="0" w:type="dxa"/>
            <w:left w:w="0" w:type="dxa"/>
            <w:bottom w:w="0" w:type="dxa"/>
            <w:right w:w="0" w:type="dxa"/>
          </w:tblCellMar>
        </w:tblPrEx>
        <w:trPr>
          <w:cantSplit/>
          <w:trHeight w:val="694" w:hRule="atLeast"/>
        </w:trPr>
        <w:tc>
          <w:tcPr>
            <w:tcW w:w="9700" w:type="dxa"/>
            <w:gridSpan w:val="8"/>
            <w:tcBorders>
              <w:top w:val="single" w:color="auto" w:sz="4" w:space="0"/>
              <w:left w:val="single" w:color="auto" w:sz="4" w:space="0"/>
              <w:right w:val="single" w:color="auto" w:sz="4" w:space="0"/>
            </w:tcBorders>
            <w:tcMar>
              <w:top w:w="20" w:type="dxa"/>
              <w:left w:w="20" w:type="dxa"/>
              <w:bottom w:w="0" w:type="dxa"/>
              <w:right w:w="20" w:type="dxa"/>
            </w:tcMar>
            <w:vAlign w:val="center"/>
          </w:tcPr>
          <w:p>
            <w:pPr>
              <w:rPr>
                <w:rFonts w:ascii="宋体" w:cs="Times New Roman"/>
                <w:color w:val="auto"/>
                <w:highlight w:val="none"/>
              </w:rPr>
            </w:pPr>
            <w:bookmarkStart w:id="86" w:name="_Toc388091825"/>
            <w:r>
              <w:rPr>
                <w:rFonts w:hint="eastAsia" w:ascii="宋体" w:hAnsi="宋体" w:cs="宋体"/>
                <w:color w:val="auto"/>
                <w:highlight w:val="none"/>
              </w:rPr>
              <w:t>投标人：（此处填名称并盖章）</w:t>
            </w:r>
            <w:bookmarkEnd w:id="86"/>
          </w:p>
        </w:tc>
      </w:tr>
      <w:tr>
        <w:tblPrEx>
          <w:tblCellMar>
            <w:top w:w="0" w:type="dxa"/>
            <w:left w:w="0" w:type="dxa"/>
            <w:bottom w:w="0" w:type="dxa"/>
            <w:right w:w="0" w:type="dxa"/>
          </w:tblCellMar>
        </w:tblPrEx>
        <w:trPr>
          <w:cantSplit/>
          <w:trHeight w:val="731" w:hRule="atLeast"/>
        </w:trPr>
        <w:tc>
          <w:tcPr>
            <w:tcW w:w="9700" w:type="dxa"/>
            <w:gridSpan w:val="8"/>
            <w:tcBorders>
              <w:left w:val="single" w:color="auto" w:sz="4" w:space="0"/>
              <w:right w:val="single" w:color="auto" w:sz="4" w:space="0"/>
            </w:tcBorders>
            <w:tcMar>
              <w:top w:w="20" w:type="dxa"/>
              <w:left w:w="20" w:type="dxa"/>
              <w:bottom w:w="0" w:type="dxa"/>
              <w:right w:w="20" w:type="dxa"/>
            </w:tcMar>
            <w:vAlign w:val="center"/>
          </w:tcPr>
          <w:p>
            <w:pPr>
              <w:rPr>
                <w:rFonts w:ascii="宋体" w:cs="Times New Roman"/>
                <w:color w:val="auto"/>
                <w:highlight w:val="none"/>
              </w:rPr>
            </w:pPr>
            <w:bookmarkStart w:id="87" w:name="_Toc388091826"/>
            <w:r>
              <w:rPr>
                <w:rFonts w:hint="eastAsia" w:ascii="宋体" w:hAnsi="宋体" w:cs="宋体"/>
                <w:color w:val="auto"/>
                <w:highlight w:val="none"/>
              </w:rPr>
              <w:t>项目：（此处填项目名称）</w:t>
            </w:r>
            <w:r>
              <w:rPr>
                <w:rFonts w:ascii="宋体" w:hAnsi="宋体" w:cs="宋体"/>
                <w:color w:val="auto"/>
                <w:highlight w:val="none"/>
              </w:rPr>
              <w:t xml:space="preserve">                                                       </w:t>
            </w:r>
            <w:r>
              <w:rPr>
                <w:rFonts w:hint="eastAsia" w:ascii="宋体" w:hAnsi="宋体" w:cs="宋体"/>
                <w:color w:val="auto"/>
                <w:highlight w:val="none"/>
              </w:rPr>
              <w:t>金额单位：元</w:t>
            </w:r>
            <w:bookmarkEnd w:id="87"/>
          </w:p>
        </w:tc>
      </w:tr>
      <w:tr>
        <w:tblPrEx>
          <w:tblCellMar>
            <w:top w:w="0" w:type="dxa"/>
            <w:left w:w="0" w:type="dxa"/>
            <w:bottom w:w="0" w:type="dxa"/>
            <w:right w:w="0" w:type="dxa"/>
          </w:tblCellMar>
        </w:tblPrEx>
        <w:trPr>
          <w:trHeight w:val="705" w:hRule="atLeast"/>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bookmarkStart w:id="88" w:name="_Toc388091827"/>
            <w:r>
              <w:rPr>
                <w:rFonts w:hint="eastAsia" w:ascii="宋体" w:hAnsi="宋体" w:cs="宋体"/>
                <w:color w:val="auto"/>
                <w:highlight w:val="none"/>
              </w:rPr>
              <w:t>序号</w:t>
            </w:r>
            <w:bookmarkEnd w:id="88"/>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bookmarkStart w:id="89" w:name="_Toc388091828"/>
            <w:r>
              <w:rPr>
                <w:rFonts w:hint="eastAsia" w:ascii="宋体" w:hAnsi="宋体" w:cs="宋体"/>
                <w:color w:val="auto"/>
                <w:highlight w:val="none"/>
              </w:rPr>
              <w:t>设备</w:t>
            </w:r>
          </w:p>
          <w:p>
            <w:pPr>
              <w:jc w:val="center"/>
              <w:rPr>
                <w:rFonts w:ascii="宋体" w:cs="Times New Roman"/>
                <w:color w:val="auto"/>
                <w:highlight w:val="none"/>
              </w:rPr>
            </w:pPr>
            <w:r>
              <w:rPr>
                <w:rFonts w:hint="eastAsia" w:ascii="宋体" w:hAnsi="宋体" w:cs="宋体"/>
                <w:color w:val="auto"/>
                <w:highlight w:val="none"/>
              </w:rPr>
              <w:t>（项目）</w:t>
            </w:r>
          </w:p>
          <w:p>
            <w:pPr>
              <w:jc w:val="center"/>
              <w:rPr>
                <w:rFonts w:ascii="宋体" w:cs="Times New Roman"/>
                <w:color w:val="auto"/>
                <w:highlight w:val="none"/>
              </w:rPr>
            </w:pPr>
            <w:r>
              <w:rPr>
                <w:rFonts w:hint="eastAsia" w:ascii="宋体" w:hAnsi="宋体" w:cs="宋体"/>
                <w:color w:val="auto"/>
                <w:highlight w:val="none"/>
              </w:rPr>
              <w:t>名称</w:t>
            </w:r>
            <w:bookmarkEnd w:id="89"/>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r>
              <w:rPr>
                <w:rFonts w:hint="eastAsia" w:ascii="宋体" w:hAnsi="宋体" w:cs="宋体"/>
                <w:color w:val="auto"/>
                <w:highlight w:val="none"/>
              </w:rPr>
              <w:t>品牌、规格型号、厂家</w:t>
            </w: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bookmarkStart w:id="90" w:name="_Toc388091830"/>
            <w:r>
              <w:rPr>
                <w:rFonts w:hint="eastAsia" w:ascii="宋体" w:hAnsi="宋体" w:cs="宋体"/>
                <w:color w:val="auto"/>
                <w:highlight w:val="none"/>
              </w:rPr>
              <w:t>单位</w:t>
            </w:r>
            <w:bookmarkEnd w:id="90"/>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bookmarkStart w:id="91" w:name="_Toc388091831"/>
            <w:r>
              <w:rPr>
                <w:rFonts w:hint="eastAsia" w:ascii="宋体" w:hAnsi="宋体" w:cs="宋体"/>
                <w:color w:val="auto"/>
                <w:highlight w:val="none"/>
              </w:rPr>
              <w:t>数量</w:t>
            </w:r>
            <w:bookmarkEnd w:id="91"/>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bookmarkStart w:id="92" w:name="_Toc388091832"/>
            <w:r>
              <w:rPr>
                <w:rFonts w:hint="eastAsia" w:ascii="宋体" w:hAnsi="宋体" w:cs="宋体"/>
                <w:color w:val="auto"/>
                <w:highlight w:val="none"/>
              </w:rPr>
              <w:t>单价</w:t>
            </w:r>
            <w:bookmarkEnd w:id="92"/>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bookmarkStart w:id="93" w:name="_Toc388091833"/>
            <w:r>
              <w:rPr>
                <w:rFonts w:hint="eastAsia" w:ascii="宋体" w:hAnsi="宋体" w:cs="宋体"/>
                <w:color w:val="auto"/>
                <w:highlight w:val="none"/>
              </w:rPr>
              <w:t>合计</w:t>
            </w:r>
            <w:bookmarkEnd w:id="93"/>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bookmarkStart w:id="94" w:name="_Toc388091834"/>
            <w:r>
              <w:rPr>
                <w:rFonts w:hint="eastAsia" w:ascii="宋体" w:hAnsi="宋体" w:cs="宋体"/>
                <w:color w:val="auto"/>
                <w:highlight w:val="none"/>
              </w:rPr>
              <w:t>备注</w:t>
            </w:r>
            <w:bookmarkEnd w:id="94"/>
          </w:p>
        </w:tc>
      </w:tr>
      <w:tr>
        <w:tblPrEx>
          <w:tblCellMar>
            <w:top w:w="0" w:type="dxa"/>
            <w:left w:w="0" w:type="dxa"/>
            <w:bottom w:w="0" w:type="dxa"/>
            <w:right w:w="0" w:type="dxa"/>
          </w:tblCellMar>
        </w:tblPrEx>
        <w:trPr>
          <w:trHeight w:val="645" w:hRule="atLeast"/>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r>
              <w:rPr>
                <w:rFonts w:ascii="宋体" w:hAnsi="宋体" w:cs="宋体"/>
                <w:color w:val="auto"/>
                <w:highlight w:val="none"/>
              </w:rPr>
              <w:t>1</w:t>
            </w: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r>
      <w:tr>
        <w:tblPrEx>
          <w:tblCellMar>
            <w:top w:w="0" w:type="dxa"/>
            <w:left w:w="0" w:type="dxa"/>
            <w:bottom w:w="0" w:type="dxa"/>
            <w:right w:w="0" w:type="dxa"/>
          </w:tblCellMar>
        </w:tblPrEx>
        <w:trPr>
          <w:trHeight w:val="645" w:hRule="atLeast"/>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r>
              <w:rPr>
                <w:rFonts w:ascii="宋体" w:hAnsi="宋体" w:cs="宋体"/>
                <w:color w:val="auto"/>
                <w:highlight w:val="none"/>
              </w:rPr>
              <w:t>2</w:t>
            </w: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r>
      <w:tr>
        <w:tblPrEx>
          <w:tblCellMar>
            <w:top w:w="0" w:type="dxa"/>
            <w:left w:w="0" w:type="dxa"/>
            <w:bottom w:w="0" w:type="dxa"/>
            <w:right w:w="0" w:type="dxa"/>
          </w:tblCellMar>
        </w:tblPrEx>
        <w:trPr>
          <w:trHeight w:val="645" w:hRule="atLeast"/>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r>
              <w:rPr>
                <w:rFonts w:ascii="宋体" w:hAnsi="宋体" w:cs="宋体"/>
                <w:color w:val="auto"/>
                <w:highlight w:val="none"/>
              </w:rPr>
              <w:t>3</w:t>
            </w: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r>
      <w:tr>
        <w:tblPrEx>
          <w:tblCellMar>
            <w:top w:w="0" w:type="dxa"/>
            <w:left w:w="0" w:type="dxa"/>
            <w:bottom w:w="0" w:type="dxa"/>
            <w:right w:w="0" w:type="dxa"/>
          </w:tblCellMar>
        </w:tblPrEx>
        <w:trPr>
          <w:trHeight w:val="645" w:hRule="atLeast"/>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r>
              <w:rPr>
                <w:rFonts w:ascii="宋体" w:hAnsi="宋体" w:cs="宋体"/>
                <w:color w:val="auto"/>
                <w:highlight w:val="none"/>
              </w:rPr>
              <w:t>4</w:t>
            </w: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r>
      <w:tr>
        <w:tblPrEx>
          <w:tblCellMar>
            <w:top w:w="0" w:type="dxa"/>
            <w:left w:w="0" w:type="dxa"/>
            <w:bottom w:w="0" w:type="dxa"/>
            <w:right w:w="0" w:type="dxa"/>
          </w:tblCellMar>
        </w:tblPrEx>
        <w:trPr>
          <w:trHeight w:val="645" w:hRule="atLeast"/>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r>
      <w:tr>
        <w:tblPrEx>
          <w:tblCellMar>
            <w:top w:w="0" w:type="dxa"/>
            <w:left w:w="0" w:type="dxa"/>
            <w:bottom w:w="0" w:type="dxa"/>
            <w:right w:w="0" w:type="dxa"/>
          </w:tblCellMar>
        </w:tblPrEx>
        <w:trPr>
          <w:trHeight w:val="645" w:hRule="atLeast"/>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color w:val="auto"/>
                <w:highlight w:val="none"/>
              </w:rPr>
            </w:pPr>
          </w:p>
        </w:tc>
      </w:tr>
      <w:tr>
        <w:tblPrEx>
          <w:tblCellMar>
            <w:top w:w="0" w:type="dxa"/>
            <w:left w:w="0" w:type="dxa"/>
            <w:bottom w:w="0" w:type="dxa"/>
            <w:right w:w="0" w:type="dxa"/>
          </w:tblCellMar>
        </w:tblPrEx>
        <w:trPr>
          <w:trHeight w:val="2255" w:hRule="atLeast"/>
        </w:trPr>
        <w:tc>
          <w:tcPr>
            <w:tcW w:w="9700"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cs="Times New Roman"/>
                <w:color w:val="auto"/>
                <w:highlight w:val="none"/>
              </w:rPr>
            </w:pPr>
            <w:bookmarkStart w:id="95" w:name="_Toc388091835"/>
            <w:r>
              <w:rPr>
                <w:rFonts w:hint="eastAsia" w:ascii="宋体" w:hAnsi="宋体" w:cs="宋体"/>
                <w:color w:val="auto"/>
                <w:highlight w:val="none"/>
              </w:rPr>
              <w:t>优惠条件：</w:t>
            </w:r>
            <w:r>
              <w:rPr>
                <w:rFonts w:ascii="宋体" w:hAnsi="宋体" w:cs="宋体"/>
                <w:color w:val="auto"/>
                <w:highlight w:val="none"/>
              </w:rPr>
              <w:t>1</w:t>
            </w:r>
            <w:r>
              <w:rPr>
                <w:rFonts w:hint="eastAsia" w:ascii="宋体" w:hAnsi="宋体" w:cs="宋体"/>
                <w:color w:val="auto"/>
                <w:highlight w:val="none"/>
              </w:rPr>
              <w:t>、</w:t>
            </w:r>
            <w:bookmarkEnd w:id="95"/>
          </w:p>
          <w:p>
            <w:pPr>
              <w:ind w:firstLine="1050" w:firstLineChars="500"/>
              <w:rPr>
                <w:rFonts w:ascii="宋体" w:cs="Times New Roman"/>
                <w:color w:val="auto"/>
                <w:highlight w:val="none"/>
              </w:rPr>
            </w:pPr>
            <w:bookmarkStart w:id="96" w:name="_Toc388091836"/>
            <w:r>
              <w:rPr>
                <w:rFonts w:ascii="宋体" w:hAnsi="宋体" w:cs="宋体"/>
                <w:color w:val="auto"/>
                <w:highlight w:val="none"/>
              </w:rPr>
              <w:t>2</w:t>
            </w:r>
            <w:r>
              <w:rPr>
                <w:rFonts w:hint="eastAsia" w:ascii="宋体" w:hAnsi="宋体" w:cs="宋体"/>
                <w:color w:val="auto"/>
                <w:highlight w:val="none"/>
              </w:rPr>
              <w:t>、</w:t>
            </w:r>
            <w:bookmarkEnd w:id="96"/>
          </w:p>
          <w:p>
            <w:pPr>
              <w:ind w:firstLine="1050" w:firstLineChars="500"/>
              <w:rPr>
                <w:rFonts w:ascii="宋体" w:cs="Times New Roman"/>
                <w:color w:val="auto"/>
                <w:highlight w:val="none"/>
              </w:rPr>
            </w:pPr>
            <w:bookmarkStart w:id="97" w:name="_Toc388091837"/>
            <w:r>
              <w:rPr>
                <w:rFonts w:ascii="宋体" w:hAnsi="宋体" w:cs="宋体"/>
                <w:color w:val="auto"/>
                <w:highlight w:val="none"/>
              </w:rPr>
              <w:t>3</w:t>
            </w:r>
            <w:r>
              <w:rPr>
                <w:rFonts w:hint="eastAsia" w:ascii="宋体" w:hAnsi="宋体" w:cs="宋体"/>
                <w:color w:val="auto"/>
                <w:highlight w:val="none"/>
              </w:rPr>
              <w:t>、</w:t>
            </w:r>
            <w:bookmarkEnd w:id="97"/>
          </w:p>
          <w:p>
            <w:pPr>
              <w:jc w:val="center"/>
              <w:rPr>
                <w:rFonts w:ascii="宋体" w:cs="Times New Roman"/>
                <w:color w:val="auto"/>
                <w:highlight w:val="none"/>
              </w:rPr>
            </w:pPr>
            <w:bookmarkStart w:id="98" w:name="_Toc388091838"/>
            <w:r>
              <w:rPr>
                <w:rFonts w:hint="eastAsia" w:ascii="宋体" w:hAnsi="宋体" w:cs="宋体"/>
                <w:color w:val="auto"/>
                <w:highlight w:val="none"/>
              </w:rPr>
              <w:t>法定代表人或授权委托人签字或盖章：</w:t>
            </w:r>
            <w:bookmarkEnd w:id="98"/>
          </w:p>
          <w:p>
            <w:pPr>
              <w:rPr>
                <w:rFonts w:ascii="宋体" w:cs="Times New Roman"/>
                <w:color w:val="auto"/>
                <w:highlight w:val="none"/>
              </w:rPr>
            </w:pPr>
          </w:p>
          <w:p>
            <w:pPr>
              <w:jc w:val="right"/>
              <w:rPr>
                <w:rFonts w:ascii="宋体" w:cs="Times New Roman"/>
                <w:color w:val="auto"/>
                <w:highlight w:val="none"/>
              </w:rPr>
            </w:pPr>
            <w:bookmarkStart w:id="99" w:name="_Toc388091839"/>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bookmarkEnd w:id="99"/>
          </w:p>
          <w:p>
            <w:pPr>
              <w:jc w:val="center"/>
              <w:rPr>
                <w:rFonts w:ascii="宋体" w:cs="Times New Roman"/>
                <w:color w:val="auto"/>
                <w:highlight w:val="none"/>
              </w:rPr>
            </w:pPr>
          </w:p>
        </w:tc>
      </w:tr>
    </w:tbl>
    <w:p>
      <w:pPr>
        <w:pStyle w:val="4"/>
        <w:rPr>
          <w:rFonts w:ascii="宋体" w:cs="Times New Roman"/>
          <w:color w:val="auto"/>
          <w:sz w:val="28"/>
          <w:szCs w:val="28"/>
          <w:highlight w:val="none"/>
        </w:rPr>
      </w:pPr>
    </w:p>
    <w:p>
      <w:pPr>
        <w:rPr>
          <w:rFonts w:ascii="仿宋_GB2312" w:hAnsi="仿宋_GB2312" w:eastAsia="仿宋_GB2312" w:cs="Times New Roman"/>
          <w:color w:val="auto"/>
          <w:sz w:val="24"/>
          <w:szCs w:val="24"/>
          <w:highlight w:val="none"/>
        </w:rPr>
      </w:pPr>
    </w:p>
    <w:p>
      <w:pPr>
        <w:widowControl/>
        <w:spacing w:line="480" w:lineRule="auto"/>
        <w:rPr>
          <w:rFonts w:ascii="宋体" w:cs="Times New Roman"/>
          <w:color w:val="auto"/>
          <w:sz w:val="24"/>
          <w:szCs w:val="24"/>
          <w:highlight w:val="none"/>
        </w:rPr>
      </w:pPr>
      <w:r>
        <w:rPr>
          <w:rFonts w:hint="eastAsia" w:ascii="宋体" w:hAnsi="宋体" w:cs="宋体"/>
          <w:color w:val="auto"/>
          <w:sz w:val="24"/>
          <w:szCs w:val="24"/>
          <w:highlight w:val="none"/>
        </w:rPr>
        <w:t>投标人名称：（公章）</w:t>
      </w:r>
    </w:p>
    <w:p>
      <w:pPr>
        <w:widowControl/>
        <w:spacing w:line="480" w:lineRule="auto"/>
        <w:rPr>
          <w:rFonts w:ascii="宋体" w:cs="Times New Roman"/>
          <w:color w:val="auto"/>
          <w:sz w:val="24"/>
          <w:szCs w:val="24"/>
          <w:highlight w:val="none"/>
        </w:rPr>
      </w:pPr>
      <w:r>
        <w:rPr>
          <w:rFonts w:hint="eastAsia" w:ascii="宋体" w:hAnsi="宋体" w:cs="宋体"/>
          <w:color w:val="auto"/>
          <w:sz w:val="24"/>
          <w:szCs w:val="24"/>
          <w:highlight w:val="none"/>
        </w:rPr>
        <w:t>法人代表或委托代理人：（签字或盖章）</w:t>
      </w:r>
    </w:p>
    <w:p>
      <w:pPr>
        <w:widowControl/>
        <w:spacing w:line="480" w:lineRule="auto"/>
        <w:jc w:val="left"/>
        <w:rPr>
          <w:rFonts w:ascii="宋体" w:cs="Times New Roman"/>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pStyle w:val="4"/>
        <w:rPr>
          <w:rFonts w:ascii="仿宋_GB2312" w:hAnsi="仿宋_GB2312" w:eastAsia="仿宋_GB2312" w:cs="Times New Roman"/>
          <w:color w:val="auto"/>
          <w:highlight w:val="none"/>
        </w:rPr>
      </w:pPr>
      <w:r>
        <w:rPr>
          <w:rFonts w:ascii="仿宋_GB2312" w:hAnsi="仿宋_GB2312" w:eastAsia="仿宋_GB2312" w:cs="Times New Roman"/>
          <w:color w:val="auto"/>
          <w:highlight w:val="none"/>
        </w:rPr>
        <w:br w:type="page"/>
      </w:r>
      <w:bookmarkStart w:id="100" w:name="_Toc9097"/>
    </w:p>
    <w:p>
      <w:pPr>
        <w:pStyle w:val="4"/>
        <w:rPr>
          <w:rFonts w:ascii="宋体" w:cs="Times New Roman"/>
          <w:color w:val="auto"/>
          <w:sz w:val="28"/>
          <w:szCs w:val="28"/>
          <w:highlight w:val="none"/>
        </w:rPr>
      </w:pPr>
      <w:bookmarkStart w:id="101" w:name="_Toc5378"/>
      <w:r>
        <w:rPr>
          <w:rFonts w:hint="eastAsia" w:ascii="宋体" w:hAnsi="宋体" w:cs="宋体"/>
          <w:color w:val="auto"/>
          <w:sz w:val="28"/>
          <w:szCs w:val="28"/>
          <w:highlight w:val="none"/>
        </w:rPr>
        <w:t>技术规格偏差表</w:t>
      </w:r>
      <w:bookmarkEnd w:id="100"/>
      <w:bookmarkEnd w:id="101"/>
    </w:p>
    <w:tbl>
      <w:tblPr>
        <w:tblStyle w:val="23"/>
        <w:tblpPr w:leftFromText="180" w:rightFromText="180" w:vertAnchor="text" w:horzAnchor="page" w:tblpX="1176" w:tblpY="119"/>
        <w:tblW w:w="93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8"/>
        <w:gridCol w:w="1792"/>
        <w:gridCol w:w="2848"/>
        <w:gridCol w:w="1934"/>
        <w:gridCol w:w="2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3" w:hRule="atLeast"/>
        </w:trPr>
        <w:tc>
          <w:tcPr>
            <w:tcW w:w="548" w:type="dxa"/>
          </w:tcPr>
          <w:p>
            <w:pPr>
              <w:widowControl/>
              <w:spacing w:line="560" w:lineRule="exact"/>
              <w:jc w:val="center"/>
              <w:rPr>
                <w:rFonts w:ascii="宋体" w:cs="Times New Roman"/>
                <w:color w:val="auto"/>
                <w:highlight w:val="none"/>
              </w:rPr>
            </w:pPr>
          </w:p>
          <w:p>
            <w:pPr>
              <w:widowControl/>
              <w:spacing w:line="560" w:lineRule="exact"/>
              <w:jc w:val="center"/>
              <w:rPr>
                <w:rFonts w:ascii="宋体" w:cs="Times New Roman"/>
                <w:color w:val="auto"/>
                <w:highlight w:val="none"/>
              </w:rPr>
            </w:pPr>
            <w:r>
              <w:rPr>
                <w:rFonts w:hint="eastAsia" w:ascii="宋体" w:hAnsi="宋体" w:cs="宋体"/>
                <w:color w:val="auto"/>
                <w:highlight w:val="none"/>
              </w:rPr>
              <w:t>序</w:t>
            </w:r>
          </w:p>
          <w:p>
            <w:pPr>
              <w:widowControl/>
              <w:spacing w:line="560" w:lineRule="exact"/>
              <w:jc w:val="center"/>
              <w:rPr>
                <w:rFonts w:ascii="宋体" w:cs="Times New Roman"/>
                <w:color w:val="auto"/>
                <w:highlight w:val="none"/>
              </w:rPr>
            </w:pPr>
            <w:r>
              <w:rPr>
                <w:rFonts w:hint="eastAsia" w:ascii="宋体" w:hAnsi="宋体" w:cs="宋体"/>
                <w:color w:val="auto"/>
                <w:highlight w:val="none"/>
              </w:rPr>
              <w:t>号</w:t>
            </w:r>
          </w:p>
        </w:tc>
        <w:tc>
          <w:tcPr>
            <w:tcW w:w="1792" w:type="dxa"/>
            <w:vAlign w:val="center"/>
          </w:tcPr>
          <w:p>
            <w:pPr>
              <w:widowControl/>
              <w:spacing w:line="560" w:lineRule="exact"/>
              <w:jc w:val="center"/>
              <w:rPr>
                <w:rFonts w:ascii="宋体" w:cs="Times New Roman"/>
                <w:color w:val="auto"/>
                <w:highlight w:val="none"/>
              </w:rPr>
            </w:pPr>
            <w:r>
              <w:rPr>
                <w:rFonts w:hint="eastAsia" w:ascii="宋体" w:hAnsi="宋体" w:cs="宋体"/>
                <w:color w:val="auto"/>
                <w:highlight w:val="none"/>
              </w:rPr>
              <w:t>招标文件技术</w:t>
            </w:r>
          </w:p>
          <w:p>
            <w:pPr>
              <w:widowControl/>
              <w:spacing w:line="560" w:lineRule="exact"/>
              <w:jc w:val="center"/>
              <w:rPr>
                <w:rFonts w:ascii="宋体" w:cs="Times New Roman"/>
                <w:color w:val="auto"/>
                <w:highlight w:val="none"/>
              </w:rPr>
            </w:pPr>
            <w:r>
              <w:rPr>
                <w:rFonts w:hint="eastAsia" w:ascii="宋体" w:hAnsi="宋体" w:cs="宋体"/>
                <w:color w:val="auto"/>
                <w:highlight w:val="none"/>
              </w:rPr>
              <w:t>要求（详细列明技术配置）</w:t>
            </w:r>
          </w:p>
        </w:tc>
        <w:tc>
          <w:tcPr>
            <w:tcW w:w="2848" w:type="dxa"/>
            <w:vAlign w:val="center"/>
          </w:tcPr>
          <w:p>
            <w:pPr>
              <w:widowControl/>
              <w:spacing w:line="560" w:lineRule="exact"/>
              <w:jc w:val="center"/>
              <w:rPr>
                <w:rFonts w:ascii="宋体" w:cs="Times New Roman"/>
                <w:color w:val="auto"/>
                <w:highlight w:val="none"/>
              </w:rPr>
            </w:pPr>
            <w:r>
              <w:rPr>
                <w:rFonts w:hint="eastAsia" w:ascii="宋体" w:hAnsi="宋体" w:cs="宋体"/>
                <w:color w:val="auto"/>
                <w:highlight w:val="none"/>
              </w:rPr>
              <w:t>投标文件技术</w:t>
            </w:r>
          </w:p>
          <w:p>
            <w:pPr>
              <w:widowControl/>
              <w:spacing w:line="560" w:lineRule="exact"/>
              <w:jc w:val="center"/>
              <w:rPr>
                <w:rFonts w:ascii="宋体" w:cs="Times New Roman"/>
                <w:color w:val="auto"/>
                <w:highlight w:val="none"/>
              </w:rPr>
            </w:pPr>
            <w:r>
              <w:rPr>
                <w:rFonts w:hint="eastAsia" w:ascii="宋体" w:hAnsi="宋体" w:cs="宋体"/>
                <w:color w:val="auto"/>
                <w:highlight w:val="none"/>
              </w:rPr>
              <w:t>响应情况（详细列明所投产品的技术配置）</w:t>
            </w:r>
          </w:p>
        </w:tc>
        <w:tc>
          <w:tcPr>
            <w:tcW w:w="1934" w:type="dxa"/>
            <w:vAlign w:val="center"/>
          </w:tcPr>
          <w:p>
            <w:pPr>
              <w:widowControl/>
              <w:spacing w:before="120" w:line="560" w:lineRule="exact"/>
              <w:jc w:val="center"/>
              <w:rPr>
                <w:rFonts w:ascii="宋体" w:cs="Times New Roman"/>
                <w:color w:val="auto"/>
                <w:highlight w:val="none"/>
              </w:rPr>
            </w:pPr>
            <w:r>
              <w:rPr>
                <w:rFonts w:hint="eastAsia" w:ascii="宋体" w:hAnsi="宋体" w:cs="宋体"/>
                <w:color w:val="auto"/>
                <w:highlight w:val="none"/>
              </w:rPr>
              <w:t>偏差描述（详细描述技术是否具有正、负偏差）</w:t>
            </w:r>
          </w:p>
        </w:tc>
        <w:tc>
          <w:tcPr>
            <w:tcW w:w="2246" w:type="dxa"/>
            <w:tcBorders>
              <w:right w:val="single" w:color="auto" w:sz="4" w:space="0"/>
            </w:tcBorders>
            <w:vAlign w:val="center"/>
          </w:tcPr>
          <w:p>
            <w:pPr>
              <w:widowControl/>
              <w:spacing w:before="120" w:line="560" w:lineRule="exact"/>
              <w:jc w:val="center"/>
              <w:rPr>
                <w:rFonts w:ascii="宋体" w:cs="Times New Roman"/>
                <w:color w:val="auto"/>
                <w:highlight w:val="none"/>
              </w:rPr>
            </w:pPr>
            <w:r>
              <w:rPr>
                <w:rFonts w:hint="eastAsia" w:ascii="宋体" w:hAnsi="宋体" w:cs="宋体"/>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548" w:type="dxa"/>
            <w:tcBorders>
              <w:bottom w:val="single" w:color="auto" w:sz="4" w:space="0"/>
            </w:tcBorders>
          </w:tcPr>
          <w:p>
            <w:pPr>
              <w:widowControl/>
              <w:spacing w:line="560" w:lineRule="exact"/>
              <w:rPr>
                <w:rFonts w:ascii="宋体" w:cs="Times New Roman"/>
                <w:color w:val="auto"/>
                <w:highlight w:val="none"/>
              </w:rPr>
            </w:pPr>
          </w:p>
        </w:tc>
        <w:tc>
          <w:tcPr>
            <w:tcW w:w="1792" w:type="dxa"/>
            <w:tcBorders>
              <w:bottom w:val="single" w:color="auto" w:sz="4" w:space="0"/>
            </w:tcBorders>
          </w:tcPr>
          <w:p>
            <w:pPr>
              <w:widowControl/>
              <w:spacing w:line="560" w:lineRule="exact"/>
              <w:rPr>
                <w:rFonts w:ascii="宋体" w:cs="Times New Roman"/>
                <w:color w:val="auto"/>
                <w:highlight w:val="none"/>
              </w:rPr>
            </w:pPr>
          </w:p>
        </w:tc>
        <w:tc>
          <w:tcPr>
            <w:tcW w:w="2848" w:type="dxa"/>
            <w:tcBorders>
              <w:bottom w:val="single" w:color="auto" w:sz="4" w:space="0"/>
            </w:tcBorders>
          </w:tcPr>
          <w:p>
            <w:pPr>
              <w:widowControl/>
              <w:spacing w:line="560" w:lineRule="exact"/>
              <w:rPr>
                <w:rFonts w:ascii="宋体" w:cs="Times New Roman"/>
                <w:color w:val="auto"/>
                <w:highlight w:val="none"/>
              </w:rPr>
            </w:pPr>
          </w:p>
        </w:tc>
        <w:tc>
          <w:tcPr>
            <w:tcW w:w="1934" w:type="dxa"/>
            <w:tcBorders>
              <w:bottom w:val="single" w:color="auto" w:sz="4" w:space="0"/>
            </w:tcBorders>
          </w:tcPr>
          <w:p>
            <w:pPr>
              <w:widowControl/>
              <w:spacing w:line="560" w:lineRule="exact"/>
              <w:rPr>
                <w:rFonts w:ascii="宋体" w:cs="Times New Roman"/>
                <w:color w:val="auto"/>
                <w:highlight w:val="none"/>
              </w:rPr>
            </w:pPr>
          </w:p>
        </w:tc>
        <w:tc>
          <w:tcPr>
            <w:tcW w:w="2246" w:type="dxa"/>
            <w:tcBorders>
              <w:bottom w:val="single" w:color="auto" w:sz="4" w:space="0"/>
              <w:right w:val="single" w:color="auto" w:sz="4" w:space="0"/>
            </w:tcBorders>
          </w:tcPr>
          <w:p>
            <w:pPr>
              <w:widowControl/>
              <w:spacing w:line="560" w:lineRule="exact"/>
              <w:rPr>
                <w:rFonts w:ascii="宋体" w:cs="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5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792"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8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934"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246" w:type="dxa"/>
            <w:tcBorders>
              <w:top w:val="single" w:color="auto" w:sz="4" w:space="0"/>
              <w:bottom w:val="single" w:color="auto" w:sz="4" w:space="0"/>
              <w:right w:val="single" w:color="auto" w:sz="4" w:space="0"/>
            </w:tcBorders>
          </w:tcPr>
          <w:p>
            <w:pPr>
              <w:widowControl/>
              <w:spacing w:line="560" w:lineRule="exact"/>
              <w:rPr>
                <w:rFonts w:ascii="宋体" w:cs="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5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792"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8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934"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246" w:type="dxa"/>
            <w:tcBorders>
              <w:top w:val="single" w:color="auto" w:sz="4" w:space="0"/>
              <w:bottom w:val="single" w:color="auto" w:sz="4" w:space="0"/>
              <w:right w:val="single" w:color="auto" w:sz="4" w:space="0"/>
            </w:tcBorders>
          </w:tcPr>
          <w:p>
            <w:pPr>
              <w:widowControl/>
              <w:spacing w:line="560" w:lineRule="exact"/>
              <w:rPr>
                <w:rFonts w:ascii="宋体" w:cs="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5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792"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8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934"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246" w:type="dxa"/>
            <w:tcBorders>
              <w:top w:val="single" w:color="auto" w:sz="4" w:space="0"/>
              <w:bottom w:val="single" w:color="auto" w:sz="4" w:space="0"/>
              <w:right w:val="single" w:color="auto" w:sz="4" w:space="0"/>
            </w:tcBorders>
          </w:tcPr>
          <w:p>
            <w:pPr>
              <w:widowControl/>
              <w:spacing w:line="560" w:lineRule="exact"/>
              <w:rPr>
                <w:rFonts w:ascii="宋体" w:cs="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5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792"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8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934"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246" w:type="dxa"/>
            <w:tcBorders>
              <w:top w:val="single" w:color="auto" w:sz="4" w:space="0"/>
              <w:bottom w:val="single" w:color="auto" w:sz="4" w:space="0"/>
              <w:right w:val="single" w:color="auto" w:sz="4" w:space="0"/>
            </w:tcBorders>
          </w:tcPr>
          <w:p>
            <w:pPr>
              <w:widowControl/>
              <w:spacing w:line="560" w:lineRule="exact"/>
              <w:rPr>
                <w:rFonts w:ascii="宋体" w:cs="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5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792"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8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934"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246" w:type="dxa"/>
            <w:tcBorders>
              <w:top w:val="single" w:color="auto" w:sz="4" w:space="0"/>
              <w:bottom w:val="single" w:color="auto" w:sz="4" w:space="0"/>
              <w:right w:val="single" w:color="auto" w:sz="4" w:space="0"/>
            </w:tcBorders>
          </w:tcPr>
          <w:p>
            <w:pPr>
              <w:widowControl/>
              <w:spacing w:line="560" w:lineRule="exact"/>
              <w:rPr>
                <w:rFonts w:ascii="宋体" w:cs="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5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792"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848"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1934" w:type="dxa"/>
            <w:tcBorders>
              <w:top w:val="single" w:color="auto" w:sz="4" w:space="0"/>
              <w:bottom w:val="single" w:color="auto" w:sz="4" w:space="0"/>
            </w:tcBorders>
          </w:tcPr>
          <w:p>
            <w:pPr>
              <w:widowControl/>
              <w:spacing w:line="560" w:lineRule="exact"/>
              <w:rPr>
                <w:rFonts w:ascii="宋体" w:cs="Times New Roman"/>
                <w:color w:val="auto"/>
                <w:highlight w:val="none"/>
              </w:rPr>
            </w:pPr>
          </w:p>
        </w:tc>
        <w:tc>
          <w:tcPr>
            <w:tcW w:w="2246" w:type="dxa"/>
            <w:tcBorders>
              <w:top w:val="single" w:color="auto" w:sz="4" w:space="0"/>
              <w:bottom w:val="single" w:color="auto" w:sz="4" w:space="0"/>
              <w:right w:val="single" w:color="auto" w:sz="4" w:space="0"/>
            </w:tcBorders>
          </w:tcPr>
          <w:p>
            <w:pPr>
              <w:widowControl/>
              <w:spacing w:line="560" w:lineRule="exact"/>
              <w:rPr>
                <w:rFonts w:ascii="宋体" w:cs="Times New Roman"/>
                <w:color w:val="auto"/>
                <w:highlight w:val="none"/>
              </w:rPr>
            </w:pPr>
          </w:p>
        </w:tc>
      </w:tr>
    </w:tbl>
    <w:p>
      <w:pPr>
        <w:widowControl/>
        <w:autoSpaceDE w:val="0"/>
        <w:autoSpaceDN w:val="0"/>
        <w:spacing w:line="560" w:lineRule="exact"/>
        <w:ind w:right="26" w:firstLine="210" w:firstLineChars="100"/>
        <w:rPr>
          <w:rFonts w:ascii="宋体" w:cs="Times New Roman"/>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、投标人必须按要求规范填写技术规范偏差表。如果此表中所列内容无法满足招标文件中提出的要求或内容不一致，其投标将被视为无效投标。</w:t>
      </w:r>
    </w:p>
    <w:p>
      <w:pPr>
        <w:widowControl/>
        <w:spacing w:line="560" w:lineRule="exact"/>
        <w:ind w:firstLine="630" w:firstLineChars="30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、投标人必须根据所投产品的实际情况如实填写，评委会如发现有虚假描述的，将不予推荐中标候选人。</w:t>
      </w:r>
    </w:p>
    <w:p>
      <w:pPr>
        <w:pStyle w:val="2"/>
        <w:ind w:firstLine="630" w:firstLineChars="300"/>
        <w:rPr>
          <w:rFonts w:ascii="宋体" w:eastAsia="宋体" w:cs="Times New Roman"/>
          <w:color w:val="auto"/>
          <w:kern w:val="2"/>
          <w:sz w:val="21"/>
          <w:szCs w:val="21"/>
          <w:highlight w:val="none"/>
        </w:rPr>
      </w:pPr>
      <w:r>
        <w:rPr>
          <w:rFonts w:ascii="宋体" w:hAnsi="宋体" w:cs="宋体"/>
          <w:color w:val="auto"/>
          <w:kern w:val="2"/>
          <w:sz w:val="21"/>
          <w:szCs w:val="21"/>
          <w:highlight w:val="none"/>
        </w:rPr>
        <w:t>3</w:t>
      </w:r>
      <w:r>
        <w:rPr>
          <w:rFonts w:hint="eastAsia" w:ascii="宋体" w:hAnsi="宋体"/>
          <w:color w:val="auto"/>
          <w:kern w:val="2"/>
          <w:sz w:val="21"/>
          <w:szCs w:val="21"/>
          <w:highlight w:val="none"/>
        </w:rPr>
        <w:t>、如无偏差，本表可不予填写，但须</w:t>
      </w:r>
      <w:r>
        <w:rPr>
          <w:rFonts w:hint="eastAsia" w:hAnsi="宋体"/>
          <w:color w:val="auto"/>
          <w:kern w:val="2"/>
          <w:sz w:val="21"/>
          <w:szCs w:val="21"/>
          <w:highlight w:val="none"/>
        </w:rPr>
        <w:t>在备注中</w:t>
      </w:r>
      <w:r>
        <w:rPr>
          <w:rFonts w:hint="eastAsia" w:ascii="宋体" w:hAnsi="宋体"/>
          <w:color w:val="auto"/>
          <w:kern w:val="2"/>
          <w:sz w:val="21"/>
          <w:szCs w:val="21"/>
          <w:highlight w:val="none"/>
        </w:rPr>
        <w:t>注明完全符合招标文件要求，技术规格无偏差</w:t>
      </w:r>
      <w:r>
        <w:rPr>
          <w:rFonts w:hint="eastAsia" w:hAnsi="宋体"/>
          <w:color w:val="auto"/>
          <w:kern w:val="2"/>
          <w:sz w:val="21"/>
          <w:szCs w:val="21"/>
          <w:highlight w:val="none"/>
        </w:rPr>
        <w:t>。</w:t>
      </w:r>
    </w:p>
    <w:p>
      <w:pPr>
        <w:pStyle w:val="5"/>
        <w:ind w:firstLine="424"/>
        <w:rPr>
          <w:rFonts w:cs="Times New Roman"/>
          <w:color w:val="auto"/>
          <w:highlight w:val="none"/>
        </w:rPr>
      </w:pPr>
    </w:p>
    <w:p>
      <w:pPr>
        <w:widowControl/>
        <w:spacing w:line="480" w:lineRule="auto"/>
        <w:rPr>
          <w:rFonts w:ascii="宋体" w:cs="Times New Roman"/>
          <w:color w:val="auto"/>
          <w:sz w:val="24"/>
          <w:szCs w:val="24"/>
          <w:highlight w:val="none"/>
        </w:rPr>
      </w:pPr>
      <w:r>
        <w:rPr>
          <w:rFonts w:hint="eastAsia" w:ascii="宋体" w:hAnsi="宋体" w:cs="宋体"/>
          <w:color w:val="auto"/>
          <w:sz w:val="24"/>
          <w:szCs w:val="24"/>
          <w:highlight w:val="none"/>
        </w:rPr>
        <w:t>投标人名称：（公章）</w:t>
      </w:r>
    </w:p>
    <w:p>
      <w:pPr>
        <w:widowControl/>
        <w:spacing w:line="480" w:lineRule="auto"/>
        <w:rPr>
          <w:rFonts w:ascii="宋体" w:cs="Times New Roman"/>
          <w:color w:val="auto"/>
          <w:sz w:val="24"/>
          <w:szCs w:val="24"/>
          <w:highlight w:val="none"/>
        </w:rPr>
      </w:pPr>
      <w:r>
        <w:rPr>
          <w:rFonts w:hint="eastAsia" w:ascii="宋体" w:hAnsi="宋体" w:cs="宋体"/>
          <w:color w:val="auto"/>
          <w:sz w:val="24"/>
          <w:szCs w:val="24"/>
          <w:highlight w:val="none"/>
        </w:rPr>
        <w:t>法人代表或委托代理人：（签字或盖章）</w:t>
      </w:r>
    </w:p>
    <w:p>
      <w:pPr>
        <w:widowControl/>
        <w:spacing w:line="480" w:lineRule="auto"/>
        <w:jc w:val="left"/>
        <w:rPr>
          <w:rFonts w:ascii="宋体" w:cs="Times New Roman"/>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pacing w:line="540" w:lineRule="exact"/>
        <w:rPr>
          <w:rFonts w:cs="Times New Roman"/>
          <w:b/>
          <w:bCs/>
          <w:color w:val="auto"/>
          <w:sz w:val="24"/>
          <w:szCs w:val="24"/>
          <w:highlight w:val="none"/>
        </w:rPr>
      </w:pPr>
    </w:p>
    <w:p>
      <w:pPr>
        <w:pStyle w:val="17"/>
        <w:ind w:firstLine="560"/>
        <w:rPr>
          <w:rFonts w:ascii="宋体" w:cs="Times New Roman"/>
          <w:color w:val="auto"/>
          <w:highlight w:val="none"/>
        </w:rPr>
      </w:pPr>
      <w:bookmarkStart w:id="102" w:name="_Toc26886"/>
      <w:bookmarkStart w:id="103" w:name="_Toc3599"/>
      <w:bookmarkStart w:id="104" w:name="_Toc18905"/>
      <w:r>
        <w:rPr>
          <w:rFonts w:hint="eastAsia" w:ascii="宋体" w:hAnsi="宋体" w:cs="宋体"/>
          <w:color w:val="auto"/>
          <w:sz w:val="28"/>
          <w:szCs w:val="28"/>
          <w:highlight w:val="none"/>
        </w:rPr>
        <w:t>四、</w:t>
      </w:r>
      <w:r>
        <w:rPr>
          <w:rFonts w:hint="eastAsia" w:ascii="宋体" w:hAnsi="宋体" w:cs="宋体"/>
          <w:color w:val="auto"/>
          <w:highlight w:val="none"/>
        </w:rPr>
        <w:t>法定代表人（负责人）身份证明</w:t>
      </w:r>
      <w:bookmarkEnd w:id="102"/>
      <w:bookmarkEnd w:id="103"/>
      <w:bookmarkEnd w:id="104"/>
    </w:p>
    <w:p>
      <w:pPr>
        <w:spacing w:line="440" w:lineRule="exact"/>
        <w:rPr>
          <w:rFonts w:ascii="宋体" w:cs="Times New Roman"/>
          <w:color w:val="auto"/>
          <w:highlight w:val="none"/>
        </w:rPr>
      </w:pPr>
    </w:p>
    <w:p>
      <w:pPr>
        <w:spacing w:line="560" w:lineRule="exact"/>
        <w:rPr>
          <w:rFonts w:ascii="宋体" w:cs="Times New Roman"/>
          <w:color w:val="auto"/>
          <w:highlight w:val="none"/>
        </w:rPr>
      </w:pPr>
      <w:r>
        <w:rPr>
          <w:rFonts w:hint="eastAsia" w:ascii="宋体" w:hAnsi="宋体" w:cs="宋体"/>
          <w:color w:val="auto"/>
          <w:highlight w:val="none"/>
        </w:rPr>
        <w:t>投标人名称：</w:t>
      </w:r>
    </w:p>
    <w:p>
      <w:pPr>
        <w:spacing w:line="560" w:lineRule="exact"/>
        <w:rPr>
          <w:rFonts w:ascii="宋体" w:cs="Times New Roman"/>
          <w:color w:val="auto"/>
          <w:highlight w:val="none"/>
        </w:rPr>
      </w:pPr>
      <w:r>
        <w:rPr>
          <w:rFonts w:hint="eastAsia" w:ascii="宋体" w:hAnsi="宋体" w:cs="宋体"/>
          <w:color w:val="auto"/>
          <w:highlight w:val="none"/>
        </w:rPr>
        <w:t>单位性质：</w:t>
      </w:r>
    </w:p>
    <w:p>
      <w:pPr>
        <w:spacing w:line="560" w:lineRule="exact"/>
        <w:rPr>
          <w:rFonts w:ascii="宋体" w:cs="Times New Roman"/>
          <w:color w:val="auto"/>
          <w:highlight w:val="none"/>
        </w:rPr>
      </w:pPr>
      <w:r>
        <w:rPr>
          <w:rFonts w:hint="eastAsia" w:ascii="宋体" w:hAnsi="宋体" w:cs="宋体"/>
          <w:color w:val="auto"/>
          <w:highlight w:val="none"/>
        </w:rPr>
        <w:t>地址：</w:t>
      </w:r>
    </w:p>
    <w:p>
      <w:pPr>
        <w:spacing w:line="560" w:lineRule="exact"/>
        <w:rPr>
          <w:rFonts w:ascii="宋体" w:cs="Times New Roman"/>
          <w:color w:val="auto"/>
          <w:highlight w:val="none"/>
        </w:rPr>
      </w:pPr>
      <w:r>
        <w:rPr>
          <w:rFonts w:hint="eastAsia" w:ascii="宋体" w:hAnsi="宋体" w:cs="宋体"/>
          <w:color w:val="auto"/>
          <w:highlight w:val="none"/>
        </w:rPr>
        <w:t>成立时间：</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pacing w:line="560" w:lineRule="exact"/>
        <w:rPr>
          <w:rFonts w:ascii="宋体" w:cs="Times New Roman"/>
          <w:color w:val="auto"/>
          <w:highlight w:val="none"/>
        </w:rPr>
      </w:pPr>
      <w:r>
        <w:rPr>
          <w:rFonts w:hint="eastAsia" w:ascii="宋体" w:hAnsi="宋体" w:cs="宋体"/>
          <w:color w:val="auto"/>
          <w:highlight w:val="none"/>
        </w:rPr>
        <w:t>经营期限：</w:t>
      </w:r>
    </w:p>
    <w:p>
      <w:pPr>
        <w:spacing w:line="560" w:lineRule="exact"/>
        <w:rPr>
          <w:rFonts w:ascii="宋体" w:cs="Times New Roman"/>
          <w:color w:val="auto"/>
          <w:highlight w:val="none"/>
        </w:rPr>
      </w:pPr>
      <w:r>
        <w:rPr>
          <w:rFonts w:hint="eastAsia" w:ascii="宋体" w:hAnsi="宋体" w:cs="宋体"/>
          <w:color w:val="auto"/>
          <w:highlight w:val="none"/>
        </w:rPr>
        <w:t>姓名：性别：年龄：职务：</w:t>
      </w:r>
    </w:p>
    <w:p>
      <w:pPr>
        <w:spacing w:line="560" w:lineRule="exact"/>
        <w:rPr>
          <w:rFonts w:ascii="宋体" w:cs="Times New Roman"/>
          <w:color w:val="auto"/>
          <w:highlight w:val="none"/>
        </w:rPr>
      </w:pPr>
      <w:r>
        <w:rPr>
          <w:rFonts w:hint="eastAsia" w:ascii="宋体" w:hAnsi="宋体" w:cs="宋体"/>
          <w:color w:val="auto"/>
          <w:highlight w:val="none"/>
        </w:rPr>
        <w:t>系（投标人名称）的法定代表人。</w:t>
      </w:r>
    </w:p>
    <w:p>
      <w:pPr>
        <w:spacing w:line="560" w:lineRule="exact"/>
        <w:ind w:firstLine="420" w:firstLineChars="200"/>
        <w:rPr>
          <w:rFonts w:ascii="宋体" w:cs="Times New Roman"/>
          <w:color w:val="auto"/>
          <w:highlight w:val="none"/>
        </w:rPr>
      </w:pPr>
      <w:r>
        <w:rPr>
          <w:rFonts w:hint="eastAsia" w:ascii="宋体" w:hAnsi="宋体" w:cs="宋体"/>
          <w:color w:val="auto"/>
          <w:highlight w:val="none"/>
        </w:rPr>
        <w:t>特此证明。</w:t>
      </w:r>
    </w:p>
    <w:p>
      <w:pPr>
        <w:spacing w:line="560" w:lineRule="exact"/>
        <w:rPr>
          <w:rFonts w:ascii="宋体" w:cs="Times New Roman"/>
          <w:color w:val="auto"/>
          <w:highlight w:val="none"/>
        </w:rPr>
      </w:pPr>
      <w:r>
        <w:rPr>
          <w:rFonts w:hint="eastAsia" w:ascii="宋体" w:hAnsi="宋体" w:cs="宋体"/>
          <w:color w:val="auto"/>
          <w:highlight w:val="none"/>
        </w:rPr>
        <w:t>附：法定代表人身份证复印件加盖公章</w:t>
      </w:r>
    </w:p>
    <w:p>
      <w:pPr>
        <w:spacing w:line="560" w:lineRule="exact"/>
        <w:rPr>
          <w:rFonts w:ascii="宋体" w:cs="Times New Roman"/>
          <w:color w:val="auto"/>
          <w:highlight w:val="none"/>
        </w:rPr>
      </w:pPr>
    </w:p>
    <w:p>
      <w:pPr>
        <w:spacing w:line="560" w:lineRule="exact"/>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投标人：（盖单位章）</w:t>
      </w:r>
    </w:p>
    <w:p>
      <w:pPr>
        <w:spacing w:line="560" w:lineRule="exact"/>
        <w:jc w:val="right"/>
        <w:rPr>
          <w:rFonts w:ascii="宋体" w:cs="Times New Roman"/>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spacing w:line="560" w:lineRule="exact"/>
        <w:jc w:val="right"/>
        <w:rPr>
          <w:rFonts w:ascii="宋体" w:cs="Times New Roman"/>
          <w:color w:val="auto"/>
          <w:highlight w:val="none"/>
        </w:rPr>
      </w:pPr>
    </w:p>
    <w:p>
      <w:pPr>
        <w:pStyle w:val="2"/>
        <w:rPr>
          <w:rFonts w:cs="Times New Roman"/>
          <w:color w:val="auto"/>
          <w:highlight w:val="none"/>
        </w:rPr>
      </w:pPr>
    </w:p>
    <w:p>
      <w:pPr>
        <w:pStyle w:val="17"/>
        <w:ind w:firstLine="560"/>
        <w:rPr>
          <w:rFonts w:ascii="宋体" w:cs="Times New Roman"/>
          <w:color w:val="auto"/>
          <w:highlight w:val="none"/>
        </w:rPr>
      </w:pPr>
      <w:bookmarkStart w:id="105" w:name="_Toc21437"/>
      <w:bookmarkStart w:id="106" w:name="_Toc323"/>
      <w:r>
        <w:rPr>
          <w:rFonts w:hint="eastAsia" w:ascii="宋体" w:hAnsi="宋体" w:cs="宋体"/>
          <w:color w:val="auto"/>
          <w:sz w:val="28"/>
          <w:szCs w:val="28"/>
          <w:highlight w:val="none"/>
        </w:rPr>
        <w:t>五、</w:t>
      </w:r>
      <w:bookmarkEnd w:id="105"/>
      <w:bookmarkStart w:id="107" w:name="_Toc13120"/>
      <w:r>
        <w:rPr>
          <w:rFonts w:hint="eastAsia" w:ascii="宋体" w:hAnsi="宋体" w:cs="宋体"/>
          <w:color w:val="auto"/>
          <w:highlight w:val="none"/>
        </w:rPr>
        <w:t>授权委托书</w:t>
      </w:r>
      <w:bookmarkEnd w:id="106"/>
    </w:p>
    <w:p>
      <w:pPr>
        <w:spacing w:line="440" w:lineRule="exact"/>
        <w:rPr>
          <w:rFonts w:ascii="宋体" w:cs="Times New Roman"/>
          <w:color w:val="auto"/>
          <w:highlight w:val="none"/>
        </w:rPr>
      </w:pPr>
    </w:p>
    <w:p>
      <w:pPr>
        <w:topLinePunct/>
        <w:spacing w:line="560" w:lineRule="exact"/>
        <w:rPr>
          <w:rFonts w:ascii="宋体" w:cs="Times New Roman"/>
          <w:color w:val="auto"/>
          <w:highlight w:val="none"/>
        </w:rPr>
      </w:pPr>
      <w:r>
        <w:rPr>
          <w:rFonts w:hint="eastAsia" w:ascii="宋体" w:hAnsi="宋体" w:cs="宋体"/>
          <w:color w:val="auto"/>
          <w:highlight w:val="none"/>
        </w:rPr>
        <w:t>本人（姓名）系（投标人名称）的法定代表人（负责人），现委托（姓名）为我方代理人。代理人根据授权，以我方名义签署、澄清、说明、补正、递交、撤回、修改（项目名称）投标文件、签订合同和处理有关事宜，其法律后果由我方承担。</w:t>
      </w:r>
    </w:p>
    <w:p>
      <w:pPr>
        <w:spacing w:line="560" w:lineRule="exact"/>
        <w:rPr>
          <w:rFonts w:ascii="宋体" w:cs="Times New Roman"/>
          <w:color w:val="auto"/>
          <w:highlight w:val="none"/>
        </w:rPr>
      </w:pPr>
      <w:r>
        <w:rPr>
          <w:rFonts w:hint="eastAsia" w:ascii="宋体" w:hAnsi="宋体" w:cs="宋体"/>
          <w:color w:val="auto"/>
          <w:highlight w:val="none"/>
        </w:rPr>
        <w:t>委托期限：。</w:t>
      </w:r>
    </w:p>
    <w:p>
      <w:pPr>
        <w:spacing w:line="560" w:lineRule="exact"/>
        <w:ind w:firstLine="420" w:firstLineChars="200"/>
        <w:rPr>
          <w:rFonts w:ascii="宋体" w:cs="Times New Roman"/>
          <w:color w:val="auto"/>
          <w:highlight w:val="none"/>
        </w:rPr>
      </w:pPr>
      <w:r>
        <w:rPr>
          <w:rFonts w:hint="eastAsia" w:ascii="宋体" w:hAnsi="宋体" w:cs="宋体"/>
          <w:color w:val="auto"/>
          <w:highlight w:val="none"/>
        </w:rPr>
        <w:t>代理人无转委托权。</w:t>
      </w:r>
    </w:p>
    <w:p>
      <w:pPr>
        <w:spacing w:line="560" w:lineRule="exact"/>
        <w:ind w:firstLine="420" w:firstLineChars="200"/>
        <w:rPr>
          <w:rFonts w:ascii="宋体" w:cs="Times New Roman"/>
          <w:color w:val="auto"/>
          <w:highlight w:val="none"/>
        </w:rPr>
      </w:pPr>
      <w:r>
        <w:rPr>
          <w:rFonts w:hint="eastAsia" w:ascii="宋体" w:hAnsi="宋体" w:cs="宋体"/>
          <w:color w:val="auto"/>
          <w:highlight w:val="none"/>
        </w:rPr>
        <w:t>附：委托代理人身份证复印件加盖公章</w:t>
      </w:r>
    </w:p>
    <w:p>
      <w:pPr>
        <w:spacing w:line="560" w:lineRule="exact"/>
        <w:rPr>
          <w:rFonts w:ascii="宋体" w:cs="Times New Roman"/>
          <w:color w:val="auto"/>
          <w:highlight w:val="none"/>
        </w:rPr>
      </w:pPr>
    </w:p>
    <w:p>
      <w:pPr>
        <w:spacing w:line="560" w:lineRule="exact"/>
        <w:rPr>
          <w:rFonts w:ascii="宋体" w:cs="Times New Roman"/>
          <w:color w:val="auto"/>
          <w:highlight w:val="none"/>
        </w:rPr>
      </w:pPr>
    </w:p>
    <w:p>
      <w:pPr>
        <w:spacing w:line="560" w:lineRule="exact"/>
        <w:rPr>
          <w:rFonts w:ascii="宋体" w:cs="Times New Roman"/>
          <w:color w:val="auto"/>
          <w:highlight w:val="none"/>
        </w:rPr>
      </w:pPr>
      <w:r>
        <w:rPr>
          <w:rFonts w:hint="eastAsia" w:ascii="宋体" w:hAnsi="宋体" w:cs="宋体"/>
          <w:color w:val="auto"/>
          <w:highlight w:val="none"/>
        </w:rPr>
        <w:t>投标人：（盖单位章）</w:t>
      </w:r>
    </w:p>
    <w:p>
      <w:pPr>
        <w:spacing w:line="560" w:lineRule="exact"/>
        <w:rPr>
          <w:rFonts w:ascii="宋体" w:cs="Times New Roman"/>
          <w:color w:val="auto"/>
          <w:highlight w:val="none"/>
        </w:rPr>
      </w:pPr>
    </w:p>
    <w:p>
      <w:pPr>
        <w:spacing w:line="560" w:lineRule="exact"/>
        <w:rPr>
          <w:rFonts w:ascii="宋体" w:cs="Times New Roman"/>
          <w:color w:val="auto"/>
          <w:highlight w:val="none"/>
        </w:rPr>
      </w:pPr>
      <w:r>
        <w:rPr>
          <w:rFonts w:hint="eastAsia" w:ascii="宋体" w:hAnsi="宋体" w:cs="宋体"/>
          <w:color w:val="auto"/>
          <w:highlight w:val="none"/>
        </w:rPr>
        <w:t>法定代表人：（签字或盖章）</w:t>
      </w:r>
    </w:p>
    <w:p>
      <w:pPr>
        <w:spacing w:line="560" w:lineRule="exact"/>
        <w:rPr>
          <w:rFonts w:ascii="宋体" w:cs="Times New Roman"/>
          <w:color w:val="auto"/>
          <w:highlight w:val="none"/>
        </w:rPr>
      </w:pPr>
    </w:p>
    <w:p>
      <w:pPr>
        <w:spacing w:line="560" w:lineRule="exact"/>
        <w:rPr>
          <w:rFonts w:ascii="宋体" w:cs="Times New Roman"/>
          <w:color w:val="auto"/>
          <w:highlight w:val="none"/>
        </w:rPr>
      </w:pPr>
      <w:r>
        <w:rPr>
          <w:rFonts w:hint="eastAsia" w:ascii="宋体" w:hAnsi="宋体" w:cs="宋体"/>
          <w:color w:val="auto"/>
          <w:highlight w:val="none"/>
        </w:rPr>
        <w:t>身份证号码：</w:t>
      </w:r>
    </w:p>
    <w:p>
      <w:pPr>
        <w:spacing w:line="560" w:lineRule="exact"/>
        <w:rPr>
          <w:rFonts w:ascii="宋体" w:cs="Times New Roman"/>
          <w:color w:val="auto"/>
          <w:highlight w:val="none"/>
        </w:rPr>
      </w:pPr>
    </w:p>
    <w:p>
      <w:pPr>
        <w:spacing w:line="560" w:lineRule="exact"/>
        <w:rPr>
          <w:rFonts w:ascii="宋体" w:cs="Times New Roman"/>
          <w:color w:val="auto"/>
          <w:highlight w:val="none"/>
        </w:rPr>
      </w:pPr>
      <w:r>
        <w:rPr>
          <w:rFonts w:hint="eastAsia" w:ascii="宋体" w:hAnsi="宋体" w:cs="宋体"/>
          <w:color w:val="auto"/>
          <w:highlight w:val="none"/>
        </w:rPr>
        <w:t>委托代理人：（签字）</w:t>
      </w:r>
    </w:p>
    <w:p>
      <w:pPr>
        <w:spacing w:line="560" w:lineRule="exact"/>
        <w:rPr>
          <w:rFonts w:ascii="宋体" w:cs="Times New Roman"/>
          <w:color w:val="auto"/>
          <w:highlight w:val="none"/>
        </w:rPr>
      </w:pPr>
    </w:p>
    <w:p>
      <w:pPr>
        <w:spacing w:line="560" w:lineRule="exact"/>
        <w:rPr>
          <w:rFonts w:ascii="宋体" w:cs="Times New Roman"/>
          <w:color w:val="auto"/>
          <w:highlight w:val="none"/>
        </w:rPr>
      </w:pPr>
      <w:r>
        <w:rPr>
          <w:rFonts w:hint="eastAsia" w:ascii="宋体" w:hAnsi="宋体" w:cs="宋体"/>
          <w:color w:val="auto"/>
          <w:highlight w:val="none"/>
        </w:rPr>
        <w:t>身份证号码：</w:t>
      </w:r>
    </w:p>
    <w:p>
      <w:pPr>
        <w:spacing w:line="560" w:lineRule="exact"/>
        <w:rPr>
          <w:rFonts w:ascii="宋体" w:cs="Times New Roman"/>
          <w:color w:val="auto"/>
          <w:highlight w:val="none"/>
        </w:rPr>
      </w:pPr>
    </w:p>
    <w:p>
      <w:pPr>
        <w:spacing w:line="560" w:lineRule="exact"/>
        <w:ind w:firstLine="525" w:firstLineChars="250"/>
        <w:jc w:val="right"/>
        <w:rPr>
          <w:rFonts w:ascii="宋体" w:cs="Times New Roman"/>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widowControl/>
        <w:spacing w:line="360" w:lineRule="exact"/>
        <w:jc w:val="center"/>
        <w:rPr>
          <w:rFonts w:ascii="宋体" w:cs="Times New Roman"/>
          <w:b/>
          <w:bCs/>
          <w:color w:val="auto"/>
          <w:kern w:val="0"/>
          <w:sz w:val="32"/>
          <w:szCs w:val="32"/>
          <w:highlight w:val="none"/>
        </w:rPr>
      </w:pPr>
      <w:bookmarkStart w:id="108" w:name="_Toc886"/>
    </w:p>
    <w:p>
      <w:pPr>
        <w:widowControl/>
        <w:spacing w:line="360" w:lineRule="exact"/>
        <w:jc w:val="center"/>
        <w:rPr>
          <w:rFonts w:ascii="宋体" w:cs="Times New Roman"/>
          <w:b/>
          <w:bCs/>
          <w:color w:val="auto"/>
          <w:kern w:val="0"/>
          <w:sz w:val="32"/>
          <w:szCs w:val="32"/>
          <w:highlight w:val="none"/>
        </w:rPr>
      </w:pPr>
    </w:p>
    <w:p>
      <w:pPr>
        <w:widowControl/>
        <w:spacing w:line="360" w:lineRule="exact"/>
        <w:jc w:val="center"/>
        <w:rPr>
          <w:rFonts w:ascii="宋体" w:cs="Times New Roman"/>
          <w:b/>
          <w:bCs/>
          <w:color w:val="auto"/>
          <w:kern w:val="0"/>
          <w:sz w:val="32"/>
          <w:szCs w:val="32"/>
          <w:highlight w:val="none"/>
        </w:rPr>
      </w:pPr>
    </w:p>
    <w:bookmarkEnd w:id="108"/>
    <w:p>
      <w:pPr>
        <w:widowControl/>
        <w:spacing w:line="360" w:lineRule="exact"/>
        <w:rPr>
          <w:rFonts w:ascii="宋体" w:cs="Times New Roman"/>
          <w:b/>
          <w:bCs/>
          <w:color w:val="auto"/>
          <w:kern w:val="0"/>
          <w:sz w:val="32"/>
          <w:szCs w:val="32"/>
          <w:highlight w:val="none"/>
        </w:rPr>
      </w:pPr>
    </w:p>
    <w:p>
      <w:pPr>
        <w:widowControl/>
        <w:spacing w:line="360" w:lineRule="exact"/>
        <w:jc w:val="center"/>
        <w:rPr>
          <w:rFonts w:ascii="宋体" w:cs="Times New Roman"/>
          <w:b/>
          <w:bCs/>
          <w:color w:val="auto"/>
          <w:kern w:val="0"/>
          <w:sz w:val="32"/>
          <w:szCs w:val="32"/>
          <w:highlight w:val="none"/>
        </w:rPr>
      </w:pPr>
    </w:p>
    <w:p>
      <w:pPr>
        <w:jc w:val="center"/>
        <w:rPr>
          <w:rFonts w:ascii="宋体" w:cs="Times New Roman"/>
          <w:b/>
          <w:bCs/>
          <w:color w:val="auto"/>
          <w:kern w:val="0"/>
          <w:sz w:val="32"/>
          <w:szCs w:val="32"/>
          <w:highlight w:val="none"/>
        </w:rPr>
      </w:pPr>
      <w:bookmarkStart w:id="109" w:name="_Toc933"/>
      <w:r>
        <w:rPr>
          <w:rFonts w:hint="eastAsia" w:ascii="宋体" w:hAnsi="宋体" w:cs="宋体"/>
          <w:b/>
          <w:bCs/>
          <w:color w:val="auto"/>
          <w:kern w:val="0"/>
          <w:sz w:val="32"/>
          <w:szCs w:val="32"/>
          <w:highlight w:val="none"/>
        </w:rPr>
        <w:t>六、投标承诺函</w:t>
      </w:r>
    </w:p>
    <w:p>
      <w:pPr>
        <w:jc w:val="center"/>
        <w:rPr>
          <w:rFonts w:ascii="宋体" w:cs="Times New Roman"/>
          <w:b/>
          <w:bCs/>
          <w:color w:val="auto"/>
          <w:sz w:val="44"/>
          <w:szCs w:val="44"/>
          <w:highlight w:val="none"/>
        </w:rPr>
      </w:pPr>
    </w:p>
    <w:p>
      <w:pPr>
        <w:spacing w:line="60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我单位对</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）投标行为做出承诺，保证所提交材料的真实性。</w:t>
      </w:r>
    </w:p>
    <w:p>
      <w:pPr>
        <w:spacing w:line="60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我单位承诺：</w:t>
      </w:r>
    </w:p>
    <w:p>
      <w:pPr>
        <w:spacing w:line="60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、在投标文件递交截止时间后至确定成交人的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宋体" w:hAnsi="宋体" w:cs="宋体"/>
          <w:color w:val="auto"/>
          <w:sz w:val="24"/>
          <w:szCs w:val="24"/>
          <w:highlight w:val="none"/>
        </w:rPr>
        <w:t>投标有效期</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内，我单位不得要求退出竞标或者修改投标文件且对递交的投标文件负责，受其约束。</w:t>
      </w:r>
    </w:p>
    <w:p>
      <w:pPr>
        <w:spacing w:line="60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、若我单位中标，在接到成交通知书后，除不可抗力因素外，及时按规定与采购人签订合同并认真履约。</w:t>
      </w:r>
    </w:p>
    <w:p>
      <w:pPr>
        <w:spacing w:line="60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非因不可抗力因素放弃成交或未按规定期限与采购人签订合同，愿赔偿采购人由此造成的损失（损失费由采购人按相关规定计算），并愿接受采购金额千分之五以上千分之十以下罚款、列入不良行为记录名单、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年内禁止参加政府采购活动、给予通报的处罚。</w:t>
      </w:r>
    </w:p>
    <w:p>
      <w:pPr>
        <w:spacing w:line="600" w:lineRule="exact"/>
        <w:ind w:firstLine="480" w:firstLineChars="200"/>
        <w:rPr>
          <w:rFonts w:ascii="宋体" w:cs="Times New Roman"/>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rPr>
        <w:t>、不存在法律法规规定的其他违法违规行为。</w:t>
      </w:r>
      <w:r>
        <w:rPr>
          <w:rFonts w:ascii="宋体" w:cs="Times New Roman"/>
          <w:color w:val="auto"/>
          <w:sz w:val="24"/>
          <w:szCs w:val="24"/>
          <w:highlight w:val="none"/>
        </w:rPr>
        <w:br w:type="textWrapping"/>
      </w:r>
      <w:r>
        <w:rPr>
          <w:rFonts w:ascii="宋体" w:cs="Times New Roman"/>
          <w:color w:val="auto"/>
          <w:sz w:val="24"/>
          <w:szCs w:val="24"/>
          <w:highlight w:val="none"/>
        </w:rPr>
        <w:br w:type="textWrapping"/>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投标单位名称（盖章）：</w:t>
      </w:r>
    </w:p>
    <w:p>
      <w:pPr>
        <w:spacing w:line="600" w:lineRule="exact"/>
        <w:ind w:firstLine="435"/>
        <w:rPr>
          <w:rFonts w:ascii="宋体" w:cs="Times New Roman"/>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法人代表或授权委托人（签字或盖章）：</w:t>
      </w:r>
    </w:p>
    <w:p>
      <w:pPr>
        <w:spacing w:line="360" w:lineRule="auto"/>
        <w:rPr>
          <w:rFonts w:ascii="宋体" w:cs="Times New Roman"/>
          <w:b/>
          <w:bCs/>
          <w:color w:val="auto"/>
          <w:sz w:val="28"/>
          <w:szCs w:val="28"/>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pPr>
        <w:pStyle w:val="17"/>
        <w:ind w:firstLine="640"/>
        <w:rPr>
          <w:rFonts w:ascii="宋体" w:cs="Times New Roman"/>
          <w:color w:val="auto"/>
          <w:highlight w:val="none"/>
        </w:rPr>
      </w:pPr>
    </w:p>
    <w:p>
      <w:pPr>
        <w:pStyle w:val="17"/>
        <w:ind w:firstLine="640"/>
        <w:rPr>
          <w:rFonts w:ascii="宋体" w:cs="Times New Roman"/>
          <w:color w:val="auto"/>
          <w:highlight w:val="none"/>
        </w:rPr>
      </w:pPr>
    </w:p>
    <w:p>
      <w:pPr>
        <w:rPr>
          <w:rFonts w:cs="Times New Roman"/>
          <w:color w:val="auto"/>
          <w:highlight w:val="none"/>
        </w:rPr>
      </w:pPr>
    </w:p>
    <w:p>
      <w:pPr>
        <w:widowControl/>
        <w:shd w:val="clear" w:color="auto" w:fill="FFFFFF"/>
        <w:spacing w:line="480" w:lineRule="exact"/>
        <w:jc w:val="center"/>
        <w:rPr>
          <w:rFonts w:ascii="宋体" w:cs="Times New Roman"/>
          <w:b/>
          <w:bCs/>
          <w:color w:val="auto"/>
          <w:spacing w:val="8"/>
          <w:kern w:val="0"/>
          <w:sz w:val="40"/>
          <w:szCs w:val="40"/>
          <w:highlight w:val="none"/>
        </w:rPr>
      </w:pPr>
    </w:p>
    <w:p>
      <w:pPr>
        <w:widowControl/>
        <w:shd w:val="clear" w:color="auto" w:fill="FFFFFF"/>
        <w:spacing w:line="480" w:lineRule="exact"/>
        <w:jc w:val="center"/>
        <w:rPr>
          <w:rFonts w:ascii="宋体" w:cs="Times New Roman"/>
          <w:b/>
          <w:bCs/>
          <w:color w:val="auto"/>
          <w:spacing w:val="8"/>
          <w:kern w:val="0"/>
          <w:sz w:val="40"/>
          <w:szCs w:val="40"/>
          <w:highlight w:val="none"/>
        </w:rPr>
      </w:pPr>
    </w:p>
    <w:p>
      <w:pPr>
        <w:widowControl/>
        <w:shd w:val="clear" w:color="auto" w:fill="FFFFFF"/>
        <w:spacing w:line="480" w:lineRule="exact"/>
        <w:jc w:val="center"/>
        <w:rPr>
          <w:rFonts w:ascii="宋体" w:cs="Times New Roman"/>
          <w:b/>
          <w:bCs/>
          <w:color w:val="auto"/>
          <w:spacing w:val="8"/>
          <w:kern w:val="0"/>
          <w:sz w:val="40"/>
          <w:szCs w:val="40"/>
          <w:highlight w:val="none"/>
        </w:rPr>
      </w:pPr>
    </w:p>
    <w:bookmarkEnd w:id="107"/>
    <w:bookmarkEnd w:id="109"/>
    <w:p>
      <w:pPr>
        <w:numPr>
          <w:ilvl w:val="0"/>
          <w:numId w:val="11"/>
        </w:numPr>
        <w:spacing w:line="600" w:lineRule="exact"/>
        <w:ind w:firstLine="3654" w:firstLineChars="1300"/>
        <w:rPr>
          <w:rFonts w:ascii="宋体" w:cs="Times New Roman"/>
          <w:b/>
          <w:bCs/>
          <w:color w:val="auto"/>
          <w:sz w:val="28"/>
          <w:szCs w:val="28"/>
          <w:highlight w:val="none"/>
        </w:rPr>
      </w:pPr>
      <w:r>
        <w:rPr>
          <w:rFonts w:hint="eastAsia" w:ascii="宋体" w:hAnsi="宋体" w:cs="宋体"/>
          <w:b/>
          <w:bCs/>
          <w:color w:val="auto"/>
          <w:sz w:val="28"/>
          <w:szCs w:val="28"/>
          <w:highlight w:val="none"/>
        </w:rPr>
        <w:t>售后服务承诺</w:t>
      </w:r>
    </w:p>
    <w:p>
      <w:pPr>
        <w:pStyle w:val="2"/>
        <w:rPr>
          <w:rFonts w:cs="Times New Roman"/>
          <w:color w:val="auto"/>
          <w:highlight w:val="none"/>
        </w:rPr>
      </w:pPr>
    </w:p>
    <w:p>
      <w:pPr>
        <w:spacing w:line="600" w:lineRule="exact"/>
        <w:rPr>
          <w:rFonts w:cs="Times New Roman"/>
          <w:color w:val="auto"/>
          <w:sz w:val="24"/>
          <w:szCs w:val="24"/>
          <w:highlight w:val="none"/>
        </w:rPr>
      </w:pPr>
      <w:r>
        <w:rPr>
          <w:rFonts w:hint="eastAsia" w:cs="宋体"/>
          <w:color w:val="auto"/>
          <w:sz w:val="24"/>
          <w:szCs w:val="24"/>
          <w:highlight w:val="none"/>
        </w:rPr>
        <w:t>投标人必须提供，但不限于提供以下内容：</w:t>
      </w:r>
    </w:p>
    <w:p>
      <w:pPr>
        <w:spacing w:line="600" w:lineRule="exact"/>
        <w:rPr>
          <w:rFonts w:cs="Times New Roman"/>
          <w:color w:val="auto"/>
          <w:sz w:val="24"/>
          <w:szCs w:val="24"/>
          <w:highlight w:val="none"/>
        </w:rPr>
      </w:pPr>
      <w:r>
        <w:rPr>
          <w:color w:val="auto"/>
          <w:sz w:val="24"/>
          <w:szCs w:val="24"/>
          <w:highlight w:val="none"/>
        </w:rPr>
        <w:t>1</w:t>
      </w:r>
      <w:r>
        <w:rPr>
          <w:rFonts w:hint="eastAsia" w:cs="宋体"/>
          <w:color w:val="auto"/>
          <w:sz w:val="24"/>
          <w:szCs w:val="24"/>
          <w:highlight w:val="none"/>
        </w:rPr>
        <w:t>、详细售后服务的内容、形式、含免费维修时间、解决质量或操作问题的响应时间、解决问题时间、维修单位名称、地点；</w:t>
      </w:r>
    </w:p>
    <w:p>
      <w:pPr>
        <w:spacing w:line="600" w:lineRule="exact"/>
        <w:rPr>
          <w:rFonts w:cs="Times New Roman"/>
          <w:color w:val="auto"/>
          <w:sz w:val="24"/>
          <w:szCs w:val="24"/>
          <w:highlight w:val="none"/>
        </w:rPr>
      </w:pPr>
      <w:r>
        <w:rPr>
          <w:color w:val="auto"/>
          <w:sz w:val="24"/>
          <w:szCs w:val="24"/>
          <w:highlight w:val="none"/>
        </w:rPr>
        <w:t>2</w:t>
      </w:r>
      <w:r>
        <w:rPr>
          <w:rFonts w:hint="eastAsia" w:cs="宋体"/>
          <w:color w:val="auto"/>
          <w:sz w:val="24"/>
          <w:szCs w:val="24"/>
          <w:highlight w:val="none"/>
        </w:rPr>
        <w:t>、技术培训、质量保证措施；</w:t>
      </w:r>
    </w:p>
    <w:p>
      <w:pPr>
        <w:spacing w:line="600" w:lineRule="exact"/>
        <w:rPr>
          <w:rFonts w:cs="Times New Roman"/>
          <w:color w:val="auto"/>
          <w:sz w:val="24"/>
          <w:szCs w:val="24"/>
          <w:highlight w:val="none"/>
        </w:rPr>
      </w:pPr>
      <w:r>
        <w:rPr>
          <w:color w:val="auto"/>
          <w:sz w:val="24"/>
          <w:szCs w:val="24"/>
          <w:highlight w:val="none"/>
        </w:rPr>
        <w:t>3</w:t>
      </w:r>
      <w:r>
        <w:rPr>
          <w:rFonts w:hint="eastAsia" w:cs="宋体"/>
          <w:color w:val="auto"/>
          <w:sz w:val="24"/>
          <w:szCs w:val="24"/>
          <w:highlight w:val="none"/>
        </w:rPr>
        <w:t>、所提供的其它免费物品或服务；</w:t>
      </w:r>
    </w:p>
    <w:p>
      <w:pPr>
        <w:spacing w:line="600" w:lineRule="exact"/>
        <w:rPr>
          <w:rFonts w:cs="Times New Roman"/>
          <w:color w:val="auto"/>
          <w:sz w:val="24"/>
          <w:szCs w:val="24"/>
          <w:highlight w:val="none"/>
        </w:rPr>
      </w:pPr>
      <w:r>
        <w:rPr>
          <w:color w:val="auto"/>
          <w:sz w:val="24"/>
          <w:szCs w:val="24"/>
          <w:highlight w:val="none"/>
        </w:rPr>
        <w:t>4</w:t>
      </w:r>
      <w:r>
        <w:rPr>
          <w:rFonts w:hint="eastAsia" w:cs="宋体"/>
          <w:color w:val="auto"/>
          <w:sz w:val="24"/>
          <w:szCs w:val="24"/>
          <w:highlight w:val="none"/>
        </w:rPr>
        <w:t>、技术人员情况；</w:t>
      </w:r>
    </w:p>
    <w:p>
      <w:pPr>
        <w:spacing w:line="600" w:lineRule="exact"/>
        <w:rPr>
          <w:rFonts w:cs="Times New Roman"/>
          <w:color w:val="auto"/>
          <w:sz w:val="24"/>
          <w:szCs w:val="24"/>
          <w:highlight w:val="none"/>
        </w:rPr>
      </w:pPr>
      <w:r>
        <w:rPr>
          <w:color w:val="auto"/>
          <w:sz w:val="24"/>
          <w:szCs w:val="24"/>
          <w:highlight w:val="none"/>
        </w:rPr>
        <w:t>5</w:t>
      </w:r>
      <w:r>
        <w:rPr>
          <w:rFonts w:hint="eastAsia" w:cs="宋体"/>
          <w:color w:val="auto"/>
          <w:sz w:val="24"/>
          <w:szCs w:val="24"/>
          <w:highlight w:val="none"/>
        </w:rPr>
        <w:t>、服务承诺等；</w:t>
      </w:r>
    </w:p>
    <w:p>
      <w:pPr>
        <w:spacing w:line="600" w:lineRule="exact"/>
        <w:rPr>
          <w:rFonts w:cs="Times New Roman"/>
          <w:color w:val="auto"/>
          <w:sz w:val="24"/>
          <w:szCs w:val="24"/>
          <w:highlight w:val="none"/>
        </w:rPr>
      </w:pPr>
      <w:r>
        <w:rPr>
          <w:color w:val="auto"/>
          <w:sz w:val="24"/>
          <w:szCs w:val="24"/>
          <w:highlight w:val="none"/>
        </w:rPr>
        <w:t>6</w:t>
      </w:r>
      <w:r>
        <w:rPr>
          <w:rFonts w:hint="eastAsia" w:cs="宋体"/>
          <w:color w:val="auto"/>
          <w:sz w:val="24"/>
          <w:szCs w:val="24"/>
          <w:highlight w:val="none"/>
        </w:rPr>
        <w:t>、质保期内和质保期外的收费标准；</w:t>
      </w:r>
    </w:p>
    <w:p>
      <w:pPr>
        <w:spacing w:line="600" w:lineRule="exact"/>
        <w:rPr>
          <w:rFonts w:cs="Times New Roman"/>
          <w:color w:val="auto"/>
          <w:sz w:val="24"/>
          <w:szCs w:val="24"/>
          <w:highlight w:val="none"/>
        </w:rPr>
      </w:pPr>
    </w:p>
    <w:p>
      <w:pPr>
        <w:widowControl/>
        <w:spacing w:line="480" w:lineRule="auto"/>
        <w:rPr>
          <w:rFonts w:ascii="宋体" w:cs="Times New Roman"/>
          <w:color w:val="auto"/>
          <w:sz w:val="24"/>
          <w:szCs w:val="24"/>
          <w:highlight w:val="none"/>
        </w:rPr>
      </w:pPr>
      <w:r>
        <w:rPr>
          <w:rFonts w:hint="eastAsia" w:ascii="宋体" w:hAnsi="宋体" w:cs="宋体"/>
          <w:color w:val="auto"/>
          <w:sz w:val="24"/>
          <w:szCs w:val="24"/>
          <w:highlight w:val="none"/>
        </w:rPr>
        <w:t>投标人名称：（公章）</w:t>
      </w:r>
    </w:p>
    <w:p>
      <w:pPr>
        <w:widowControl/>
        <w:spacing w:line="480" w:lineRule="auto"/>
        <w:rPr>
          <w:rFonts w:ascii="宋体" w:cs="Times New Roman"/>
          <w:color w:val="auto"/>
          <w:sz w:val="24"/>
          <w:szCs w:val="24"/>
          <w:highlight w:val="none"/>
        </w:rPr>
      </w:pPr>
      <w:r>
        <w:rPr>
          <w:rFonts w:hint="eastAsia" w:ascii="宋体" w:hAnsi="宋体" w:cs="宋体"/>
          <w:color w:val="auto"/>
          <w:sz w:val="24"/>
          <w:szCs w:val="24"/>
          <w:highlight w:val="none"/>
        </w:rPr>
        <w:t>法人代表或委托代理人：（签字或盖章）</w:t>
      </w:r>
    </w:p>
    <w:p>
      <w:pPr>
        <w:widowControl/>
        <w:spacing w:line="480" w:lineRule="auto"/>
        <w:ind w:firstLine="3360" w:firstLineChars="1400"/>
        <w:rPr>
          <w:rFonts w:ascii="宋体" w:cs="Times New Roman"/>
          <w:color w:val="auto"/>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bookmarkStart w:id="110" w:name="_Toc2472"/>
      <w:bookmarkStart w:id="111" w:name="_Toc19385"/>
      <w:bookmarkStart w:id="112" w:name="_Toc371423295"/>
      <w:bookmarkStart w:id="113" w:name="_Toc371425868"/>
      <w:bookmarkStart w:id="114" w:name="_Toc3866"/>
      <w:bookmarkStart w:id="115" w:name="_Toc1995"/>
      <w:bookmarkStart w:id="116" w:name="_Toc3893"/>
      <w:bookmarkStart w:id="117" w:name="_Toc3658"/>
      <w:bookmarkStart w:id="118" w:name="_Toc17869"/>
      <w:bookmarkStart w:id="119" w:name="_Toc30582"/>
      <w:bookmarkStart w:id="120" w:name="_Toc2644"/>
      <w:bookmarkStart w:id="121" w:name="_Toc8504"/>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rPr>
          <w:rFonts w:ascii="宋体" w:cs="Times New Roman"/>
          <w:color w:val="auto"/>
          <w:highlight w:val="none"/>
        </w:rPr>
      </w:pPr>
    </w:p>
    <w:p>
      <w:pPr>
        <w:widowControl/>
        <w:spacing w:line="480" w:lineRule="auto"/>
        <w:jc w:val="center"/>
        <w:rPr>
          <w:rFonts w:ascii="宋体" w:cs="Times New Roman"/>
          <w:color w:val="auto"/>
          <w:highlight w:val="none"/>
        </w:rPr>
      </w:pPr>
      <w:r>
        <w:rPr>
          <w:rFonts w:hint="eastAsia" w:ascii="宋体" w:hAnsi="宋体" w:cs="宋体"/>
          <w:b/>
          <w:bCs/>
          <w:color w:val="auto"/>
          <w:sz w:val="32"/>
          <w:szCs w:val="32"/>
          <w:highlight w:val="none"/>
        </w:rPr>
        <w:t>八、类似业绩</w:t>
      </w:r>
    </w:p>
    <w:p>
      <w:pPr>
        <w:spacing w:line="360" w:lineRule="exact"/>
        <w:rPr>
          <w:rFonts w:ascii="宋体" w:cs="Times New Roman"/>
          <w:color w:val="auto"/>
          <w:highlight w:val="none"/>
        </w:rPr>
      </w:pPr>
    </w:p>
    <w:p>
      <w:pPr>
        <w:spacing w:line="360" w:lineRule="exact"/>
        <w:rPr>
          <w:rFonts w:ascii="宋体" w:cs="Times New Roman"/>
          <w:color w:val="auto"/>
          <w:highlight w:val="none"/>
        </w:rPr>
      </w:pPr>
      <w:r>
        <w:rPr>
          <w:rFonts w:hint="eastAsia" w:ascii="宋体" w:hAnsi="宋体" w:cs="宋体"/>
          <w:color w:val="auto"/>
          <w:highlight w:val="none"/>
        </w:rPr>
        <w:t>近三年类似业绩（附复印件）</w:t>
      </w:r>
    </w:p>
    <w:tbl>
      <w:tblPr>
        <w:tblStyle w:val="23"/>
        <w:tblpPr w:leftFromText="180" w:rightFromText="180" w:vertAnchor="text" w:horzAnchor="page" w:tblpX="1305" w:tblpY="567"/>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459"/>
        <w:gridCol w:w="2736"/>
        <w:gridCol w:w="164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25"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项目名称</w:t>
            </w:r>
          </w:p>
        </w:tc>
        <w:tc>
          <w:tcPr>
            <w:tcW w:w="1459" w:type="dxa"/>
            <w:vAlign w:val="center"/>
          </w:tcPr>
          <w:p>
            <w:pPr>
              <w:spacing w:line="360" w:lineRule="exact"/>
              <w:ind w:left="57"/>
              <w:jc w:val="center"/>
              <w:rPr>
                <w:rFonts w:ascii="宋体" w:cs="Times New Roman"/>
                <w:color w:val="auto"/>
                <w:highlight w:val="none"/>
              </w:rPr>
            </w:pPr>
            <w:r>
              <w:rPr>
                <w:rFonts w:hint="eastAsia" w:ascii="宋体" w:hAnsi="宋体" w:cs="宋体"/>
                <w:color w:val="auto"/>
                <w:highlight w:val="none"/>
              </w:rPr>
              <w:t>签约日期</w:t>
            </w:r>
          </w:p>
        </w:tc>
        <w:tc>
          <w:tcPr>
            <w:tcW w:w="2736"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业绩（合同）</w:t>
            </w:r>
          </w:p>
        </w:tc>
        <w:tc>
          <w:tcPr>
            <w:tcW w:w="1642"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中标通知书</w:t>
            </w:r>
          </w:p>
        </w:tc>
        <w:tc>
          <w:tcPr>
            <w:tcW w:w="1478" w:type="dxa"/>
            <w:vAlign w:val="center"/>
          </w:tcPr>
          <w:p>
            <w:pPr>
              <w:spacing w:line="360" w:lineRule="exact"/>
              <w:jc w:val="center"/>
              <w:rPr>
                <w:rFonts w:ascii="宋体" w:cs="Times New Roman"/>
                <w:color w:val="auto"/>
                <w:highlight w:val="none"/>
              </w:rPr>
            </w:pPr>
            <w:r>
              <w:rPr>
                <w:rFonts w:hint="eastAsia" w:ascii="宋体" w:hAnsi="宋体" w:cs="宋体"/>
                <w:color w:val="auto"/>
                <w:highlight w:val="none"/>
              </w:rPr>
              <w:t>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5" w:type="dxa"/>
          </w:tcPr>
          <w:p>
            <w:pPr>
              <w:spacing w:line="360" w:lineRule="exact"/>
              <w:rPr>
                <w:rFonts w:ascii="宋体" w:cs="Times New Roman"/>
                <w:color w:val="auto"/>
                <w:highlight w:val="none"/>
              </w:rPr>
            </w:pPr>
          </w:p>
        </w:tc>
        <w:tc>
          <w:tcPr>
            <w:tcW w:w="1459" w:type="dxa"/>
          </w:tcPr>
          <w:p>
            <w:pPr>
              <w:spacing w:line="360" w:lineRule="exact"/>
              <w:rPr>
                <w:rFonts w:ascii="宋体" w:cs="Times New Roman"/>
                <w:color w:val="auto"/>
                <w:highlight w:val="none"/>
              </w:rPr>
            </w:pPr>
          </w:p>
        </w:tc>
        <w:tc>
          <w:tcPr>
            <w:tcW w:w="2736" w:type="dxa"/>
          </w:tcPr>
          <w:p>
            <w:pPr>
              <w:spacing w:line="360" w:lineRule="exact"/>
              <w:rPr>
                <w:rFonts w:ascii="宋体" w:cs="Times New Roman"/>
                <w:color w:val="auto"/>
                <w:highlight w:val="none"/>
              </w:rPr>
            </w:pPr>
          </w:p>
        </w:tc>
        <w:tc>
          <w:tcPr>
            <w:tcW w:w="1642" w:type="dxa"/>
          </w:tcPr>
          <w:p>
            <w:pPr>
              <w:spacing w:line="360" w:lineRule="exact"/>
              <w:rPr>
                <w:rFonts w:ascii="宋体" w:cs="Times New Roman"/>
                <w:color w:val="auto"/>
                <w:highlight w:val="none"/>
              </w:rPr>
            </w:pPr>
          </w:p>
        </w:tc>
        <w:tc>
          <w:tcPr>
            <w:tcW w:w="1478" w:type="dxa"/>
          </w:tcPr>
          <w:p>
            <w:pPr>
              <w:spacing w:line="360" w:lineRule="exact"/>
              <w:rPr>
                <w:rFonts w:asci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5" w:type="dxa"/>
          </w:tcPr>
          <w:p>
            <w:pPr>
              <w:spacing w:line="360" w:lineRule="exact"/>
              <w:rPr>
                <w:rFonts w:ascii="宋体" w:cs="Times New Roman"/>
                <w:color w:val="auto"/>
                <w:highlight w:val="none"/>
              </w:rPr>
            </w:pPr>
          </w:p>
        </w:tc>
        <w:tc>
          <w:tcPr>
            <w:tcW w:w="1459" w:type="dxa"/>
          </w:tcPr>
          <w:p>
            <w:pPr>
              <w:spacing w:line="360" w:lineRule="exact"/>
              <w:rPr>
                <w:rFonts w:ascii="宋体" w:cs="Times New Roman"/>
                <w:color w:val="auto"/>
                <w:highlight w:val="none"/>
              </w:rPr>
            </w:pPr>
          </w:p>
        </w:tc>
        <w:tc>
          <w:tcPr>
            <w:tcW w:w="2736" w:type="dxa"/>
          </w:tcPr>
          <w:p>
            <w:pPr>
              <w:spacing w:line="360" w:lineRule="exact"/>
              <w:rPr>
                <w:rFonts w:ascii="宋体" w:cs="Times New Roman"/>
                <w:color w:val="auto"/>
                <w:highlight w:val="none"/>
              </w:rPr>
            </w:pPr>
          </w:p>
        </w:tc>
        <w:tc>
          <w:tcPr>
            <w:tcW w:w="1642" w:type="dxa"/>
          </w:tcPr>
          <w:p>
            <w:pPr>
              <w:spacing w:line="360" w:lineRule="exact"/>
              <w:rPr>
                <w:rFonts w:ascii="宋体" w:cs="Times New Roman"/>
                <w:color w:val="auto"/>
                <w:highlight w:val="none"/>
              </w:rPr>
            </w:pPr>
          </w:p>
        </w:tc>
        <w:tc>
          <w:tcPr>
            <w:tcW w:w="1478" w:type="dxa"/>
          </w:tcPr>
          <w:p>
            <w:pPr>
              <w:spacing w:line="360" w:lineRule="exact"/>
              <w:rPr>
                <w:rFonts w:asci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5" w:type="dxa"/>
          </w:tcPr>
          <w:p>
            <w:pPr>
              <w:spacing w:line="360" w:lineRule="exact"/>
              <w:rPr>
                <w:rFonts w:ascii="宋体" w:cs="Times New Roman"/>
                <w:color w:val="auto"/>
                <w:highlight w:val="none"/>
              </w:rPr>
            </w:pPr>
          </w:p>
        </w:tc>
        <w:tc>
          <w:tcPr>
            <w:tcW w:w="1459" w:type="dxa"/>
          </w:tcPr>
          <w:p>
            <w:pPr>
              <w:spacing w:line="360" w:lineRule="exact"/>
              <w:rPr>
                <w:rFonts w:ascii="宋体" w:cs="Times New Roman"/>
                <w:color w:val="auto"/>
                <w:highlight w:val="none"/>
              </w:rPr>
            </w:pPr>
          </w:p>
        </w:tc>
        <w:tc>
          <w:tcPr>
            <w:tcW w:w="2736" w:type="dxa"/>
          </w:tcPr>
          <w:p>
            <w:pPr>
              <w:spacing w:line="360" w:lineRule="exact"/>
              <w:rPr>
                <w:rFonts w:ascii="宋体" w:cs="Times New Roman"/>
                <w:color w:val="auto"/>
                <w:highlight w:val="none"/>
              </w:rPr>
            </w:pPr>
          </w:p>
        </w:tc>
        <w:tc>
          <w:tcPr>
            <w:tcW w:w="1642" w:type="dxa"/>
          </w:tcPr>
          <w:p>
            <w:pPr>
              <w:spacing w:line="360" w:lineRule="exact"/>
              <w:rPr>
                <w:rFonts w:ascii="宋体" w:cs="Times New Roman"/>
                <w:color w:val="auto"/>
                <w:highlight w:val="none"/>
              </w:rPr>
            </w:pPr>
          </w:p>
        </w:tc>
        <w:tc>
          <w:tcPr>
            <w:tcW w:w="1478" w:type="dxa"/>
          </w:tcPr>
          <w:p>
            <w:pPr>
              <w:spacing w:line="360" w:lineRule="exact"/>
              <w:rPr>
                <w:rFonts w:asci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5" w:type="dxa"/>
          </w:tcPr>
          <w:p>
            <w:pPr>
              <w:spacing w:line="360" w:lineRule="exact"/>
              <w:rPr>
                <w:rFonts w:ascii="宋体" w:cs="Times New Roman"/>
                <w:color w:val="auto"/>
                <w:highlight w:val="none"/>
              </w:rPr>
            </w:pPr>
          </w:p>
        </w:tc>
        <w:tc>
          <w:tcPr>
            <w:tcW w:w="1459" w:type="dxa"/>
          </w:tcPr>
          <w:p>
            <w:pPr>
              <w:spacing w:line="360" w:lineRule="exact"/>
              <w:rPr>
                <w:rFonts w:ascii="宋体" w:cs="Times New Roman"/>
                <w:color w:val="auto"/>
                <w:highlight w:val="none"/>
              </w:rPr>
            </w:pPr>
          </w:p>
        </w:tc>
        <w:tc>
          <w:tcPr>
            <w:tcW w:w="2736" w:type="dxa"/>
          </w:tcPr>
          <w:p>
            <w:pPr>
              <w:spacing w:line="360" w:lineRule="exact"/>
              <w:rPr>
                <w:rFonts w:ascii="宋体" w:cs="Times New Roman"/>
                <w:color w:val="auto"/>
                <w:highlight w:val="none"/>
              </w:rPr>
            </w:pPr>
          </w:p>
        </w:tc>
        <w:tc>
          <w:tcPr>
            <w:tcW w:w="1642" w:type="dxa"/>
          </w:tcPr>
          <w:p>
            <w:pPr>
              <w:spacing w:line="360" w:lineRule="exact"/>
              <w:rPr>
                <w:rFonts w:ascii="宋体" w:cs="Times New Roman"/>
                <w:color w:val="auto"/>
                <w:highlight w:val="none"/>
              </w:rPr>
            </w:pPr>
          </w:p>
        </w:tc>
        <w:tc>
          <w:tcPr>
            <w:tcW w:w="1478" w:type="dxa"/>
          </w:tcPr>
          <w:p>
            <w:pPr>
              <w:spacing w:line="360" w:lineRule="exact"/>
              <w:rPr>
                <w:rFonts w:asci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5" w:type="dxa"/>
          </w:tcPr>
          <w:p>
            <w:pPr>
              <w:spacing w:line="360" w:lineRule="exact"/>
              <w:rPr>
                <w:rFonts w:ascii="宋体" w:cs="Times New Roman"/>
                <w:color w:val="auto"/>
                <w:highlight w:val="none"/>
              </w:rPr>
            </w:pPr>
          </w:p>
        </w:tc>
        <w:tc>
          <w:tcPr>
            <w:tcW w:w="1459" w:type="dxa"/>
          </w:tcPr>
          <w:p>
            <w:pPr>
              <w:spacing w:line="360" w:lineRule="exact"/>
              <w:rPr>
                <w:rFonts w:ascii="宋体" w:cs="Times New Roman"/>
                <w:color w:val="auto"/>
                <w:highlight w:val="none"/>
              </w:rPr>
            </w:pPr>
          </w:p>
        </w:tc>
        <w:tc>
          <w:tcPr>
            <w:tcW w:w="2736" w:type="dxa"/>
          </w:tcPr>
          <w:p>
            <w:pPr>
              <w:spacing w:line="360" w:lineRule="exact"/>
              <w:rPr>
                <w:rFonts w:ascii="宋体" w:cs="Times New Roman"/>
                <w:color w:val="auto"/>
                <w:highlight w:val="none"/>
              </w:rPr>
            </w:pPr>
          </w:p>
        </w:tc>
        <w:tc>
          <w:tcPr>
            <w:tcW w:w="1642" w:type="dxa"/>
          </w:tcPr>
          <w:p>
            <w:pPr>
              <w:spacing w:line="360" w:lineRule="exact"/>
              <w:rPr>
                <w:rFonts w:ascii="宋体" w:cs="Times New Roman"/>
                <w:color w:val="auto"/>
                <w:highlight w:val="none"/>
              </w:rPr>
            </w:pPr>
          </w:p>
        </w:tc>
        <w:tc>
          <w:tcPr>
            <w:tcW w:w="1478" w:type="dxa"/>
          </w:tcPr>
          <w:p>
            <w:pPr>
              <w:spacing w:line="360" w:lineRule="exact"/>
              <w:rPr>
                <w:rFonts w:asci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5" w:type="dxa"/>
          </w:tcPr>
          <w:p>
            <w:pPr>
              <w:spacing w:line="360" w:lineRule="exact"/>
              <w:rPr>
                <w:rFonts w:ascii="宋体" w:cs="Times New Roman"/>
                <w:color w:val="auto"/>
                <w:highlight w:val="none"/>
              </w:rPr>
            </w:pPr>
          </w:p>
        </w:tc>
        <w:tc>
          <w:tcPr>
            <w:tcW w:w="1459" w:type="dxa"/>
          </w:tcPr>
          <w:p>
            <w:pPr>
              <w:spacing w:line="360" w:lineRule="exact"/>
              <w:rPr>
                <w:rFonts w:ascii="宋体" w:cs="Times New Roman"/>
                <w:color w:val="auto"/>
                <w:highlight w:val="none"/>
              </w:rPr>
            </w:pPr>
          </w:p>
        </w:tc>
        <w:tc>
          <w:tcPr>
            <w:tcW w:w="2736" w:type="dxa"/>
          </w:tcPr>
          <w:p>
            <w:pPr>
              <w:spacing w:line="360" w:lineRule="exact"/>
              <w:rPr>
                <w:rFonts w:ascii="宋体" w:cs="Times New Roman"/>
                <w:color w:val="auto"/>
                <w:highlight w:val="none"/>
              </w:rPr>
            </w:pPr>
          </w:p>
        </w:tc>
        <w:tc>
          <w:tcPr>
            <w:tcW w:w="1642" w:type="dxa"/>
          </w:tcPr>
          <w:p>
            <w:pPr>
              <w:spacing w:line="360" w:lineRule="exact"/>
              <w:rPr>
                <w:rFonts w:ascii="宋体" w:cs="Times New Roman"/>
                <w:color w:val="auto"/>
                <w:highlight w:val="none"/>
              </w:rPr>
            </w:pPr>
          </w:p>
        </w:tc>
        <w:tc>
          <w:tcPr>
            <w:tcW w:w="1478" w:type="dxa"/>
          </w:tcPr>
          <w:p>
            <w:pPr>
              <w:spacing w:line="360" w:lineRule="exact"/>
              <w:rPr>
                <w:rFonts w:ascii="宋体" w:cs="Times New Roman"/>
                <w:color w:val="auto"/>
                <w:highlight w:val="none"/>
              </w:rPr>
            </w:pPr>
          </w:p>
        </w:tc>
      </w:tr>
    </w:tbl>
    <w:p>
      <w:pPr>
        <w:pStyle w:val="4"/>
        <w:spacing w:line="600" w:lineRule="exact"/>
        <w:rPr>
          <w:rFonts w:ascii="宋体" w:cs="Times New Roman"/>
          <w:color w:val="auto"/>
          <w:sz w:val="28"/>
          <w:szCs w:val="28"/>
          <w:highlight w:val="none"/>
        </w:rPr>
      </w:pPr>
    </w:p>
    <w:p>
      <w:pPr>
        <w:pStyle w:val="4"/>
        <w:spacing w:line="600" w:lineRule="exact"/>
        <w:rPr>
          <w:rFonts w:ascii="宋体" w:cs="Times New Roman"/>
          <w:color w:val="auto"/>
          <w:sz w:val="28"/>
          <w:szCs w:val="28"/>
          <w:highlight w:val="none"/>
        </w:rPr>
      </w:pPr>
    </w:p>
    <w:p>
      <w:pPr>
        <w:pStyle w:val="4"/>
        <w:spacing w:line="600" w:lineRule="exact"/>
        <w:jc w:val="both"/>
        <w:rPr>
          <w:rFonts w:ascii="宋体" w:cs="Times New Roman"/>
          <w:color w:val="auto"/>
          <w:highlight w:val="none"/>
        </w:rPr>
      </w:pPr>
    </w:p>
    <w:p>
      <w:pPr>
        <w:pStyle w:val="5"/>
        <w:rPr>
          <w:rFonts w:cs="Times New Roman"/>
          <w:color w:val="auto"/>
          <w:highlight w:val="none"/>
        </w:rPr>
      </w:pPr>
    </w:p>
    <w:p>
      <w:pPr>
        <w:pStyle w:val="5"/>
        <w:rPr>
          <w:rFonts w:cs="Times New Roman"/>
          <w:color w:val="auto"/>
          <w:highlight w:val="none"/>
        </w:rPr>
      </w:pPr>
    </w:p>
    <w:p>
      <w:pPr>
        <w:pStyle w:val="5"/>
        <w:rPr>
          <w:rFonts w:cs="Times New Roman"/>
          <w:color w:val="auto"/>
          <w:highlight w:val="none"/>
        </w:rPr>
      </w:pPr>
    </w:p>
    <w:p>
      <w:pPr>
        <w:pStyle w:val="5"/>
        <w:rPr>
          <w:rFonts w:cs="Times New Roman"/>
          <w:color w:val="auto"/>
          <w:highlight w:val="none"/>
        </w:rPr>
      </w:pPr>
    </w:p>
    <w:p>
      <w:pPr>
        <w:pStyle w:val="5"/>
        <w:rPr>
          <w:rFonts w:cs="Times New Roman"/>
          <w:color w:val="auto"/>
          <w:highlight w:val="none"/>
        </w:rPr>
      </w:pPr>
    </w:p>
    <w:p>
      <w:pPr>
        <w:pStyle w:val="5"/>
        <w:rPr>
          <w:rFonts w:cs="Times New Roman"/>
          <w:color w:val="auto"/>
          <w:highlight w:val="none"/>
        </w:rPr>
      </w:pPr>
    </w:p>
    <w:p>
      <w:pPr>
        <w:pStyle w:val="5"/>
        <w:rPr>
          <w:rFonts w:cs="Times New Roman"/>
          <w:color w:val="auto"/>
          <w:highlight w:val="none"/>
        </w:rPr>
      </w:pPr>
    </w:p>
    <w:p>
      <w:pPr>
        <w:pStyle w:val="4"/>
        <w:spacing w:line="600" w:lineRule="exact"/>
        <w:rPr>
          <w:rFonts w:ascii="宋体" w:cs="Times New Roman"/>
          <w:color w:val="auto"/>
          <w:highlight w:val="none"/>
        </w:rPr>
      </w:pPr>
      <w:bookmarkStart w:id="122" w:name="_Toc20509"/>
      <w:r>
        <w:rPr>
          <w:rFonts w:hint="eastAsia" w:ascii="宋体" w:cs="宋体"/>
          <w:color w:val="auto"/>
          <w:highlight w:val="none"/>
        </w:rPr>
        <w:t>九、反商业贿赂承诺书</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600" w:lineRule="exact"/>
        <w:rPr>
          <w:rFonts w:ascii="宋体" w:cs="Times New Roman"/>
          <w:color w:val="auto"/>
          <w:highlight w:val="none"/>
        </w:rPr>
      </w:pPr>
      <w:r>
        <w:rPr>
          <w:rFonts w:hint="eastAsia" w:ascii="宋体" w:hAnsi="宋体" w:cs="宋体"/>
          <w:color w:val="auto"/>
          <w:highlight w:val="none"/>
        </w:rPr>
        <w:t>我公司承诺：</w:t>
      </w:r>
      <w:r>
        <w:rPr>
          <w:rFonts w:ascii="宋体" w:cs="Times New Roman"/>
          <w:color w:val="auto"/>
          <w:highlight w:val="none"/>
        </w:rPr>
        <w:tab/>
      </w:r>
    </w:p>
    <w:p>
      <w:pPr>
        <w:spacing w:line="600" w:lineRule="exact"/>
        <w:rPr>
          <w:rFonts w:ascii="宋体" w:cs="Times New Roman"/>
          <w:color w:val="auto"/>
          <w:highlight w:val="none"/>
        </w:rPr>
      </w:pPr>
      <w:r>
        <w:rPr>
          <w:rFonts w:hint="eastAsia" w:ascii="宋体" w:hAnsi="宋体" w:cs="宋体"/>
          <w:color w:val="auto"/>
          <w:highlight w:val="none"/>
        </w:rPr>
        <w:t>在</w:t>
      </w:r>
      <w:r>
        <w:rPr>
          <w:rFonts w:hint="eastAsia" w:ascii="宋体" w:hAnsi="宋体" w:cs="宋体"/>
          <w:color w:val="auto"/>
          <w:highlight w:val="none"/>
          <w:u w:val="single"/>
        </w:rPr>
        <w:t>（投标项目名称）</w:t>
      </w:r>
      <w:r>
        <w:rPr>
          <w:rFonts w:hint="eastAsia" w:ascii="宋体" w:hAnsi="宋体" w:cs="宋体"/>
          <w:color w:val="auto"/>
          <w:highlight w:val="none"/>
        </w:rPr>
        <w:t>投标活动中，我公司保证做到：</w:t>
      </w:r>
    </w:p>
    <w:p>
      <w:pPr>
        <w:spacing w:line="600" w:lineRule="exact"/>
        <w:ind w:firstLine="420" w:firstLineChars="200"/>
        <w:rPr>
          <w:rFonts w:ascii="宋体" w:cs="Times New Roman"/>
          <w:color w:val="auto"/>
          <w:highlight w:val="none"/>
        </w:rPr>
      </w:pPr>
      <w:r>
        <w:rPr>
          <w:rFonts w:hint="eastAsia" w:ascii="宋体" w:hAnsi="宋体" w:cs="宋体"/>
          <w:color w:val="auto"/>
          <w:highlight w:val="none"/>
        </w:rPr>
        <w:t>一、公平参加本次投标活动。</w:t>
      </w:r>
    </w:p>
    <w:p>
      <w:pPr>
        <w:spacing w:line="600" w:lineRule="exact"/>
        <w:ind w:firstLine="420" w:firstLineChars="200"/>
        <w:rPr>
          <w:rFonts w:ascii="宋体" w:cs="Times New Roman"/>
          <w:color w:val="auto"/>
          <w:highlight w:val="none"/>
        </w:rPr>
      </w:pPr>
      <w:r>
        <w:rPr>
          <w:rFonts w:hint="eastAsia" w:ascii="宋体" w:hAnsi="宋体" w:cs="宋体"/>
          <w:color w:val="auto"/>
          <w:highlight w:val="none"/>
        </w:rPr>
        <w:t>二、杜绝任何形式的商业贿赂行为。不向国家工作人员、政府采购代理机构工作人员、评审专家及其亲属提供礼品礼金、回扣、佣金等费用。</w:t>
      </w:r>
    </w:p>
    <w:p>
      <w:pPr>
        <w:spacing w:line="600" w:lineRule="exact"/>
        <w:ind w:firstLine="420" w:firstLineChars="200"/>
        <w:rPr>
          <w:rFonts w:ascii="宋体" w:cs="Times New Roman"/>
          <w:color w:val="auto"/>
          <w:highlight w:val="none"/>
        </w:rPr>
      </w:pPr>
      <w:r>
        <w:rPr>
          <w:rFonts w:hint="eastAsia" w:ascii="宋体" w:hAnsi="宋体" w:cs="宋体"/>
          <w:color w:val="auto"/>
          <w:highlight w:val="none"/>
        </w:rPr>
        <w:t>三、若出现上述行为，我公司及参与投标的工作人员愿意接受按照国家法律法规等有关规定的处罚。</w:t>
      </w:r>
    </w:p>
    <w:p>
      <w:pPr>
        <w:spacing w:line="600" w:lineRule="exact"/>
        <w:ind w:firstLine="4200" w:firstLineChars="2000"/>
        <w:rPr>
          <w:rFonts w:ascii="宋体" w:cs="Times New Roman"/>
          <w:color w:val="auto"/>
          <w:highlight w:val="none"/>
        </w:rPr>
      </w:pPr>
      <w:r>
        <w:rPr>
          <w:rFonts w:hint="eastAsia" w:ascii="宋体" w:hAnsi="宋体" w:cs="宋体"/>
          <w:color w:val="auto"/>
          <w:highlight w:val="none"/>
        </w:rPr>
        <w:t>公司法人代表（签字或盖章）</w:t>
      </w:r>
    </w:p>
    <w:p>
      <w:pPr>
        <w:spacing w:line="600" w:lineRule="exact"/>
        <w:ind w:firstLine="4200" w:firstLineChars="2000"/>
        <w:rPr>
          <w:rFonts w:ascii="宋体" w:cs="Times New Roman"/>
          <w:color w:val="auto"/>
          <w:highlight w:val="none"/>
        </w:rPr>
      </w:pPr>
      <w:r>
        <w:rPr>
          <w:rFonts w:hint="eastAsia" w:ascii="宋体" w:hAnsi="宋体" w:cs="宋体"/>
          <w:color w:val="auto"/>
          <w:highlight w:val="none"/>
        </w:rPr>
        <w:t>法人授权代表（签字）</w:t>
      </w:r>
    </w:p>
    <w:p>
      <w:pPr>
        <w:spacing w:line="600" w:lineRule="exact"/>
        <w:ind w:firstLine="4200" w:firstLineChars="2000"/>
        <w:rPr>
          <w:rFonts w:ascii="宋体" w:cs="Times New Roman"/>
          <w:color w:val="auto"/>
          <w:highlight w:val="none"/>
        </w:rPr>
      </w:pPr>
      <w:r>
        <w:rPr>
          <w:rFonts w:hint="eastAsia" w:ascii="宋体" w:hAnsi="宋体" w:cs="宋体"/>
          <w:color w:val="auto"/>
          <w:highlight w:val="none"/>
        </w:rPr>
        <w:t>投标人名称（公章）</w:t>
      </w:r>
    </w:p>
    <w:p>
      <w:pPr>
        <w:wordWrap w:val="0"/>
        <w:spacing w:line="600" w:lineRule="exact"/>
        <w:jc w:val="right"/>
        <w:rPr>
          <w:rFonts w:ascii="宋体" w:cs="Times New Roman"/>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pacing w:line="360" w:lineRule="exact"/>
        <w:rPr>
          <w:rFonts w:ascii="宋体" w:cs="Times New Roman"/>
          <w:color w:val="auto"/>
          <w:highlight w:val="none"/>
        </w:rPr>
      </w:pPr>
    </w:p>
    <w:p>
      <w:pPr>
        <w:spacing w:line="360" w:lineRule="exact"/>
        <w:jc w:val="center"/>
        <w:rPr>
          <w:rFonts w:ascii="宋体" w:cs="Times New Roman"/>
          <w:b/>
          <w:bCs/>
          <w:color w:val="auto"/>
          <w:highlight w:val="none"/>
        </w:rPr>
      </w:pPr>
    </w:p>
    <w:p>
      <w:pPr>
        <w:pStyle w:val="2"/>
        <w:rPr>
          <w:rFonts w:ascii="宋体" w:eastAsia="宋体" w:cs="Times New Roman"/>
          <w:color w:val="auto"/>
          <w:highlight w:val="none"/>
        </w:rPr>
      </w:pPr>
    </w:p>
    <w:p>
      <w:pPr>
        <w:pStyle w:val="2"/>
        <w:rPr>
          <w:rFonts w:ascii="宋体" w:eastAsia="宋体" w:cs="Times New Roman"/>
          <w:color w:val="auto"/>
          <w:highlight w:val="none"/>
        </w:rPr>
      </w:pPr>
    </w:p>
    <w:p>
      <w:pPr>
        <w:pStyle w:val="4"/>
        <w:rPr>
          <w:rFonts w:ascii="宋体" w:cs="Times New Roman"/>
          <w:color w:val="auto"/>
          <w:highlight w:val="none"/>
          <w:lang w:val="en-GB"/>
        </w:rPr>
      </w:pPr>
      <w:bookmarkStart w:id="123" w:name="_Toc14716"/>
    </w:p>
    <w:p>
      <w:pPr>
        <w:pStyle w:val="4"/>
        <w:rPr>
          <w:rFonts w:ascii="宋体" w:cs="Times New Roman"/>
          <w:color w:val="auto"/>
          <w:highlight w:val="none"/>
          <w:lang w:val="en-GB"/>
        </w:rPr>
      </w:pPr>
    </w:p>
    <w:p>
      <w:pPr>
        <w:pStyle w:val="4"/>
        <w:rPr>
          <w:rFonts w:ascii="宋体" w:cs="Times New Roman"/>
          <w:color w:val="auto"/>
          <w:highlight w:val="none"/>
          <w:lang w:val="en-GB"/>
        </w:rPr>
      </w:pPr>
    </w:p>
    <w:p>
      <w:pPr>
        <w:pStyle w:val="4"/>
        <w:rPr>
          <w:rFonts w:ascii="宋体" w:cs="Times New Roman"/>
          <w:color w:val="auto"/>
          <w:highlight w:val="none"/>
          <w:lang w:val="en-GB"/>
        </w:rPr>
      </w:pPr>
    </w:p>
    <w:p>
      <w:pPr>
        <w:pStyle w:val="4"/>
        <w:jc w:val="both"/>
        <w:rPr>
          <w:rFonts w:ascii="宋体" w:cs="Times New Roman"/>
          <w:color w:val="auto"/>
          <w:highlight w:val="none"/>
          <w:lang w:val="en-GB"/>
        </w:rPr>
      </w:pPr>
    </w:p>
    <w:p>
      <w:pPr>
        <w:pStyle w:val="5"/>
        <w:rPr>
          <w:rFonts w:cs="Times New Roman"/>
          <w:color w:val="auto"/>
          <w:highlight w:val="none"/>
          <w:lang w:val="en-GB"/>
        </w:rPr>
      </w:pPr>
    </w:p>
    <w:p>
      <w:pPr>
        <w:pStyle w:val="5"/>
        <w:rPr>
          <w:rFonts w:cs="Times New Roman"/>
          <w:color w:val="auto"/>
          <w:highlight w:val="none"/>
          <w:lang w:val="en-GB"/>
        </w:rPr>
      </w:pPr>
    </w:p>
    <w:p>
      <w:pPr>
        <w:pStyle w:val="5"/>
        <w:rPr>
          <w:rFonts w:cs="Times New Roman"/>
          <w:color w:val="auto"/>
          <w:highlight w:val="none"/>
          <w:lang w:val="en-GB"/>
        </w:rPr>
      </w:pPr>
    </w:p>
    <w:p>
      <w:pPr>
        <w:pStyle w:val="5"/>
        <w:rPr>
          <w:rFonts w:cs="Times New Roman"/>
          <w:color w:val="auto"/>
          <w:highlight w:val="none"/>
          <w:lang w:val="en-GB"/>
        </w:rPr>
      </w:pPr>
    </w:p>
    <w:p>
      <w:pPr>
        <w:pStyle w:val="4"/>
        <w:jc w:val="both"/>
        <w:rPr>
          <w:rFonts w:ascii="宋体" w:cs="Times New Roman"/>
          <w:color w:val="auto"/>
          <w:highlight w:val="none"/>
          <w:lang w:val="en-GB"/>
        </w:rPr>
      </w:pPr>
    </w:p>
    <w:p>
      <w:pPr>
        <w:pStyle w:val="5"/>
        <w:rPr>
          <w:rFonts w:cs="Times New Roman"/>
          <w:color w:val="auto"/>
          <w:highlight w:val="none"/>
          <w:lang w:val="en-GB"/>
        </w:rPr>
      </w:pPr>
    </w:p>
    <w:bookmarkEnd w:id="123"/>
    <w:p>
      <w:pPr>
        <w:pStyle w:val="4"/>
        <w:rPr>
          <w:rFonts w:ascii="宋体" w:cs="Times New Roman"/>
          <w:color w:val="auto"/>
          <w:highlight w:val="none"/>
          <w:lang w:val="en-GB"/>
        </w:rPr>
      </w:pPr>
      <w:bookmarkStart w:id="124" w:name="_Toc24460"/>
      <w:r>
        <w:rPr>
          <w:rFonts w:hint="eastAsia" w:ascii="宋体" w:hAnsi="宋体" w:cs="宋体"/>
          <w:color w:val="auto"/>
          <w:highlight w:val="none"/>
          <w:lang w:val="en-GB"/>
        </w:rPr>
        <w:t>十、</w:t>
      </w:r>
      <w:bookmarkStart w:id="125" w:name="_Toc3115"/>
      <w:bookmarkStart w:id="126" w:name="_Toc27658"/>
      <w:r>
        <w:rPr>
          <w:rFonts w:hint="eastAsia" w:ascii="宋体" w:hAnsi="宋体" w:cs="宋体"/>
          <w:color w:val="auto"/>
          <w:highlight w:val="none"/>
          <w:lang w:val="en-GB"/>
        </w:rPr>
        <w:t>投标人资格声明函</w:t>
      </w:r>
      <w:bookmarkEnd w:id="124"/>
      <w:bookmarkEnd w:id="125"/>
      <w:bookmarkEnd w:id="126"/>
    </w:p>
    <w:p>
      <w:pPr>
        <w:spacing w:line="360" w:lineRule="auto"/>
        <w:rPr>
          <w:rFonts w:cs="Times New Roman"/>
          <w:color w:val="auto"/>
          <w:highlight w:val="none"/>
          <w:u w:val="single"/>
        </w:rPr>
      </w:pPr>
    </w:p>
    <w:p>
      <w:pPr>
        <w:spacing w:line="360" w:lineRule="auto"/>
        <w:rPr>
          <w:rFonts w:cs="Times New Roman"/>
          <w:color w:val="auto"/>
          <w:highlight w:val="none"/>
        </w:rPr>
      </w:pPr>
      <w:r>
        <w:rPr>
          <w:rFonts w:hint="eastAsia" w:cs="宋体"/>
          <w:color w:val="auto"/>
          <w:highlight w:val="none"/>
          <w:u w:val="single"/>
        </w:rPr>
        <w:t>致（采购人）</w:t>
      </w:r>
      <w:r>
        <w:rPr>
          <w:rFonts w:hint="eastAsia" w:cs="宋体"/>
          <w:color w:val="auto"/>
          <w:highlight w:val="none"/>
        </w:rPr>
        <w:t>：</w:t>
      </w:r>
    </w:p>
    <w:p>
      <w:pPr>
        <w:spacing w:line="360" w:lineRule="auto"/>
        <w:ind w:firstLine="450"/>
        <w:rPr>
          <w:rFonts w:ascii="宋体" w:cs="Times New Roman"/>
          <w:color w:val="auto"/>
          <w:highlight w:val="none"/>
        </w:rPr>
      </w:pPr>
    </w:p>
    <w:p>
      <w:pPr>
        <w:spacing w:line="360" w:lineRule="auto"/>
        <w:ind w:firstLine="450"/>
        <w:rPr>
          <w:rFonts w:ascii="宋体" w:cs="Times New Roman"/>
          <w:color w:val="auto"/>
          <w:highlight w:val="none"/>
        </w:rPr>
      </w:pPr>
      <w:r>
        <w:rPr>
          <w:rFonts w:hint="eastAsia" w:ascii="宋体" w:hAnsi="宋体" w:cs="宋体"/>
          <w:color w:val="auto"/>
          <w:highlight w:val="none"/>
        </w:rPr>
        <w:t>关于贵方编号为的投标邀请，本公司愿意参加投标，提供招标内容中规定的货物，并声明提交的下列文件是准确的和真实的。</w:t>
      </w:r>
    </w:p>
    <w:p>
      <w:pPr>
        <w:spacing w:line="360" w:lineRule="auto"/>
        <w:ind w:firstLine="420" w:firstLineChars="200"/>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投标人基本情况</w:t>
      </w:r>
    </w:p>
    <w:p>
      <w:pPr>
        <w:spacing w:line="360" w:lineRule="auto"/>
        <w:ind w:firstLine="420" w:firstLineChars="20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投标人资格证明文件</w:t>
      </w:r>
    </w:p>
    <w:p>
      <w:pPr>
        <w:spacing w:line="360" w:lineRule="auto"/>
        <w:ind w:firstLine="420" w:firstLineChars="200"/>
        <w:rPr>
          <w:rFonts w:ascii="宋体" w:cs="Times New Roman"/>
          <w:color w:val="auto"/>
          <w:highlight w:val="none"/>
        </w:rPr>
      </w:pPr>
      <w:r>
        <w:rPr>
          <w:rFonts w:hint="eastAsia" w:ascii="宋体" w:hAnsi="宋体" w:cs="宋体"/>
          <w:color w:val="auto"/>
          <w:highlight w:val="none"/>
        </w:rPr>
        <w:t>我方在此声明，我方具备并满足《中华人民共和国政府采购法》二十二条规定的条件；</w:t>
      </w:r>
    </w:p>
    <w:p>
      <w:pPr>
        <w:spacing w:line="360" w:lineRule="auto"/>
        <w:rPr>
          <w:rFonts w:ascii="宋体" w:cs="Times New Roman"/>
          <w:color w:val="auto"/>
          <w:highlight w:val="none"/>
        </w:rPr>
      </w:pPr>
    </w:p>
    <w:p>
      <w:pPr>
        <w:spacing w:line="360" w:lineRule="auto"/>
        <w:rPr>
          <w:rFonts w:ascii="宋体" w:cs="Times New Roman"/>
          <w:color w:val="auto"/>
          <w:highlight w:val="none"/>
        </w:rPr>
      </w:pPr>
    </w:p>
    <w:p>
      <w:pPr>
        <w:rPr>
          <w:rFonts w:ascii="宋体" w:cs="Times New Roman"/>
          <w:color w:val="auto"/>
          <w:highlight w:val="none"/>
        </w:rPr>
      </w:pPr>
    </w:p>
    <w:p>
      <w:pPr>
        <w:jc w:val="center"/>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法定代表人或被授权人（签字或盖章）：</w:t>
      </w:r>
    </w:p>
    <w:p>
      <w:pPr>
        <w:jc w:val="center"/>
        <w:rPr>
          <w:rFonts w:ascii="宋体" w:cs="Times New Roman"/>
          <w:color w:val="auto"/>
          <w:highlight w:val="none"/>
        </w:rPr>
      </w:pPr>
    </w:p>
    <w:p>
      <w:pPr>
        <w:jc w:val="center"/>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投标人（盖章）：</w:t>
      </w:r>
    </w:p>
    <w:p>
      <w:pPr>
        <w:jc w:val="center"/>
        <w:rPr>
          <w:rFonts w:ascii="宋体" w:cs="Times New Roman"/>
          <w:color w:val="auto"/>
          <w:highlight w:val="none"/>
        </w:rPr>
      </w:pPr>
    </w:p>
    <w:p>
      <w:pPr>
        <w:jc w:val="center"/>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pStyle w:val="5"/>
        <w:ind w:firstLine="424"/>
        <w:rPr>
          <w:rFonts w:ascii="仿宋" w:hAnsi="仿宋" w:eastAsia="仿宋" w:cs="Times New Roman"/>
          <w:color w:val="auto"/>
          <w:highlight w:val="none"/>
        </w:rPr>
      </w:pPr>
    </w:p>
    <w:p>
      <w:pPr>
        <w:spacing w:line="360" w:lineRule="exact"/>
        <w:rPr>
          <w:rFonts w:ascii="宋体" w:cs="Times New Roman"/>
          <w:color w:val="auto"/>
          <w:highlight w:val="none"/>
        </w:rPr>
      </w:pPr>
    </w:p>
    <w:p>
      <w:pPr>
        <w:spacing w:line="360" w:lineRule="exact"/>
        <w:rPr>
          <w:rFonts w:ascii="宋体" w:cs="Times New Roman"/>
          <w:color w:val="auto"/>
          <w:highlight w:val="none"/>
        </w:rPr>
      </w:pPr>
    </w:p>
    <w:p>
      <w:pPr>
        <w:spacing w:line="360" w:lineRule="exact"/>
        <w:rPr>
          <w:rFonts w:ascii="宋体" w:cs="Times New Roman"/>
          <w:color w:val="auto"/>
          <w:highlight w:val="none"/>
        </w:rPr>
      </w:pPr>
    </w:p>
    <w:p>
      <w:pPr>
        <w:spacing w:line="360" w:lineRule="exact"/>
        <w:rPr>
          <w:rFonts w:ascii="宋体" w:cs="Times New Roman"/>
          <w:color w:val="auto"/>
          <w:highlight w:val="none"/>
        </w:rPr>
      </w:pPr>
    </w:p>
    <w:p>
      <w:pPr>
        <w:spacing w:line="360" w:lineRule="exact"/>
        <w:rPr>
          <w:rFonts w:ascii="宋体" w:cs="Times New Roman"/>
          <w:color w:val="auto"/>
          <w:highlight w:val="none"/>
        </w:rPr>
      </w:pPr>
    </w:p>
    <w:p>
      <w:pPr>
        <w:spacing w:line="360" w:lineRule="exact"/>
        <w:rPr>
          <w:rFonts w:ascii="宋体" w:cs="Times New Roman"/>
          <w:color w:val="auto"/>
          <w:highlight w:val="none"/>
        </w:rPr>
      </w:pPr>
    </w:p>
    <w:p>
      <w:pPr>
        <w:spacing w:line="360" w:lineRule="exact"/>
        <w:rPr>
          <w:rFonts w:ascii="宋体" w:cs="Times New Roman"/>
          <w:color w:val="auto"/>
          <w:highlight w:val="none"/>
        </w:rPr>
      </w:pPr>
    </w:p>
    <w:p>
      <w:pPr>
        <w:pStyle w:val="4"/>
        <w:rPr>
          <w:rFonts w:ascii="宋体" w:cs="Times New Roman"/>
          <w:color w:val="auto"/>
          <w:sz w:val="28"/>
          <w:szCs w:val="28"/>
          <w:highlight w:val="none"/>
        </w:rPr>
      </w:pPr>
    </w:p>
    <w:p>
      <w:pPr>
        <w:pStyle w:val="4"/>
        <w:rPr>
          <w:rFonts w:ascii="宋体" w:cs="Times New Roman"/>
          <w:color w:val="auto"/>
          <w:sz w:val="28"/>
          <w:szCs w:val="28"/>
          <w:highlight w:val="none"/>
        </w:rPr>
      </w:pPr>
    </w:p>
    <w:p>
      <w:pPr>
        <w:pStyle w:val="4"/>
        <w:rPr>
          <w:rFonts w:ascii="宋体" w:cs="Times New Roman"/>
          <w:color w:val="auto"/>
          <w:sz w:val="28"/>
          <w:szCs w:val="28"/>
          <w:highlight w:val="none"/>
        </w:rPr>
      </w:pPr>
    </w:p>
    <w:p>
      <w:pPr>
        <w:pStyle w:val="4"/>
        <w:rPr>
          <w:rFonts w:ascii="宋体" w:cs="Times New Roman"/>
          <w:color w:val="auto"/>
          <w:sz w:val="28"/>
          <w:szCs w:val="28"/>
          <w:highlight w:val="none"/>
        </w:rPr>
      </w:pPr>
    </w:p>
    <w:p>
      <w:pPr>
        <w:pStyle w:val="4"/>
        <w:rPr>
          <w:rFonts w:ascii="宋体" w:cs="Times New Roman"/>
          <w:color w:val="auto"/>
          <w:sz w:val="28"/>
          <w:szCs w:val="28"/>
          <w:highlight w:val="none"/>
        </w:rPr>
      </w:pPr>
    </w:p>
    <w:p>
      <w:pPr>
        <w:pStyle w:val="4"/>
        <w:jc w:val="both"/>
        <w:rPr>
          <w:rFonts w:ascii="宋体" w:cs="Times New Roman"/>
          <w:color w:val="auto"/>
          <w:sz w:val="28"/>
          <w:szCs w:val="28"/>
          <w:highlight w:val="none"/>
        </w:rPr>
      </w:pPr>
      <w:r>
        <w:rPr>
          <w:rFonts w:ascii="宋体" w:cs="Times New Roman"/>
          <w:color w:val="auto"/>
          <w:sz w:val="28"/>
          <w:szCs w:val="28"/>
          <w:highlight w:val="none"/>
        </w:rPr>
        <w:br w:type="page"/>
      </w:r>
      <w:bookmarkStart w:id="127" w:name="_Toc28735"/>
      <w:bookmarkStart w:id="128" w:name="_Toc5081"/>
      <w:bookmarkStart w:id="129" w:name="_Toc19619"/>
      <w:bookmarkStart w:id="130" w:name="_Toc14935"/>
    </w:p>
    <w:p>
      <w:pPr>
        <w:pStyle w:val="4"/>
        <w:rPr>
          <w:rFonts w:ascii="宋体" w:cs="Times New Roman"/>
          <w:color w:val="auto"/>
          <w:highlight w:val="none"/>
          <w:lang w:val="en-GB"/>
        </w:rPr>
      </w:pPr>
      <w:bookmarkStart w:id="131" w:name="_Toc13623"/>
      <w:r>
        <w:rPr>
          <w:rFonts w:hint="eastAsia" w:ascii="宋体" w:hAnsi="宋体" w:cs="宋体"/>
          <w:color w:val="auto"/>
          <w:highlight w:val="none"/>
          <w:lang w:val="en-GB"/>
        </w:rPr>
        <w:t>十一、投标人资格证明文件</w:t>
      </w:r>
      <w:bookmarkEnd w:id="127"/>
      <w:bookmarkEnd w:id="128"/>
      <w:bookmarkEnd w:id="129"/>
      <w:bookmarkEnd w:id="131"/>
    </w:p>
    <w:p>
      <w:pPr>
        <w:spacing w:line="400" w:lineRule="exact"/>
        <w:ind w:firstLine="420"/>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、营业执照（副本）、组织机构代码证（副本）、税务登记证（副本）（或三证合一的营业执照副本）；</w:t>
      </w:r>
    </w:p>
    <w:p>
      <w:pPr>
        <w:spacing w:line="400" w:lineRule="exact"/>
        <w:ind w:firstLine="42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、法定代表人身份证明及身份证复印件或授权委托人持法人授权委托书及本人身份证复印件。</w:t>
      </w:r>
    </w:p>
    <w:p>
      <w:pPr>
        <w:spacing w:line="400" w:lineRule="exact"/>
        <w:ind w:firstLine="420"/>
        <w:rPr>
          <w:rFonts w:ascii="宋体" w:cs="Times New Roman"/>
          <w:color w:val="auto"/>
          <w:highlight w:val="none"/>
        </w:rPr>
      </w:pPr>
      <w:r>
        <w:rPr>
          <w:rFonts w:ascii="宋体" w:hAnsi="宋体" w:cs="宋体"/>
          <w:color w:val="auto"/>
          <w:highlight w:val="none"/>
        </w:rPr>
        <w:t>3</w:t>
      </w:r>
      <w:r>
        <w:rPr>
          <w:rFonts w:hint="eastAsia" w:ascii="宋体" w:hAnsi="宋体" w:cs="宋体"/>
          <w:color w:val="auto"/>
          <w:highlight w:val="none"/>
        </w:rPr>
        <w:t>、无行贿犯罪承诺函（详见格式）</w:t>
      </w:r>
    </w:p>
    <w:p>
      <w:pPr>
        <w:spacing w:line="400" w:lineRule="exact"/>
        <w:ind w:firstLine="420"/>
        <w:rPr>
          <w:rFonts w:ascii="宋体" w:cs="Times New Roman"/>
          <w:color w:val="auto"/>
          <w:highlight w:val="none"/>
        </w:rPr>
      </w:pPr>
      <w:r>
        <w:rPr>
          <w:rFonts w:ascii="宋体" w:hAnsi="宋体" w:cs="宋体"/>
          <w:color w:val="auto"/>
          <w:highlight w:val="none"/>
        </w:rPr>
        <w:t>4</w:t>
      </w:r>
      <w:r>
        <w:rPr>
          <w:rFonts w:hint="eastAsia" w:ascii="宋体" w:hAnsi="宋体" w:cs="宋体"/>
          <w:color w:val="auto"/>
          <w:highlight w:val="none"/>
        </w:rPr>
        <w:t>、参加政府采购活动前三年内无重大违法记录的书面声明</w:t>
      </w:r>
    </w:p>
    <w:p>
      <w:pPr>
        <w:spacing w:line="400" w:lineRule="exact"/>
        <w:ind w:firstLine="420"/>
        <w:rPr>
          <w:rFonts w:ascii="宋体" w:cs="Times New Roman"/>
          <w:color w:val="auto"/>
          <w:highlight w:val="none"/>
        </w:rPr>
      </w:pPr>
      <w:r>
        <w:rPr>
          <w:rFonts w:ascii="宋体" w:hAnsi="宋体" w:cs="宋体"/>
          <w:color w:val="auto"/>
          <w:highlight w:val="none"/>
        </w:rPr>
        <w:t>5</w:t>
      </w:r>
      <w:r>
        <w:rPr>
          <w:rFonts w:hint="eastAsia" w:ascii="宋体" w:hAnsi="宋体" w:cs="宋体"/>
          <w:color w:val="auto"/>
          <w:highlight w:val="none"/>
        </w:rPr>
        <w:t>、依法纳税凭证（完税证明）开标日前</w:t>
      </w:r>
      <w:r>
        <w:rPr>
          <w:rFonts w:ascii="宋体" w:hAnsi="宋体" w:cs="宋体"/>
          <w:color w:val="auto"/>
          <w:highlight w:val="none"/>
        </w:rPr>
        <w:t>6</w:t>
      </w:r>
      <w:r>
        <w:rPr>
          <w:rFonts w:hint="eastAsia" w:ascii="宋体" w:hAnsi="宋体" w:cs="宋体"/>
          <w:color w:val="auto"/>
          <w:highlight w:val="none"/>
        </w:rPr>
        <w:t>个月任一个月的完税证明</w:t>
      </w:r>
    </w:p>
    <w:p>
      <w:pPr>
        <w:spacing w:line="400" w:lineRule="exact"/>
        <w:ind w:firstLine="420"/>
        <w:rPr>
          <w:rFonts w:ascii="宋体" w:cs="Times New Roman"/>
          <w:color w:val="auto"/>
          <w:highlight w:val="none"/>
        </w:rPr>
      </w:pPr>
      <w:r>
        <w:rPr>
          <w:rFonts w:ascii="宋体" w:hAnsi="宋体" w:cs="宋体"/>
          <w:color w:val="auto"/>
          <w:highlight w:val="none"/>
        </w:rPr>
        <w:t>6</w:t>
      </w:r>
      <w:r>
        <w:rPr>
          <w:rFonts w:hint="eastAsia" w:ascii="宋体" w:hAnsi="宋体" w:cs="宋体"/>
          <w:color w:val="auto"/>
          <w:highlight w:val="none"/>
        </w:rPr>
        <w:t>、缴纳社会保障资金凭证开标日前</w:t>
      </w:r>
      <w:r>
        <w:rPr>
          <w:rFonts w:ascii="宋体" w:hAnsi="宋体" w:cs="宋体"/>
          <w:color w:val="auto"/>
          <w:highlight w:val="none"/>
        </w:rPr>
        <w:t>6</w:t>
      </w:r>
      <w:r>
        <w:rPr>
          <w:rFonts w:hint="eastAsia" w:ascii="宋体" w:hAnsi="宋体" w:cs="宋体"/>
          <w:color w:val="auto"/>
          <w:highlight w:val="none"/>
        </w:rPr>
        <w:t>个月任一个月的缴纳社保记录凭证</w:t>
      </w:r>
    </w:p>
    <w:p>
      <w:pPr>
        <w:spacing w:line="400" w:lineRule="exact"/>
        <w:ind w:firstLine="420"/>
        <w:rPr>
          <w:rFonts w:ascii="宋体" w:cs="Times New Roman"/>
          <w:color w:val="auto"/>
          <w:highlight w:val="none"/>
        </w:rPr>
      </w:pPr>
      <w:r>
        <w:rPr>
          <w:rFonts w:ascii="宋体" w:hAnsi="宋体" w:cs="宋体"/>
          <w:color w:val="auto"/>
          <w:highlight w:val="none"/>
        </w:rPr>
        <w:t>7</w:t>
      </w:r>
      <w:r>
        <w:rPr>
          <w:rFonts w:hint="eastAsia" w:ascii="宋体" w:hAnsi="宋体" w:cs="宋体"/>
          <w:color w:val="auto"/>
          <w:highlight w:val="none"/>
        </w:rPr>
        <w:t>、财务状况，开标日前</w:t>
      </w:r>
      <w:r>
        <w:rPr>
          <w:rFonts w:ascii="宋体" w:hAnsi="宋体" w:cs="宋体"/>
          <w:color w:val="auto"/>
          <w:highlight w:val="none"/>
        </w:rPr>
        <w:t>6</w:t>
      </w:r>
      <w:r>
        <w:rPr>
          <w:rFonts w:hint="eastAsia" w:ascii="宋体" w:hAnsi="宋体" w:cs="宋体"/>
          <w:color w:val="auto"/>
          <w:highlight w:val="none"/>
        </w:rPr>
        <w:t>个月任一个月的负债表、利润表</w:t>
      </w:r>
    </w:p>
    <w:p>
      <w:pPr>
        <w:spacing w:line="400" w:lineRule="exact"/>
        <w:ind w:firstLine="420"/>
        <w:rPr>
          <w:rFonts w:hint="eastAsia" w:ascii="宋体" w:eastAsia="宋体" w:cs="Times New Roman"/>
          <w:color w:val="auto"/>
          <w:highlight w:val="none"/>
          <w:lang w:eastAsia="zh-CN"/>
        </w:rPr>
      </w:pPr>
      <w:r>
        <w:rPr>
          <w:rFonts w:ascii="宋体" w:hAnsi="宋体" w:cs="宋体"/>
          <w:color w:val="auto"/>
          <w:highlight w:val="none"/>
        </w:rPr>
        <w:t>8</w:t>
      </w:r>
      <w:r>
        <w:rPr>
          <w:rFonts w:hint="eastAsia" w:ascii="宋体" w:hAnsi="宋体" w:cs="宋体"/>
          <w:color w:val="auto"/>
          <w:highlight w:val="none"/>
        </w:rPr>
        <w:t>、“信用中国”网站（</w:t>
      </w:r>
      <w:r>
        <w:rPr>
          <w:rFonts w:ascii="宋体" w:hAnsi="宋体" w:cs="宋体"/>
          <w:color w:val="auto"/>
          <w:highlight w:val="none"/>
        </w:rPr>
        <w:t>www.creditchina.gov.cn</w:t>
      </w:r>
      <w:r>
        <w:rPr>
          <w:rFonts w:hint="eastAsia" w:ascii="宋体" w:hAnsi="宋体" w:cs="宋体"/>
          <w:color w:val="auto"/>
          <w:highlight w:val="none"/>
        </w:rPr>
        <w:t>）及中国政府采购网（</w:t>
      </w:r>
      <w:r>
        <w:rPr>
          <w:rFonts w:ascii="宋体" w:hAnsi="宋体" w:cs="宋体"/>
          <w:color w:val="auto"/>
          <w:highlight w:val="none"/>
        </w:rPr>
        <w:t>www.ccgp.gov.cn</w:t>
      </w:r>
      <w:r>
        <w:rPr>
          <w:rFonts w:hint="eastAsia" w:ascii="宋体" w:hAnsi="宋体" w:cs="宋体"/>
          <w:color w:val="auto"/>
          <w:highlight w:val="none"/>
        </w:rPr>
        <w:t>）网页截图</w:t>
      </w:r>
    </w:p>
    <w:p>
      <w:pPr>
        <w:spacing w:line="400" w:lineRule="exact"/>
        <w:ind w:firstLine="420" w:firstLineChars="200"/>
        <w:rPr>
          <w:rFonts w:ascii="宋体" w:cs="Times New Roman"/>
          <w:color w:val="auto"/>
          <w:kern w:val="0"/>
          <w:highlight w:val="none"/>
        </w:rPr>
      </w:pPr>
      <w:r>
        <w:rPr>
          <w:rFonts w:ascii="宋体" w:hAnsi="宋体" w:cs="宋体"/>
          <w:color w:val="auto"/>
          <w:highlight w:val="none"/>
        </w:rPr>
        <w:t>9</w:t>
      </w:r>
      <w:r>
        <w:rPr>
          <w:rFonts w:hint="eastAsia" w:ascii="宋体" w:hAnsi="宋体" w:cs="宋体"/>
          <w:color w:val="auto"/>
          <w:kern w:val="0"/>
          <w:highlight w:val="none"/>
        </w:rPr>
        <w:t>、招标文件中规定的其他资料。</w:t>
      </w:r>
    </w:p>
    <w:p>
      <w:pPr>
        <w:spacing w:line="400" w:lineRule="exact"/>
        <w:ind w:firstLine="420" w:firstLineChars="200"/>
        <w:rPr>
          <w:rFonts w:ascii="宋体" w:cs="Times New Roman"/>
          <w:color w:val="auto"/>
          <w:kern w:val="0"/>
          <w:highlight w:val="none"/>
        </w:rPr>
      </w:pPr>
    </w:p>
    <w:p>
      <w:pPr>
        <w:spacing w:line="400" w:lineRule="exact"/>
        <w:ind w:firstLine="420" w:firstLineChars="200"/>
        <w:rPr>
          <w:rFonts w:ascii="宋体" w:cs="Times New Roman"/>
          <w:color w:val="auto"/>
          <w:kern w:val="0"/>
          <w:highlight w:val="none"/>
        </w:rPr>
      </w:pPr>
    </w:p>
    <w:p>
      <w:pPr>
        <w:spacing w:line="400" w:lineRule="exact"/>
        <w:rPr>
          <w:rFonts w:hAnsi="宋体" w:cs="Times New Roman"/>
          <w:b/>
          <w:bCs/>
          <w:color w:val="auto"/>
          <w:sz w:val="24"/>
          <w:szCs w:val="24"/>
          <w:highlight w:val="none"/>
        </w:rPr>
      </w:pPr>
      <w:bookmarkStart w:id="132" w:name="_Toc488422631"/>
      <w:bookmarkStart w:id="133" w:name="_Toc26585"/>
      <w:bookmarkStart w:id="134" w:name="_Toc13248"/>
      <w:bookmarkStart w:id="135" w:name="_Toc11936"/>
      <w:bookmarkStart w:id="136" w:name="_Toc488422032"/>
      <w:bookmarkStart w:id="137" w:name="_Toc15502"/>
      <w:bookmarkStart w:id="138" w:name="_Toc12298"/>
      <w:bookmarkStart w:id="139" w:name="_Toc28064"/>
      <w:r>
        <w:rPr>
          <w:rFonts w:hint="eastAsia" w:ascii="宋体" w:hAnsi="宋体" w:cs="宋体"/>
          <w:b/>
          <w:bCs/>
          <w:color w:val="auto"/>
          <w:kern w:val="0"/>
          <w:sz w:val="24"/>
          <w:szCs w:val="24"/>
          <w:highlight w:val="none"/>
        </w:rPr>
        <w:t>以上复印件必须加盖单位公章</w:t>
      </w:r>
      <w:bookmarkEnd w:id="132"/>
      <w:bookmarkEnd w:id="133"/>
      <w:bookmarkEnd w:id="134"/>
      <w:bookmarkEnd w:id="135"/>
      <w:bookmarkEnd w:id="136"/>
      <w:bookmarkEnd w:id="137"/>
      <w:bookmarkEnd w:id="138"/>
      <w:bookmarkEnd w:id="139"/>
      <w:r>
        <w:rPr>
          <w:rFonts w:hint="eastAsia" w:cs="宋体"/>
          <w:b/>
          <w:bCs/>
          <w:color w:val="auto"/>
          <w:sz w:val="24"/>
          <w:szCs w:val="24"/>
          <w:highlight w:val="none"/>
        </w:rPr>
        <w:t>，资格证明文件由资格审查小组对投标人资格进行审查</w:t>
      </w: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pStyle w:val="5"/>
        <w:ind w:firstLine="426"/>
        <w:rPr>
          <w:rFonts w:ascii="宋体" w:cs="Times New Roman"/>
          <w:b/>
          <w:bCs/>
          <w:color w:val="auto"/>
          <w:kern w:val="2"/>
          <w:sz w:val="21"/>
          <w:szCs w:val="21"/>
          <w:highlight w:val="none"/>
        </w:rPr>
      </w:pPr>
    </w:p>
    <w:p>
      <w:pPr>
        <w:spacing w:line="400" w:lineRule="exact"/>
        <w:rPr>
          <w:rFonts w:ascii="宋体" w:cs="Times New Roman"/>
          <w:b/>
          <w:bCs/>
          <w:color w:val="auto"/>
          <w:sz w:val="32"/>
          <w:szCs w:val="32"/>
          <w:highlight w:val="none"/>
        </w:rPr>
      </w:pPr>
    </w:p>
    <w:p>
      <w:pPr>
        <w:spacing w:line="400" w:lineRule="exact"/>
        <w:rPr>
          <w:rFonts w:ascii="宋体" w:cs="Times New Roman"/>
          <w:b/>
          <w:bCs/>
          <w:color w:val="auto"/>
          <w:sz w:val="32"/>
          <w:szCs w:val="32"/>
          <w:highlight w:val="none"/>
        </w:rPr>
      </w:pPr>
    </w:p>
    <w:p>
      <w:pPr>
        <w:spacing w:line="400" w:lineRule="exact"/>
        <w:rPr>
          <w:rFonts w:ascii="宋体" w:cs="Times New Roman"/>
          <w:b/>
          <w:bCs/>
          <w:color w:val="auto"/>
          <w:sz w:val="32"/>
          <w:szCs w:val="32"/>
          <w:highlight w:val="none"/>
        </w:rPr>
      </w:pPr>
    </w:p>
    <w:p>
      <w:pPr>
        <w:spacing w:line="400" w:lineRule="exact"/>
        <w:rPr>
          <w:rFonts w:ascii="宋体" w:cs="Times New Roman"/>
          <w:b/>
          <w:bCs/>
          <w:color w:val="auto"/>
          <w:sz w:val="32"/>
          <w:szCs w:val="32"/>
          <w:highlight w:val="none"/>
        </w:rPr>
      </w:pPr>
    </w:p>
    <w:p>
      <w:pPr>
        <w:spacing w:line="400" w:lineRule="exact"/>
        <w:rPr>
          <w:rFonts w:ascii="宋体" w:cs="Times New Roman"/>
          <w:b/>
          <w:bCs/>
          <w:color w:val="auto"/>
          <w:sz w:val="32"/>
          <w:szCs w:val="32"/>
          <w:highlight w:val="none"/>
        </w:rPr>
      </w:pPr>
    </w:p>
    <w:p>
      <w:pPr>
        <w:spacing w:line="400" w:lineRule="exact"/>
        <w:rPr>
          <w:rFonts w:ascii="宋体" w:cs="Times New Roman"/>
          <w:b/>
          <w:bCs/>
          <w:color w:val="auto"/>
          <w:sz w:val="32"/>
          <w:szCs w:val="32"/>
          <w:highlight w:val="none"/>
        </w:rPr>
      </w:pPr>
    </w:p>
    <w:p>
      <w:pPr>
        <w:jc w:val="center"/>
        <w:rPr>
          <w:rFonts w:cs="Times New Roman"/>
          <w:b/>
          <w:bCs/>
          <w:color w:val="auto"/>
          <w:sz w:val="32"/>
          <w:szCs w:val="32"/>
          <w:highlight w:val="none"/>
        </w:rPr>
      </w:pPr>
      <w:r>
        <w:rPr>
          <w:rFonts w:hint="eastAsia" w:cs="宋体"/>
          <w:b/>
          <w:bCs/>
          <w:color w:val="auto"/>
          <w:sz w:val="32"/>
          <w:szCs w:val="32"/>
          <w:highlight w:val="none"/>
        </w:rPr>
        <w:t>无行贿犯罪记录承诺函</w:t>
      </w:r>
    </w:p>
    <w:p>
      <w:pPr>
        <w:spacing w:beforeLines="100" w:afterLines="100"/>
        <w:jc w:val="center"/>
        <w:rPr>
          <w:rFonts w:ascii="宋体" w:cs="Times New Roman"/>
          <w:color w:val="auto"/>
          <w:highlight w:val="none"/>
        </w:rPr>
      </w:pPr>
      <w:r>
        <w:rPr>
          <w:rFonts w:hint="eastAsia" w:ascii="宋体" w:hAnsi="宋体" w:cs="宋体"/>
          <w:color w:val="auto"/>
          <w:highlight w:val="none"/>
        </w:rPr>
        <w:t>承诺书</w:t>
      </w:r>
    </w:p>
    <w:p>
      <w:pPr>
        <w:spacing w:afterLines="100" w:line="440" w:lineRule="exact"/>
        <w:rPr>
          <w:rFonts w:ascii="宋体" w:cs="Times New Roman"/>
          <w:color w:val="auto"/>
          <w:highlight w:val="none"/>
        </w:rPr>
      </w:pPr>
      <w:r>
        <w:rPr>
          <w:rFonts w:ascii="宋体" w:hAnsi="宋体" w:cs="宋体"/>
          <w:color w:val="auto"/>
          <w:position w:val="-7"/>
          <w:highlight w:val="none"/>
        </w:rPr>
        <w:t>————————</w:t>
      </w:r>
      <w:r>
        <w:rPr>
          <w:rFonts w:hint="eastAsia" w:ascii="宋体" w:hAnsi="宋体" w:cs="宋体"/>
          <w:color w:val="auto"/>
          <w:highlight w:val="none"/>
        </w:rPr>
        <w:t>（采购人名称）：</w:t>
      </w:r>
    </w:p>
    <w:p>
      <w:pPr>
        <w:spacing w:line="440" w:lineRule="exact"/>
        <w:ind w:firstLine="420" w:firstLineChars="200"/>
        <w:rPr>
          <w:rFonts w:ascii="宋体" w:cs="Times New Roman"/>
          <w:color w:val="auto"/>
          <w:highlight w:val="none"/>
          <w:shd w:val="clear" w:color="auto" w:fill="FFFFFF"/>
        </w:rPr>
      </w:pPr>
      <w:r>
        <w:rPr>
          <w:rFonts w:hint="eastAsia" w:ascii="宋体" w:hAnsi="宋体" w:cs="宋体"/>
          <w:color w:val="auto"/>
          <w:highlight w:val="none"/>
        </w:rPr>
        <w:t>我方在此声明，我方在（项目名称）招投标过程中所涉及的</w:t>
      </w:r>
      <w:r>
        <w:rPr>
          <w:rFonts w:hint="eastAsia" w:ascii="宋体" w:hAnsi="宋体" w:cs="宋体"/>
          <w:color w:val="auto"/>
          <w:highlight w:val="none"/>
          <w:shd w:val="clear" w:color="auto" w:fill="FFFFFF"/>
        </w:rPr>
        <w:t>包括法人、法定代表人、法定代表人委托代理人均无行贿犯罪记录。</w:t>
      </w:r>
    </w:p>
    <w:p>
      <w:pPr>
        <w:spacing w:line="440" w:lineRule="exact"/>
        <w:ind w:firstLine="420" w:firstLineChars="200"/>
        <w:rPr>
          <w:rFonts w:ascii="宋体" w:cs="Times New Roman"/>
          <w:color w:val="auto"/>
          <w:highlight w:val="none"/>
        </w:rPr>
      </w:pPr>
      <w:r>
        <w:rPr>
          <w:rFonts w:hint="eastAsia" w:ascii="宋体" w:hAnsi="宋体" w:cs="宋体"/>
          <w:color w:val="auto"/>
          <w:highlight w:val="none"/>
        </w:rPr>
        <w:t>我方保证上述信息的真实和准确，并愿意承担因我方就此弄虚作假所引起的一切法律后果。</w:t>
      </w:r>
    </w:p>
    <w:p>
      <w:pPr>
        <w:spacing w:line="440" w:lineRule="exact"/>
        <w:ind w:firstLine="420" w:firstLineChars="200"/>
        <w:rPr>
          <w:rFonts w:ascii="宋体" w:cs="Times New Roman"/>
          <w:color w:val="auto"/>
          <w:highlight w:val="none"/>
        </w:rPr>
      </w:pPr>
    </w:p>
    <w:p>
      <w:pPr>
        <w:spacing w:line="440" w:lineRule="exact"/>
        <w:ind w:firstLine="420" w:firstLineChars="200"/>
        <w:rPr>
          <w:rFonts w:ascii="宋体" w:cs="Times New Roman"/>
          <w:color w:val="auto"/>
          <w:highlight w:val="none"/>
        </w:rPr>
      </w:pPr>
    </w:p>
    <w:p>
      <w:pPr>
        <w:spacing w:line="440" w:lineRule="exact"/>
        <w:ind w:firstLine="420" w:firstLineChars="200"/>
        <w:rPr>
          <w:rFonts w:ascii="宋体" w:cs="Times New Roman"/>
          <w:color w:val="auto"/>
          <w:highlight w:val="none"/>
        </w:rPr>
      </w:pPr>
      <w:r>
        <w:rPr>
          <w:rFonts w:hint="eastAsia" w:ascii="宋体" w:hAnsi="宋体" w:cs="宋体"/>
          <w:color w:val="auto"/>
          <w:highlight w:val="none"/>
        </w:rPr>
        <w:t>特此承诺</w:t>
      </w:r>
    </w:p>
    <w:p>
      <w:pPr>
        <w:spacing w:line="440" w:lineRule="exact"/>
        <w:ind w:firstLine="420" w:firstLineChars="200"/>
        <w:rPr>
          <w:rFonts w:ascii="宋体" w:cs="Times New Roman"/>
          <w:color w:val="auto"/>
          <w:highlight w:val="none"/>
        </w:rPr>
      </w:pPr>
    </w:p>
    <w:p>
      <w:pPr>
        <w:jc w:val="left"/>
        <w:rPr>
          <w:rFonts w:ascii="宋体" w:cs="Times New Roman"/>
          <w:color w:val="auto"/>
          <w:highlight w:val="none"/>
        </w:rPr>
      </w:pPr>
    </w:p>
    <w:p>
      <w:pPr>
        <w:jc w:val="left"/>
        <w:rPr>
          <w:rFonts w:ascii="宋体" w:cs="Times New Roman"/>
          <w:color w:val="auto"/>
          <w:highlight w:val="none"/>
        </w:rPr>
      </w:pPr>
    </w:p>
    <w:p>
      <w:pPr>
        <w:jc w:val="left"/>
        <w:rPr>
          <w:rFonts w:ascii="宋体" w:cs="Times New Roman"/>
          <w:color w:val="auto"/>
          <w:highlight w:val="none"/>
        </w:rPr>
      </w:pPr>
    </w:p>
    <w:p>
      <w:pPr>
        <w:spacing w:line="440" w:lineRule="exact"/>
        <w:ind w:right="420"/>
        <w:jc w:val="center"/>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投标人：（单位公章）</w:t>
      </w:r>
    </w:p>
    <w:p>
      <w:pPr>
        <w:spacing w:line="440" w:lineRule="exact"/>
        <w:ind w:right="420"/>
        <w:jc w:val="center"/>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法定代表人或其委托代理人：（签字）</w:t>
      </w: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spacing w:line="440" w:lineRule="exact"/>
        <w:jc w:val="right"/>
        <w:rPr>
          <w:rFonts w:ascii="宋体" w:cs="Times New Roman"/>
          <w:color w:val="auto"/>
          <w:highlight w:val="none"/>
        </w:rPr>
      </w:pPr>
    </w:p>
    <w:p>
      <w:pPr>
        <w:pStyle w:val="4"/>
        <w:widowControl/>
        <w:spacing w:line="400" w:lineRule="exact"/>
        <w:ind w:firstLine="1687" w:firstLineChars="600"/>
        <w:jc w:val="both"/>
        <w:rPr>
          <w:rFonts w:ascii="宋体" w:cs="Times New Roman"/>
          <w:color w:val="auto"/>
          <w:sz w:val="28"/>
          <w:szCs w:val="28"/>
          <w:highlight w:val="none"/>
        </w:rPr>
      </w:pPr>
    </w:p>
    <w:p>
      <w:pPr>
        <w:pStyle w:val="4"/>
        <w:widowControl/>
        <w:spacing w:line="400" w:lineRule="exact"/>
        <w:rPr>
          <w:rFonts w:ascii="宋体" w:cs="Times New Roman"/>
          <w:color w:val="auto"/>
          <w:sz w:val="28"/>
          <w:szCs w:val="28"/>
          <w:highlight w:val="none"/>
        </w:rPr>
      </w:pPr>
      <w:bookmarkStart w:id="140" w:name="_Toc126"/>
      <w:r>
        <w:rPr>
          <w:rFonts w:hint="eastAsia" w:ascii="宋体" w:hAnsi="宋体" w:cs="宋体"/>
          <w:color w:val="auto"/>
          <w:sz w:val="28"/>
          <w:szCs w:val="28"/>
          <w:highlight w:val="none"/>
        </w:rPr>
        <w:t>十二、招标文件要求或投标人认为需要提供的其他资料</w:t>
      </w:r>
      <w:bookmarkEnd w:id="130"/>
      <w:bookmarkEnd w:id="140"/>
    </w:p>
    <w:p>
      <w:pPr>
        <w:rPr>
          <w:rFonts w:cs="Times New Roman"/>
          <w:color w:val="auto"/>
          <w:highlight w:val="none"/>
        </w:rPr>
      </w:pPr>
    </w:p>
    <w:p>
      <w:pPr>
        <w:spacing w:line="440" w:lineRule="exact"/>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tabs>
          <w:tab w:val="left" w:pos="2895"/>
        </w:tabs>
        <w:rPr>
          <w:rFonts w:ascii="宋体" w:cs="Times New Roman"/>
          <w:color w:val="auto"/>
          <w:highlight w:val="none"/>
        </w:rPr>
      </w:pPr>
      <w:r>
        <w:rPr>
          <w:rFonts w:ascii="宋体" w:cs="Times New Roman"/>
          <w:color w:val="auto"/>
          <w:highlight w:val="none"/>
        </w:rPr>
        <w:tab/>
      </w:r>
    </w:p>
    <w:p>
      <w:pPr>
        <w:spacing w:line="440" w:lineRule="exact"/>
        <w:jc w:val="center"/>
        <w:rPr>
          <w:rFonts w:ascii="宋体" w:cs="Times New Roman"/>
          <w:b/>
          <w:bCs/>
          <w:color w:val="auto"/>
          <w:spacing w:val="6"/>
          <w:sz w:val="24"/>
          <w:szCs w:val="24"/>
          <w:highlight w:val="none"/>
        </w:rPr>
      </w:pPr>
    </w:p>
    <w:p>
      <w:pPr>
        <w:pStyle w:val="4"/>
        <w:widowControl/>
        <w:spacing w:line="400" w:lineRule="exact"/>
        <w:rPr>
          <w:rFonts w:ascii="宋体" w:cs="Times New Roman"/>
          <w:color w:val="auto"/>
          <w:sz w:val="28"/>
          <w:szCs w:val="28"/>
          <w:highlight w:val="none"/>
        </w:rPr>
      </w:pPr>
      <w:bookmarkStart w:id="141" w:name="_Toc28996"/>
      <w:r>
        <w:rPr>
          <w:rFonts w:hint="eastAsia" w:ascii="宋体" w:hAnsi="宋体" w:cs="宋体"/>
          <w:color w:val="auto"/>
          <w:sz w:val="28"/>
          <w:szCs w:val="28"/>
          <w:highlight w:val="none"/>
        </w:rPr>
        <w:t>十三、中小企业声明函</w:t>
      </w:r>
      <w:bookmarkEnd w:id="141"/>
    </w:p>
    <w:p>
      <w:pPr>
        <w:pStyle w:val="4"/>
        <w:widowControl/>
        <w:spacing w:line="400" w:lineRule="exact"/>
        <w:rPr>
          <w:rFonts w:ascii="宋体" w:cs="Times New Roman"/>
          <w:color w:val="auto"/>
          <w:sz w:val="28"/>
          <w:szCs w:val="28"/>
          <w:highlight w:val="none"/>
        </w:rPr>
      </w:pPr>
    </w:p>
    <w:p>
      <w:pPr>
        <w:pStyle w:val="4"/>
        <w:widowControl/>
        <w:spacing w:line="400" w:lineRule="exact"/>
        <w:jc w:val="left"/>
        <w:rPr>
          <w:rFonts w:ascii="宋体" w:cs="Times New Roman"/>
          <w:b w:val="0"/>
          <w:bCs w:val="0"/>
          <w:color w:val="auto"/>
          <w:kern w:val="2"/>
          <w:sz w:val="21"/>
          <w:szCs w:val="21"/>
          <w:highlight w:val="none"/>
        </w:rPr>
      </w:pPr>
      <w:r>
        <w:rPr>
          <w:rFonts w:ascii="宋体" w:hAnsi="宋体" w:cs="宋体"/>
          <w:b w:val="0"/>
          <w:bCs w:val="0"/>
          <w:color w:val="auto"/>
          <w:kern w:val="2"/>
          <w:sz w:val="21"/>
          <w:szCs w:val="21"/>
          <w:highlight w:val="none"/>
        </w:rPr>
        <w:t xml:space="preserve">    </w:t>
      </w:r>
      <w:bookmarkStart w:id="142" w:name="_Toc3459"/>
      <w:bookmarkStart w:id="143" w:name="_Toc16593"/>
      <w:bookmarkStart w:id="144" w:name="_Toc16601559"/>
      <w:r>
        <w:rPr>
          <w:rFonts w:hint="eastAsia" w:ascii="宋体" w:hAnsi="宋体" w:cs="宋体"/>
          <w:b w:val="0"/>
          <w:bCs w:val="0"/>
          <w:color w:val="auto"/>
          <w:kern w:val="2"/>
          <w:sz w:val="21"/>
          <w:szCs w:val="21"/>
          <w:highlight w:val="none"/>
        </w:rPr>
        <w:t>本公司郑重声明，根据《政府采购促进中小企业发展暂行办法》（财库</w:t>
      </w:r>
      <w:r>
        <w:rPr>
          <w:rFonts w:ascii="宋体" w:hAnsi="宋体" w:cs="宋体"/>
          <w:b w:val="0"/>
          <w:bCs w:val="0"/>
          <w:color w:val="auto"/>
          <w:kern w:val="2"/>
          <w:sz w:val="21"/>
          <w:szCs w:val="21"/>
          <w:highlight w:val="none"/>
        </w:rPr>
        <w:t>[2011]181</w:t>
      </w:r>
      <w:r>
        <w:rPr>
          <w:rFonts w:hint="eastAsia" w:ascii="宋体" w:hAnsi="宋体" w:cs="宋体"/>
          <w:b w:val="0"/>
          <w:bCs w:val="0"/>
          <w:color w:val="auto"/>
          <w:kern w:val="2"/>
          <w:sz w:val="21"/>
          <w:szCs w:val="21"/>
          <w:highlight w:val="none"/>
        </w:rPr>
        <w:t>号）的规定，本公司为</w:t>
      </w:r>
      <w:bookmarkStart w:id="145" w:name="OLE_LINK2"/>
      <w:bookmarkStart w:id="146" w:name="OLE_LINK5"/>
      <w:r>
        <w:rPr>
          <w:rFonts w:ascii="宋体" w:hAnsi="宋体" w:cs="宋体"/>
          <w:b w:val="0"/>
          <w:bCs w:val="0"/>
          <w:color w:val="auto"/>
          <w:kern w:val="2"/>
          <w:sz w:val="21"/>
          <w:szCs w:val="21"/>
          <w:highlight w:val="none"/>
        </w:rPr>
        <w:t>______</w:t>
      </w:r>
      <w:r>
        <w:rPr>
          <w:rFonts w:hint="eastAsia" w:ascii="宋体" w:hAnsi="宋体" w:cs="宋体"/>
          <w:b w:val="0"/>
          <w:bCs w:val="0"/>
          <w:color w:val="auto"/>
          <w:kern w:val="2"/>
          <w:sz w:val="21"/>
          <w:szCs w:val="21"/>
          <w:highlight w:val="none"/>
        </w:rPr>
        <w:t>（请填写：中型、小型、微型）企业</w:t>
      </w:r>
      <w:bookmarkEnd w:id="145"/>
      <w:bookmarkEnd w:id="146"/>
      <w:r>
        <w:rPr>
          <w:rFonts w:hint="eastAsia" w:ascii="宋体" w:hAnsi="宋体" w:cs="宋体"/>
          <w:b w:val="0"/>
          <w:bCs w:val="0"/>
          <w:color w:val="auto"/>
          <w:kern w:val="2"/>
          <w:sz w:val="21"/>
          <w:szCs w:val="21"/>
          <w:highlight w:val="none"/>
        </w:rPr>
        <w:t>。即，本公司同时满足以下条件：</w:t>
      </w:r>
      <w:bookmarkEnd w:id="142"/>
      <w:bookmarkEnd w:id="143"/>
      <w:bookmarkEnd w:id="144"/>
    </w:p>
    <w:p>
      <w:pPr>
        <w:spacing w:line="440" w:lineRule="exact"/>
        <w:ind w:firstLine="420" w:firstLineChars="200"/>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根据《工业和信息化部、国家统计局、国家发展和改革委员会、财政部关于印发中小企业划型标准规定的通知》（工信部联企业</w:t>
      </w:r>
      <w:r>
        <w:rPr>
          <w:rFonts w:ascii="宋体" w:hAnsi="宋体" w:cs="宋体"/>
          <w:color w:val="auto"/>
          <w:highlight w:val="none"/>
        </w:rPr>
        <w:t>[2011]300</w:t>
      </w:r>
      <w:r>
        <w:rPr>
          <w:rFonts w:hint="eastAsia" w:ascii="宋体" w:hAnsi="宋体" w:cs="宋体"/>
          <w:color w:val="auto"/>
          <w:highlight w:val="none"/>
        </w:rPr>
        <w:t>号）规定的划分标准，本公司为</w:t>
      </w:r>
      <w:r>
        <w:rPr>
          <w:rFonts w:ascii="宋体" w:hAnsi="宋体" w:cs="宋体"/>
          <w:color w:val="auto"/>
          <w:highlight w:val="none"/>
        </w:rPr>
        <w:t>______</w:t>
      </w:r>
      <w:r>
        <w:rPr>
          <w:rFonts w:hint="eastAsia" w:ascii="宋体" w:hAnsi="宋体" w:cs="宋体"/>
          <w:color w:val="auto"/>
          <w:highlight w:val="none"/>
        </w:rPr>
        <w:t>（请填写：中型、小型、微型）企业。</w:t>
      </w:r>
    </w:p>
    <w:p>
      <w:pPr>
        <w:spacing w:line="440" w:lineRule="exact"/>
        <w:ind w:firstLine="420" w:firstLineChars="20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本公司参加</w:t>
      </w:r>
      <w:r>
        <w:rPr>
          <w:rFonts w:ascii="宋体" w:hAnsi="宋体" w:cs="宋体"/>
          <w:color w:val="auto"/>
          <w:highlight w:val="none"/>
        </w:rPr>
        <w:t>______</w:t>
      </w:r>
      <w:r>
        <w:rPr>
          <w:rFonts w:hint="eastAsia" w:ascii="宋体" w:hAnsi="宋体" w:cs="宋体"/>
          <w:color w:val="auto"/>
          <w:highlight w:val="none"/>
        </w:rPr>
        <w:t>单位的</w:t>
      </w:r>
      <w:r>
        <w:rPr>
          <w:rFonts w:ascii="宋体" w:hAnsi="宋体" w:cs="宋体"/>
          <w:color w:val="auto"/>
          <w:highlight w:val="none"/>
        </w:rPr>
        <w:t>______</w:t>
      </w:r>
      <w:r>
        <w:rPr>
          <w:rFonts w:hint="eastAsia" w:ascii="宋体" w:hAnsi="宋体" w:cs="宋体"/>
          <w:color w:val="auto"/>
          <w:highlight w:val="none"/>
        </w:rPr>
        <w:t>项目采购活动提供本企业制造的货物，由本企业承担工程、提供服务，或者提供其他</w:t>
      </w:r>
      <w:r>
        <w:rPr>
          <w:rFonts w:ascii="宋体" w:hAnsi="宋体" w:cs="宋体"/>
          <w:color w:val="auto"/>
          <w:highlight w:val="none"/>
        </w:rPr>
        <w:t>______</w:t>
      </w:r>
      <w:r>
        <w:rPr>
          <w:rFonts w:hint="eastAsia" w:ascii="宋体" w:hAnsi="宋体" w:cs="宋体"/>
          <w:color w:val="auto"/>
          <w:highlight w:val="none"/>
        </w:rPr>
        <w:t>（请填写：中型、小型、微型）企业制造的货物。本条所称货物不包括使用大型企业注册商标的货物。</w:t>
      </w:r>
    </w:p>
    <w:p>
      <w:pPr>
        <w:spacing w:line="440" w:lineRule="exact"/>
        <w:ind w:firstLine="420" w:firstLineChars="200"/>
        <w:rPr>
          <w:rFonts w:ascii="宋体" w:cs="Times New Roman"/>
          <w:color w:val="auto"/>
          <w:highlight w:val="none"/>
        </w:rPr>
      </w:pPr>
      <w:r>
        <w:rPr>
          <w:rFonts w:hint="eastAsia" w:ascii="宋体" w:hAnsi="宋体" w:cs="宋体"/>
          <w:color w:val="auto"/>
          <w:highlight w:val="none"/>
        </w:rPr>
        <w:t>本公司对上述声明的真实性负责。如有虚假，将依法承担相应责任。</w:t>
      </w:r>
    </w:p>
    <w:p>
      <w:pPr>
        <w:spacing w:line="440" w:lineRule="exact"/>
        <w:ind w:firstLine="420" w:firstLineChars="200"/>
        <w:rPr>
          <w:rFonts w:ascii="宋体" w:cs="Times New Roman"/>
          <w:color w:val="auto"/>
          <w:highlight w:val="none"/>
        </w:rPr>
      </w:pPr>
    </w:p>
    <w:p>
      <w:pPr>
        <w:spacing w:line="440" w:lineRule="exact"/>
        <w:ind w:firstLine="420" w:firstLineChars="200"/>
        <w:rPr>
          <w:rFonts w:ascii="宋体" w:cs="Times New Roman"/>
          <w:color w:val="auto"/>
          <w:highlight w:val="none"/>
        </w:rPr>
      </w:pPr>
    </w:p>
    <w:p>
      <w:pPr>
        <w:tabs>
          <w:tab w:val="left" w:pos="4860"/>
        </w:tabs>
        <w:spacing w:line="440" w:lineRule="exact"/>
        <w:ind w:right="1560"/>
        <w:jc w:val="left"/>
        <w:rPr>
          <w:rFonts w:ascii="宋体" w:cs="Times New Roman"/>
          <w:color w:val="auto"/>
          <w:highlight w:val="none"/>
        </w:rPr>
      </w:pPr>
      <w:r>
        <w:rPr>
          <w:rFonts w:hint="eastAsia" w:ascii="宋体" w:hAnsi="宋体" w:cs="宋体"/>
          <w:color w:val="auto"/>
          <w:highlight w:val="none"/>
        </w:rPr>
        <w:t>企业名称（盖章）：</w:t>
      </w:r>
      <w:r>
        <w:rPr>
          <w:rFonts w:ascii="宋体" w:hAnsi="宋体" w:cs="宋体"/>
          <w:color w:val="auto"/>
          <w:highlight w:val="none"/>
        </w:rPr>
        <w:t xml:space="preserve"> </w:t>
      </w:r>
    </w:p>
    <w:p>
      <w:pPr>
        <w:tabs>
          <w:tab w:val="left" w:pos="4860"/>
        </w:tabs>
        <w:spacing w:line="440" w:lineRule="exact"/>
        <w:ind w:right="1560"/>
        <w:jc w:val="left"/>
        <w:rPr>
          <w:rFonts w:ascii="宋体" w:cs="Times New Roman"/>
          <w:color w:val="auto"/>
          <w:highlight w:val="none"/>
        </w:rPr>
      </w:pPr>
    </w:p>
    <w:p>
      <w:pPr>
        <w:tabs>
          <w:tab w:val="left" w:pos="4860"/>
        </w:tabs>
        <w:spacing w:line="440" w:lineRule="exact"/>
        <w:ind w:right="1560"/>
        <w:jc w:val="left"/>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pacing w:line="440" w:lineRule="exact"/>
        <w:outlineLvl w:val="1"/>
        <w:rPr>
          <w:rFonts w:ascii="宋体" w:cs="Times New Roman"/>
          <w:color w:val="auto"/>
          <w:spacing w:val="-20"/>
          <w:highlight w:val="none"/>
        </w:rPr>
      </w:pPr>
    </w:p>
    <w:p>
      <w:pPr>
        <w:rPr>
          <w:rFonts w:ascii="宋体" w:cs="Times New Roman"/>
          <w:color w:val="auto"/>
          <w:highlight w:val="none"/>
        </w:rPr>
      </w:pPr>
    </w:p>
    <w:p>
      <w:pPr>
        <w:spacing w:line="360" w:lineRule="exact"/>
        <w:rPr>
          <w:rFonts w:cs="Times New Roman"/>
          <w:color w:val="auto"/>
          <w:highlight w:val="none"/>
        </w:rPr>
      </w:pPr>
      <w:r>
        <w:rPr>
          <w:rFonts w:hint="eastAsia" w:cs="宋体"/>
          <w:color w:val="auto"/>
          <w:highlight w:val="none"/>
        </w:rPr>
        <w:t>注：非中小企业不用提供此声明函</w:t>
      </w:r>
    </w:p>
    <w:p>
      <w:pPr>
        <w:tabs>
          <w:tab w:val="left" w:pos="2895"/>
        </w:tabs>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p>
      <w:pPr>
        <w:rPr>
          <w:rFonts w:ascii="宋体" w:cs="Times New Roman"/>
          <w:color w:val="auto"/>
          <w:highlight w:val="none"/>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p>
    <w:pPr>
      <w:pStyle w:val="1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jc w:val="both"/>
      <w:rPr>
        <w:rFonts w:cs="Times New Roman"/>
      </w:rPr>
    </w:pPr>
  </w:p>
  <w:p>
    <w:pPr>
      <w:pStyle w:val="1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fldChar w:fldCharType="begin"/>
    </w:r>
    <w:r>
      <w:instrText xml:space="preserve">PAGE   \* MERGEFORMAT</w:instrText>
    </w:r>
    <w:r>
      <w:fldChar w:fldCharType="separate"/>
    </w:r>
    <w:r>
      <w:rPr>
        <w:lang w:val="zh-CN"/>
      </w:rPr>
      <w:t>29</w:t>
    </w:r>
    <w:r>
      <w:rPr>
        <w:lang w:val="zh-CN"/>
      </w:rPr>
      <w:fldChar w:fldCharType="end"/>
    </w:r>
  </w:p>
  <w:p>
    <w:pPr>
      <w:pStyle w:val="14"/>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rPr>
        <w:rFonts w:cs="Times New Roman"/>
      </w:rPr>
    </w:pPr>
    <w:r>
      <w:pict>
        <v:shape id="_x0000_s4097" o:spid="_x0000_s4097" o:spt="202" type="#_x0000_t202" style="position:absolute;left:0pt;margin-top:0pt;height:11pt;width:8.9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35</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80" w:lineRule="exact"/>
      <w:rPr>
        <w:rFonts w:ascii="宋体" w:cs="Times New Roman"/>
        <w:b/>
        <w:b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7EF1A"/>
    <w:multiLevelType w:val="singleLevel"/>
    <w:tmpl w:val="A777EF1A"/>
    <w:lvl w:ilvl="0" w:tentative="0">
      <w:start w:val="4"/>
      <w:numFmt w:val="chineseCounting"/>
      <w:suff w:val="space"/>
      <w:lvlText w:val="第%1章"/>
      <w:lvlJc w:val="left"/>
      <w:rPr>
        <w:rFonts w:hint="eastAsia"/>
      </w:rPr>
    </w:lvl>
  </w:abstractNum>
  <w:abstractNum w:abstractNumId="1">
    <w:nsid w:val="DB49A064"/>
    <w:multiLevelType w:val="singleLevel"/>
    <w:tmpl w:val="DB49A064"/>
    <w:lvl w:ilvl="0" w:tentative="0">
      <w:start w:val="1"/>
      <w:numFmt w:val="chineseCounting"/>
      <w:suff w:val="nothing"/>
      <w:lvlText w:val="%1、"/>
      <w:lvlJc w:val="left"/>
      <w:pPr>
        <w:ind w:left="3395"/>
      </w:pPr>
      <w:rPr>
        <w:rFonts w:hint="eastAsia"/>
      </w:rPr>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000000B"/>
    <w:multiLevelType w:val="singleLevel"/>
    <w:tmpl w:val="0000000B"/>
    <w:lvl w:ilvl="0" w:tentative="0">
      <w:start w:val="2"/>
      <w:numFmt w:val="decimal"/>
      <w:suff w:val="nothing"/>
      <w:lvlText w:val="（%1）"/>
      <w:lvlJc w:val="left"/>
    </w:lvl>
  </w:abstractNum>
  <w:abstractNum w:abstractNumId="4">
    <w:nsid w:val="0000000D"/>
    <w:multiLevelType w:val="multilevel"/>
    <w:tmpl w:val="0000000D"/>
    <w:lvl w:ilvl="0" w:tentative="0">
      <w:start w:val="2"/>
      <w:numFmt w:val="decimal"/>
      <w:suff w:val="nothing"/>
      <w:lvlText w:val="%1."/>
      <w:lvlJc w:val="left"/>
    </w:lvl>
    <w:lvl w:ilvl="1" w:tentative="0">
      <w:start w:val="1"/>
      <w:numFmt w:val="decimal"/>
      <w:isLgl/>
      <w:lvlText w:val="%1.%2"/>
      <w:lvlJc w:val="left"/>
      <w:pPr>
        <w:tabs>
          <w:tab w:val="left" w:pos="1200"/>
        </w:tabs>
        <w:ind w:left="1200" w:hanging="720"/>
      </w:pPr>
      <w:rPr>
        <w:rFonts w:hint="default"/>
      </w:rPr>
    </w:lvl>
    <w:lvl w:ilvl="2" w:tentative="0">
      <w:start w:val="1"/>
      <w:numFmt w:val="decimal"/>
      <w:isLgl/>
      <w:lvlText w:val="%1.%2.%3"/>
      <w:lvlJc w:val="left"/>
      <w:pPr>
        <w:tabs>
          <w:tab w:val="left" w:pos="1680"/>
        </w:tabs>
        <w:ind w:left="1680" w:hanging="720"/>
      </w:pPr>
      <w:rPr>
        <w:rFonts w:hint="default"/>
      </w:rPr>
    </w:lvl>
    <w:lvl w:ilvl="3" w:tentative="0">
      <w:start w:val="1"/>
      <w:numFmt w:val="decimal"/>
      <w:isLgl/>
      <w:lvlText w:val="%1.%2.%3.%4"/>
      <w:lvlJc w:val="left"/>
      <w:pPr>
        <w:tabs>
          <w:tab w:val="left" w:pos="2520"/>
        </w:tabs>
        <w:ind w:left="2520" w:hanging="1080"/>
      </w:pPr>
      <w:rPr>
        <w:rFonts w:hint="default"/>
      </w:rPr>
    </w:lvl>
    <w:lvl w:ilvl="4" w:tentative="0">
      <w:start w:val="1"/>
      <w:numFmt w:val="decimal"/>
      <w:isLgl/>
      <w:lvlText w:val="%1.%2.%3.%4.%5"/>
      <w:lvlJc w:val="left"/>
      <w:pPr>
        <w:tabs>
          <w:tab w:val="left" w:pos="3360"/>
        </w:tabs>
        <w:ind w:left="3360" w:hanging="1440"/>
      </w:pPr>
      <w:rPr>
        <w:rFonts w:hint="default"/>
      </w:rPr>
    </w:lvl>
    <w:lvl w:ilvl="5" w:tentative="0">
      <w:start w:val="1"/>
      <w:numFmt w:val="decimal"/>
      <w:isLgl/>
      <w:lvlText w:val="%1.%2.%3.%4.%5.%6"/>
      <w:lvlJc w:val="left"/>
      <w:pPr>
        <w:tabs>
          <w:tab w:val="left" w:pos="3840"/>
        </w:tabs>
        <w:ind w:left="3840" w:hanging="1440"/>
      </w:pPr>
      <w:rPr>
        <w:rFonts w:hint="default"/>
      </w:rPr>
    </w:lvl>
    <w:lvl w:ilvl="6" w:tentative="0">
      <w:start w:val="1"/>
      <w:numFmt w:val="decimal"/>
      <w:isLgl/>
      <w:lvlText w:val="%1.%2.%3.%4.%5.%6.%7"/>
      <w:lvlJc w:val="left"/>
      <w:pPr>
        <w:tabs>
          <w:tab w:val="left" w:pos="4680"/>
        </w:tabs>
        <w:ind w:left="4680" w:hanging="1800"/>
      </w:pPr>
      <w:rPr>
        <w:rFonts w:hint="default"/>
      </w:rPr>
    </w:lvl>
    <w:lvl w:ilvl="7" w:tentative="0">
      <w:start w:val="1"/>
      <w:numFmt w:val="decimal"/>
      <w:isLgl/>
      <w:lvlText w:val="%1.%2.%3.%4.%5.%6.%7.%8"/>
      <w:lvlJc w:val="left"/>
      <w:pPr>
        <w:tabs>
          <w:tab w:val="left" w:pos="5520"/>
        </w:tabs>
        <w:ind w:left="5520" w:hanging="2160"/>
      </w:pPr>
      <w:rPr>
        <w:rFonts w:hint="default"/>
      </w:rPr>
    </w:lvl>
    <w:lvl w:ilvl="8" w:tentative="0">
      <w:start w:val="1"/>
      <w:numFmt w:val="decimal"/>
      <w:isLgl/>
      <w:lvlText w:val="%1.%2.%3.%4.%5.%6.%7.%8.%9"/>
      <w:lvlJc w:val="left"/>
      <w:pPr>
        <w:tabs>
          <w:tab w:val="left" w:pos="6000"/>
        </w:tabs>
        <w:ind w:left="6000" w:hanging="2160"/>
      </w:pPr>
      <w:rPr>
        <w:rFonts w:hint="default"/>
      </w:rPr>
    </w:lvl>
  </w:abstractNum>
  <w:abstractNum w:abstractNumId="5">
    <w:nsid w:val="00000012"/>
    <w:multiLevelType w:val="singleLevel"/>
    <w:tmpl w:val="00000012"/>
    <w:lvl w:ilvl="0" w:tentative="0">
      <w:start w:val="3"/>
      <w:numFmt w:val="decimal"/>
      <w:suff w:val="nothing"/>
      <w:lvlText w:val="%1."/>
      <w:lvlJc w:val="left"/>
    </w:lvl>
  </w:abstractNum>
  <w:abstractNum w:abstractNumId="6">
    <w:nsid w:val="58479F8A"/>
    <w:multiLevelType w:val="singleLevel"/>
    <w:tmpl w:val="58479F8A"/>
    <w:lvl w:ilvl="0" w:tentative="0">
      <w:start w:val="1"/>
      <w:numFmt w:val="decimal"/>
      <w:suff w:val="nothing"/>
      <w:lvlText w:val="（%1）"/>
      <w:lvlJc w:val="left"/>
    </w:lvl>
  </w:abstractNum>
  <w:abstractNum w:abstractNumId="7">
    <w:nsid w:val="5A29F58E"/>
    <w:multiLevelType w:val="singleLevel"/>
    <w:tmpl w:val="5A29F58E"/>
    <w:lvl w:ilvl="0" w:tentative="0">
      <w:start w:val="1"/>
      <w:numFmt w:val="decimal"/>
      <w:suff w:val="nothing"/>
      <w:lvlText w:val="%1、"/>
      <w:lvlJc w:val="left"/>
    </w:lvl>
  </w:abstractNum>
  <w:abstractNum w:abstractNumId="8">
    <w:nsid w:val="5A3C617E"/>
    <w:multiLevelType w:val="singleLevel"/>
    <w:tmpl w:val="5A3C617E"/>
    <w:lvl w:ilvl="0" w:tentative="0">
      <w:start w:val="9"/>
      <w:numFmt w:val="decimal"/>
      <w:suff w:val="space"/>
      <w:lvlText w:val="%1."/>
      <w:lvlJc w:val="left"/>
    </w:lvl>
  </w:abstractNum>
  <w:abstractNum w:abstractNumId="9">
    <w:nsid w:val="5A5E4FDB"/>
    <w:multiLevelType w:val="singleLevel"/>
    <w:tmpl w:val="5A5E4FDB"/>
    <w:lvl w:ilvl="0" w:tentative="0">
      <w:start w:val="7"/>
      <w:numFmt w:val="chineseCounting"/>
      <w:suff w:val="nothing"/>
      <w:lvlText w:val="%1、"/>
      <w:lvlJc w:val="left"/>
      <w:rPr>
        <w:rFonts w:hint="eastAsia"/>
      </w:rPr>
    </w:lvl>
  </w:abstractNum>
  <w:abstractNum w:abstractNumId="10">
    <w:nsid w:val="7137204C"/>
    <w:multiLevelType w:val="singleLevel"/>
    <w:tmpl w:val="7137204C"/>
    <w:lvl w:ilvl="0" w:tentative="0">
      <w:start w:val="1"/>
      <w:numFmt w:val="chineseCounting"/>
      <w:suff w:val="nothing"/>
      <w:lvlText w:val="%1、"/>
      <w:lvlJc w:val="left"/>
      <w:rPr>
        <w:rFonts w:hint="eastAsia"/>
      </w:rPr>
    </w:lvl>
  </w:abstractNum>
  <w:num w:numId="1">
    <w:abstractNumId w:val="7"/>
  </w:num>
  <w:num w:numId="2">
    <w:abstractNumId w:val="6"/>
  </w:num>
  <w:num w:numId="3">
    <w:abstractNumId w:val="2"/>
  </w:num>
  <w:num w:numId="4">
    <w:abstractNumId w:val="4"/>
  </w:num>
  <w:num w:numId="5">
    <w:abstractNumId w:val="3"/>
  </w:num>
  <w:num w:numId="6">
    <w:abstractNumId w:val="5"/>
  </w:num>
  <w:num w:numId="7">
    <w:abstractNumId w:val="8"/>
  </w:num>
  <w:num w:numId="8">
    <w:abstractNumId w:val="0"/>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E27"/>
    <w:rsid w:val="00000131"/>
    <w:rsid w:val="000035BA"/>
    <w:rsid w:val="0000491F"/>
    <w:rsid w:val="0001581B"/>
    <w:rsid w:val="00021D7B"/>
    <w:rsid w:val="000338CC"/>
    <w:rsid w:val="00041923"/>
    <w:rsid w:val="000508B1"/>
    <w:rsid w:val="00055144"/>
    <w:rsid w:val="00055211"/>
    <w:rsid w:val="00076962"/>
    <w:rsid w:val="000774CD"/>
    <w:rsid w:val="00080804"/>
    <w:rsid w:val="00080BFC"/>
    <w:rsid w:val="00082D36"/>
    <w:rsid w:val="00090F22"/>
    <w:rsid w:val="0009391C"/>
    <w:rsid w:val="00095803"/>
    <w:rsid w:val="00097180"/>
    <w:rsid w:val="000A278F"/>
    <w:rsid w:val="000A6EBC"/>
    <w:rsid w:val="000A711A"/>
    <w:rsid w:val="000B3AD0"/>
    <w:rsid w:val="000C2E32"/>
    <w:rsid w:val="000C4138"/>
    <w:rsid w:val="000D1800"/>
    <w:rsid w:val="000D28D9"/>
    <w:rsid w:val="000D3418"/>
    <w:rsid w:val="000D6FA2"/>
    <w:rsid w:val="000D7EAC"/>
    <w:rsid w:val="00121EC6"/>
    <w:rsid w:val="00124D78"/>
    <w:rsid w:val="00125E32"/>
    <w:rsid w:val="001300D1"/>
    <w:rsid w:val="001301FD"/>
    <w:rsid w:val="0013331A"/>
    <w:rsid w:val="001374E3"/>
    <w:rsid w:val="00137637"/>
    <w:rsid w:val="00160796"/>
    <w:rsid w:val="00167210"/>
    <w:rsid w:val="00167EEF"/>
    <w:rsid w:val="001702AF"/>
    <w:rsid w:val="00170C9A"/>
    <w:rsid w:val="0017472C"/>
    <w:rsid w:val="001750D9"/>
    <w:rsid w:val="00190FD3"/>
    <w:rsid w:val="00192607"/>
    <w:rsid w:val="001939CE"/>
    <w:rsid w:val="001A1D5F"/>
    <w:rsid w:val="001B0430"/>
    <w:rsid w:val="001B2934"/>
    <w:rsid w:val="001C0736"/>
    <w:rsid w:val="001C145A"/>
    <w:rsid w:val="001C18E4"/>
    <w:rsid w:val="001C533A"/>
    <w:rsid w:val="001D2499"/>
    <w:rsid w:val="001D2A87"/>
    <w:rsid w:val="001D5D02"/>
    <w:rsid w:val="001F4227"/>
    <w:rsid w:val="001F5D0D"/>
    <w:rsid w:val="00203A79"/>
    <w:rsid w:val="00211C3C"/>
    <w:rsid w:val="00212B1A"/>
    <w:rsid w:val="0021384C"/>
    <w:rsid w:val="00214E27"/>
    <w:rsid w:val="0024504D"/>
    <w:rsid w:val="002618D5"/>
    <w:rsid w:val="00271C2C"/>
    <w:rsid w:val="002749A2"/>
    <w:rsid w:val="0027785D"/>
    <w:rsid w:val="002816A4"/>
    <w:rsid w:val="002848A1"/>
    <w:rsid w:val="002901B5"/>
    <w:rsid w:val="002C1625"/>
    <w:rsid w:val="002C1DE1"/>
    <w:rsid w:val="002C3B66"/>
    <w:rsid w:val="002D1493"/>
    <w:rsid w:val="002D4510"/>
    <w:rsid w:val="002E195D"/>
    <w:rsid w:val="002E1F07"/>
    <w:rsid w:val="002E47F6"/>
    <w:rsid w:val="002F365A"/>
    <w:rsid w:val="002F5BBC"/>
    <w:rsid w:val="00304A41"/>
    <w:rsid w:val="003109BE"/>
    <w:rsid w:val="00316572"/>
    <w:rsid w:val="00320088"/>
    <w:rsid w:val="00331D79"/>
    <w:rsid w:val="00340CB7"/>
    <w:rsid w:val="00346A43"/>
    <w:rsid w:val="003473BE"/>
    <w:rsid w:val="00351692"/>
    <w:rsid w:val="003521AD"/>
    <w:rsid w:val="003603A6"/>
    <w:rsid w:val="003660B2"/>
    <w:rsid w:val="00366516"/>
    <w:rsid w:val="00372148"/>
    <w:rsid w:val="00374718"/>
    <w:rsid w:val="00375CBC"/>
    <w:rsid w:val="003826D7"/>
    <w:rsid w:val="00392F27"/>
    <w:rsid w:val="003A7C8A"/>
    <w:rsid w:val="003B1523"/>
    <w:rsid w:val="003B24D0"/>
    <w:rsid w:val="003B5685"/>
    <w:rsid w:val="003C6E9B"/>
    <w:rsid w:val="003D4B9F"/>
    <w:rsid w:val="003E3AA7"/>
    <w:rsid w:val="0040367A"/>
    <w:rsid w:val="00410BB5"/>
    <w:rsid w:val="00421809"/>
    <w:rsid w:val="004226AB"/>
    <w:rsid w:val="00424976"/>
    <w:rsid w:val="0043316F"/>
    <w:rsid w:val="00435135"/>
    <w:rsid w:val="004434CD"/>
    <w:rsid w:val="004439F2"/>
    <w:rsid w:val="00445B1A"/>
    <w:rsid w:val="00461A38"/>
    <w:rsid w:val="00470977"/>
    <w:rsid w:val="00473F16"/>
    <w:rsid w:val="00476323"/>
    <w:rsid w:val="00477712"/>
    <w:rsid w:val="00480595"/>
    <w:rsid w:val="00480D5B"/>
    <w:rsid w:val="00487887"/>
    <w:rsid w:val="00494795"/>
    <w:rsid w:val="00496266"/>
    <w:rsid w:val="004968C1"/>
    <w:rsid w:val="004A025D"/>
    <w:rsid w:val="004A2A91"/>
    <w:rsid w:val="004A51FD"/>
    <w:rsid w:val="004A6668"/>
    <w:rsid w:val="004C12CE"/>
    <w:rsid w:val="004C1F69"/>
    <w:rsid w:val="004C52E7"/>
    <w:rsid w:val="004C6EE7"/>
    <w:rsid w:val="004D1366"/>
    <w:rsid w:val="004D514D"/>
    <w:rsid w:val="004D518A"/>
    <w:rsid w:val="004E7F00"/>
    <w:rsid w:val="004F2645"/>
    <w:rsid w:val="004F4645"/>
    <w:rsid w:val="004F7ACA"/>
    <w:rsid w:val="00500DEB"/>
    <w:rsid w:val="0051664A"/>
    <w:rsid w:val="00517375"/>
    <w:rsid w:val="00517F47"/>
    <w:rsid w:val="00521670"/>
    <w:rsid w:val="00526380"/>
    <w:rsid w:val="0052751B"/>
    <w:rsid w:val="0053315F"/>
    <w:rsid w:val="00534D6A"/>
    <w:rsid w:val="00544AD9"/>
    <w:rsid w:val="00547CED"/>
    <w:rsid w:val="005543E0"/>
    <w:rsid w:val="00554B90"/>
    <w:rsid w:val="00557AD1"/>
    <w:rsid w:val="005725A3"/>
    <w:rsid w:val="00573E7C"/>
    <w:rsid w:val="00576755"/>
    <w:rsid w:val="00580BC0"/>
    <w:rsid w:val="00583636"/>
    <w:rsid w:val="0058399B"/>
    <w:rsid w:val="00585EB4"/>
    <w:rsid w:val="00591652"/>
    <w:rsid w:val="00596059"/>
    <w:rsid w:val="00597614"/>
    <w:rsid w:val="005A4DC3"/>
    <w:rsid w:val="005A662E"/>
    <w:rsid w:val="005B1F7E"/>
    <w:rsid w:val="005B3C86"/>
    <w:rsid w:val="005B41BD"/>
    <w:rsid w:val="005C3F85"/>
    <w:rsid w:val="005C4236"/>
    <w:rsid w:val="005C4EA1"/>
    <w:rsid w:val="005C71C5"/>
    <w:rsid w:val="005D1271"/>
    <w:rsid w:val="005D4FB1"/>
    <w:rsid w:val="005E618D"/>
    <w:rsid w:val="005F3FED"/>
    <w:rsid w:val="005F7A2E"/>
    <w:rsid w:val="006051C3"/>
    <w:rsid w:val="00616D3E"/>
    <w:rsid w:val="00624FC1"/>
    <w:rsid w:val="006335E2"/>
    <w:rsid w:val="006346A9"/>
    <w:rsid w:val="00640187"/>
    <w:rsid w:val="00651568"/>
    <w:rsid w:val="0066109A"/>
    <w:rsid w:val="00666115"/>
    <w:rsid w:val="0066706B"/>
    <w:rsid w:val="00676498"/>
    <w:rsid w:val="00680397"/>
    <w:rsid w:val="00682303"/>
    <w:rsid w:val="0069583D"/>
    <w:rsid w:val="006A3B9A"/>
    <w:rsid w:val="006A7F8C"/>
    <w:rsid w:val="006B1095"/>
    <w:rsid w:val="006B5F64"/>
    <w:rsid w:val="006C0C49"/>
    <w:rsid w:val="006C1627"/>
    <w:rsid w:val="006C22E9"/>
    <w:rsid w:val="006D1136"/>
    <w:rsid w:val="006D5A3C"/>
    <w:rsid w:val="006E332F"/>
    <w:rsid w:val="006F2BCB"/>
    <w:rsid w:val="006F7764"/>
    <w:rsid w:val="00707ACB"/>
    <w:rsid w:val="00707F79"/>
    <w:rsid w:val="00713070"/>
    <w:rsid w:val="00714925"/>
    <w:rsid w:val="00725F48"/>
    <w:rsid w:val="00742256"/>
    <w:rsid w:val="007460B4"/>
    <w:rsid w:val="00752C2C"/>
    <w:rsid w:val="0075342B"/>
    <w:rsid w:val="00774FE3"/>
    <w:rsid w:val="00776AA3"/>
    <w:rsid w:val="00786F24"/>
    <w:rsid w:val="0079069A"/>
    <w:rsid w:val="00794D76"/>
    <w:rsid w:val="007A2E54"/>
    <w:rsid w:val="007A620D"/>
    <w:rsid w:val="007A69D4"/>
    <w:rsid w:val="007B2829"/>
    <w:rsid w:val="007E114D"/>
    <w:rsid w:val="007E50B0"/>
    <w:rsid w:val="007E6F8A"/>
    <w:rsid w:val="007F769C"/>
    <w:rsid w:val="008038B7"/>
    <w:rsid w:val="00803CF2"/>
    <w:rsid w:val="008202BB"/>
    <w:rsid w:val="008208EF"/>
    <w:rsid w:val="00824713"/>
    <w:rsid w:val="00830442"/>
    <w:rsid w:val="00831CC4"/>
    <w:rsid w:val="008417D6"/>
    <w:rsid w:val="0085080A"/>
    <w:rsid w:val="008520D4"/>
    <w:rsid w:val="00853FF0"/>
    <w:rsid w:val="00860277"/>
    <w:rsid w:val="0087207E"/>
    <w:rsid w:val="00872E22"/>
    <w:rsid w:val="00881D30"/>
    <w:rsid w:val="00885050"/>
    <w:rsid w:val="00886028"/>
    <w:rsid w:val="008868B5"/>
    <w:rsid w:val="00894CC2"/>
    <w:rsid w:val="00895171"/>
    <w:rsid w:val="008B23F8"/>
    <w:rsid w:val="008B63AC"/>
    <w:rsid w:val="008C2702"/>
    <w:rsid w:val="008C66F3"/>
    <w:rsid w:val="008D3231"/>
    <w:rsid w:val="008D3B00"/>
    <w:rsid w:val="008E42AB"/>
    <w:rsid w:val="008F50CD"/>
    <w:rsid w:val="008F5BAF"/>
    <w:rsid w:val="0091151B"/>
    <w:rsid w:val="009116F2"/>
    <w:rsid w:val="00917218"/>
    <w:rsid w:val="00924A88"/>
    <w:rsid w:val="00931444"/>
    <w:rsid w:val="00931B17"/>
    <w:rsid w:val="009410EF"/>
    <w:rsid w:val="00942D45"/>
    <w:rsid w:val="00954187"/>
    <w:rsid w:val="00955CA7"/>
    <w:rsid w:val="00960358"/>
    <w:rsid w:val="009660BD"/>
    <w:rsid w:val="009803D4"/>
    <w:rsid w:val="00980D04"/>
    <w:rsid w:val="0098360A"/>
    <w:rsid w:val="009923F0"/>
    <w:rsid w:val="00992803"/>
    <w:rsid w:val="00993323"/>
    <w:rsid w:val="009950BA"/>
    <w:rsid w:val="00997F5E"/>
    <w:rsid w:val="009A0941"/>
    <w:rsid w:val="009A2922"/>
    <w:rsid w:val="009B119E"/>
    <w:rsid w:val="009B2CAB"/>
    <w:rsid w:val="009C7BD9"/>
    <w:rsid w:val="009D3B91"/>
    <w:rsid w:val="009D3FBE"/>
    <w:rsid w:val="009D7FED"/>
    <w:rsid w:val="009E3CDE"/>
    <w:rsid w:val="009F3232"/>
    <w:rsid w:val="009F764F"/>
    <w:rsid w:val="00A067FE"/>
    <w:rsid w:val="00A069ED"/>
    <w:rsid w:val="00A12B81"/>
    <w:rsid w:val="00A154EF"/>
    <w:rsid w:val="00A231A5"/>
    <w:rsid w:val="00A30B14"/>
    <w:rsid w:val="00A33B4E"/>
    <w:rsid w:val="00A36388"/>
    <w:rsid w:val="00A41136"/>
    <w:rsid w:val="00A432B2"/>
    <w:rsid w:val="00A43749"/>
    <w:rsid w:val="00A43FBE"/>
    <w:rsid w:val="00A44C78"/>
    <w:rsid w:val="00A62DB7"/>
    <w:rsid w:val="00A64952"/>
    <w:rsid w:val="00A651F9"/>
    <w:rsid w:val="00A7116A"/>
    <w:rsid w:val="00A71770"/>
    <w:rsid w:val="00A71A12"/>
    <w:rsid w:val="00A7309B"/>
    <w:rsid w:val="00A76E1D"/>
    <w:rsid w:val="00A82339"/>
    <w:rsid w:val="00A83535"/>
    <w:rsid w:val="00A86B46"/>
    <w:rsid w:val="00AA0B2B"/>
    <w:rsid w:val="00AA0E8F"/>
    <w:rsid w:val="00AB2889"/>
    <w:rsid w:val="00AC094D"/>
    <w:rsid w:val="00AC17E7"/>
    <w:rsid w:val="00AC1F96"/>
    <w:rsid w:val="00AC23DE"/>
    <w:rsid w:val="00AD0AB5"/>
    <w:rsid w:val="00AD66A3"/>
    <w:rsid w:val="00AE0062"/>
    <w:rsid w:val="00AE0899"/>
    <w:rsid w:val="00AE59A0"/>
    <w:rsid w:val="00AF3E47"/>
    <w:rsid w:val="00B00BD7"/>
    <w:rsid w:val="00B05637"/>
    <w:rsid w:val="00B12604"/>
    <w:rsid w:val="00B152B1"/>
    <w:rsid w:val="00B216F4"/>
    <w:rsid w:val="00B231B3"/>
    <w:rsid w:val="00B25697"/>
    <w:rsid w:val="00B259E2"/>
    <w:rsid w:val="00B406B0"/>
    <w:rsid w:val="00B40DEC"/>
    <w:rsid w:val="00B45059"/>
    <w:rsid w:val="00B45E51"/>
    <w:rsid w:val="00B46DF3"/>
    <w:rsid w:val="00B50360"/>
    <w:rsid w:val="00B51A53"/>
    <w:rsid w:val="00B6597C"/>
    <w:rsid w:val="00B743CC"/>
    <w:rsid w:val="00B87CFB"/>
    <w:rsid w:val="00B911E5"/>
    <w:rsid w:val="00BA31EF"/>
    <w:rsid w:val="00BC0C38"/>
    <w:rsid w:val="00BC4347"/>
    <w:rsid w:val="00BD0315"/>
    <w:rsid w:val="00BD3ED2"/>
    <w:rsid w:val="00BD63AC"/>
    <w:rsid w:val="00BD66F9"/>
    <w:rsid w:val="00BE555F"/>
    <w:rsid w:val="00BE5A62"/>
    <w:rsid w:val="00BF1596"/>
    <w:rsid w:val="00BF3666"/>
    <w:rsid w:val="00BF3848"/>
    <w:rsid w:val="00C01724"/>
    <w:rsid w:val="00C04644"/>
    <w:rsid w:val="00C04FED"/>
    <w:rsid w:val="00C07E76"/>
    <w:rsid w:val="00C107E3"/>
    <w:rsid w:val="00C20D65"/>
    <w:rsid w:val="00C25200"/>
    <w:rsid w:val="00C32701"/>
    <w:rsid w:val="00C40067"/>
    <w:rsid w:val="00C45DE5"/>
    <w:rsid w:val="00C62F5D"/>
    <w:rsid w:val="00C742AC"/>
    <w:rsid w:val="00C76953"/>
    <w:rsid w:val="00C76AE3"/>
    <w:rsid w:val="00C77313"/>
    <w:rsid w:val="00C773D8"/>
    <w:rsid w:val="00C84DD2"/>
    <w:rsid w:val="00C90C5D"/>
    <w:rsid w:val="00CA624D"/>
    <w:rsid w:val="00CB5E44"/>
    <w:rsid w:val="00CB5EF5"/>
    <w:rsid w:val="00CC0FF9"/>
    <w:rsid w:val="00CC54CE"/>
    <w:rsid w:val="00CD27C9"/>
    <w:rsid w:val="00CD4C7D"/>
    <w:rsid w:val="00CE098E"/>
    <w:rsid w:val="00CE0EB1"/>
    <w:rsid w:val="00CE22D5"/>
    <w:rsid w:val="00CE2D20"/>
    <w:rsid w:val="00CE79CD"/>
    <w:rsid w:val="00D0132D"/>
    <w:rsid w:val="00D03E27"/>
    <w:rsid w:val="00D12F3B"/>
    <w:rsid w:val="00D33029"/>
    <w:rsid w:val="00D3734F"/>
    <w:rsid w:val="00D4225F"/>
    <w:rsid w:val="00D44D07"/>
    <w:rsid w:val="00D5520C"/>
    <w:rsid w:val="00D55B6D"/>
    <w:rsid w:val="00D60B0E"/>
    <w:rsid w:val="00D61B67"/>
    <w:rsid w:val="00D75EC9"/>
    <w:rsid w:val="00D767F1"/>
    <w:rsid w:val="00D8222D"/>
    <w:rsid w:val="00D9129E"/>
    <w:rsid w:val="00D913BC"/>
    <w:rsid w:val="00D92C9E"/>
    <w:rsid w:val="00D94493"/>
    <w:rsid w:val="00D94DD4"/>
    <w:rsid w:val="00D95ED2"/>
    <w:rsid w:val="00D96685"/>
    <w:rsid w:val="00DA5636"/>
    <w:rsid w:val="00DA62E7"/>
    <w:rsid w:val="00DD0103"/>
    <w:rsid w:val="00DD1C72"/>
    <w:rsid w:val="00DD1C9F"/>
    <w:rsid w:val="00DD63C5"/>
    <w:rsid w:val="00DD751F"/>
    <w:rsid w:val="00DE556F"/>
    <w:rsid w:val="00DF5B59"/>
    <w:rsid w:val="00E00FB8"/>
    <w:rsid w:val="00E012ED"/>
    <w:rsid w:val="00E0187D"/>
    <w:rsid w:val="00E10301"/>
    <w:rsid w:val="00E1169B"/>
    <w:rsid w:val="00E13047"/>
    <w:rsid w:val="00E14B70"/>
    <w:rsid w:val="00E25E87"/>
    <w:rsid w:val="00E35BF2"/>
    <w:rsid w:val="00E37BB6"/>
    <w:rsid w:val="00E46F02"/>
    <w:rsid w:val="00E47144"/>
    <w:rsid w:val="00E47481"/>
    <w:rsid w:val="00E50799"/>
    <w:rsid w:val="00E51E4E"/>
    <w:rsid w:val="00E56EAE"/>
    <w:rsid w:val="00E61F49"/>
    <w:rsid w:val="00E633E0"/>
    <w:rsid w:val="00E65CB5"/>
    <w:rsid w:val="00E6674A"/>
    <w:rsid w:val="00E741BC"/>
    <w:rsid w:val="00E744F8"/>
    <w:rsid w:val="00E76999"/>
    <w:rsid w:val="00E83EE6"/>
    <w:rsid w:val="00E84BE9"/>
    <w:rsid w:val="00E909D8"/>
    <w:rsid w:val="00E93E38"/>
    <w:rsid w:val="00E950FC"/>
    <w:rsid w:val="00EA67E8"/>
    <w:rsid w:val="00EC1654"/>
    <w:rsid w:val="00EC2343"/>
    <w:rsid w:val="00EC4FF3"/>
    <w:rsid w:val="00ED2D71"/>
    <w:rsid w:val="00ED7DBE"/>
    <w:rsid w:val="00EE0226"/>
    <w:rsid w:val="00EE3F97"/>
    <w:rsid w:val="00EE3FA4"/>
    <w:rsid w:val="00EE6D0E"/>
    <w:rsid w:val="00F00197"/>
    <w:rsid w:val="00F002F3"/>
    <w:rsid w:val="00F015DD"/>
    <w:rsid w:val="00F12585"/>
    <w:rsid w:val="00F221D8"/>
    <w:rsid w:val="00F3472D"/>
    <w:rsid w:val="00F347F7"/>
    <w:rsid w:val="00F35348"/>
    <w:rsid w:val="00F411CD"/>
    <w:rsid w:val="00F4178D"/>
    <w:rsid w:val="00F54C72"/>
    <w:rsid w:val="00F55096"/>
    <w:rsid w:val="00F5528E"/>
    <w:rsid w:val="00F6762C"/>
    <w:rsid w:val="00F723D8"/>
    <w:rsid w:val="00F72973"/>
    <w:rsid w:val="00F72F02"/>
    <w:rsid w:val="00F8038B"/>
    <w:rsid w:val="00F817E9"/>
    <w:rsid w:val="00F87FC3"/>
    <w:rsid w:val="00FB0939"/>
    <w:rsid w:val="00FC1763"/>
    <w:rsid w:val="00FC30AA"/>
    <w:rsid w:val="00FD13A8"/>
    <w:rsid w:val="00FD1E2D"/>
    <w:rsid w:val="00FD41A6"/>
    <w:rsid w:val="00FE064E"/>
    <w:rsid w:val="00FE2F44"/>
    <w:rsid w:val="00FE3E1B"/>
    <w:rsid w:val="00FF226F"/>
    <w:rsid w:val="00FF2280"/>
    <w:rsid w:val="00FF4186"/>
    <w:rsid w:val="01BA6115"/>
    <w:rsid w:val="01DD3FF9"/>
    <w:rsid w:val="01F93087"/>
    <w:rsid w:val="027C7353"/>
    <w:rsid w:val="041103C0"/>
    <w:rsid w:val="05CB2464"/>
    <w:rsid w:val="05FE7CE7"/>
    <w:rsid w:val="06660FFF"/>
    <w:rsid w:val="07BD1008"/>
    <w:rsid w:val="0832063D"/>
    <w:rsid w:val="08AF15F1"/>
    <w:rsid w:val="09625FE3"/>
    <w:rsid w:val="0A2C33C1"/>
    <w:rsid w:val="0AAD4C32"/>
    <w:rsid w:val="0B791C72"/>
    <w:rsid w:val="0CBD566D"/>
    <w:rsid w:val="0D453D3D"/>
    <w:rsid w:val="0E660AEB"/>
    <w:rsid w:val="0E8278FA"/>
    <w:rsid w:val="0F277E6C"/>
    <w:rsid w:val="0F4179CA"/>
    <w:rsid w:val="0F49157C"/>
    <w:rsid w:val="11CA3538"/>
    <w:rsid w:val="12414AA3"/>
    <w:rsid w:val="12B142BF"/>
    <w:rsid w:val="1424061F"/>
    <w:rsid w:val="145A08B6"/>
    <w:rsid w:val="14943A64"/>
    <w:rsid w:val="14DC2768"/>
    <w:rsid w:val="16766744"/>
    <w:rsid w:val="16EA68AD"/>
    <w:rsid w:val="171D0C2C"/>
    <w:rsid w:val="175243E9"/>
    <w:rsid w:val="176C022C"/>
    <w:rsid w:val="18340A94"/>
    <w:rsid w:val="18AF79DA"/>
    <w:rsid w:val="1DCB3C9D"/>
    <w:rsid w:val="1DFB58BB"/>
    <w:rsid w:val="1DFB7876"/>
    <w:rsid w:val="1E5051AA"/>
    <w:rsid w:val="1F5B4B56"/>
    <w:rsid w:val="1FD31A69"/>
    <w:rsid w:val="20200A66"/>
    <w:rsid w:val="20586827"/>
    <w:rsid w:val="20DD564D"/>
    <w:rsid w:val="22212E08"/>
    <w:rsid w:val="234B4780"/>
    <w:rsid w:val="23D52538"/>
    <w:rsid w:val="23DD7E9A"/>
    <w:rsid w:val="25592D3D"/>
    <w:rsid w:val="268D5857"/>
    <w:rsid w:val="27952AE9"/>
    <w:rsid w:val="285C70A7"/>
    <w:rsid w:val="286F6473"/>
    <w:rsid w:val="28D54F71"/>
    <w:rsid w:val="292D0165"/>
    <w:rsid w:val="29E506B4"/>
    <w:rsid w:val="2BB23E93"/>
    <w:rsid w:val="2C294223"/>
    <w:rsid w:val="2CDA705B"/>
    <w:rsid w:val="2D7F408C"/>
    <w:rsid w:val="2DC14527"/>
    <w:rsid w:val="2E3F1066"/>
    <w:rsid w:val="2F7D7605"/>
    <w:rsid w:val="311D3751"/>
    <w:rsid w:val="31F969D4"/>
    <w:rsid w:val="327B4F27"/>
    <w:rsid w:val="32C969F9"/>
    <w:rsid w:val="3301185F"/>
    <w:rsid w:val="33380BC8"/>
    <w:rsid w:val="333A5ACE"/>
    <w:rsid w:val="339B0B67"/>
    <w:rsid w:val="343E08EC"/>
    <w:rsid w:val="35770AE9"/>
    <w:rsid w:val="35C6158A"/>
    <w:rsid w:val="36591F3C"/>
    <w:rsid w:val="375B69F9"/>
    <w:rsid w:val="38D052D8"/>
    <w:rsid w:val="390B4ED7"/>
    <w:rsid w:val="39DB3951"/>
    <w:rsid w:val="3B8F6F27"/>
    <w:rsid w:val="3C0F1361"/>
    <w:rsid w:val="3CE8630F"/>
    <w:rsid w:val="3CF723D4"/>
    <w:rsid w:val="3E9F2E7C"/>
    <w:rsid w:val="3F593445"/>
    <w:rsid w:val="3F9B34D0"/>
    <w:rsid w:val="3F9B6FCB"/>
    <w:rsid w:val="3FC64FD2"/>
    <w:rsid w:val="40A2782C"/>
    <w:rsid w:val="40BE012B"/>
    <w:rsid w:val="41A51CAE"/>
    <w:rsid w:val="43C651E9"/>
    <w:rsid w:val="446854FC"/>
    <w:rsid w:val="44C642ED"/>
    <w:rsid w:val="469B7FD9"/>
    <w:rsid w:val="47295146"/>
    <w:rsid w:val="47461C21"/>
    <w:rsid w:val="47954ECB"/>
    <w:rsid w:val="47CD3449"/>
    <w:rsid w:val="48C32F8B"/>
    <w:rsid w:val="4BAB41D3"/>
    <w:rsid w:val="4D501698"/>
    <w:rsid w:val="4D961B62"/>
    <w:rsid w:val="4F897741"/>
    <w:rsid w:val="4F8E0753"/>
    <w:rsid w:val="4FE002EE"/>
    <w:rsid w:val="502A02BF"/>
    <w:rsid w:val="50413973"/>
    <w:rsid w:val="53486054"/>
    <w:rsid w:val="53BF48C4"/>
    <w:rsid w:val="54421166"/>
    <w:rsid w:val="55632AAB"/>
    <w:rsid w:val="55915C19"/>
    <w:rsid w:val="55AA6A5B"/>
    <w:rsid w:val="55E73379"/>
    <w:rsid w:val="55F3086A"/>
    <w:rsid w:val="567C32F4"/>
    <w:rsid w:val="56D6254E"/>
    <w:rsid w:val="577C5C97"/>
    <w:rsid w:val="57947A95"/>
    <w:rsid w:val="57A42C37"/>
    <w:rsid w:val="58566E92"/>
    <w:rsid w:val="59A13DB9"/>
    <w:rsid w:val="5A1D3A4E"/>
    <w:rsid w:val="5A651804"/>
    <w:rsid w:val="5BC34FE8"/>
    <w:rsid w:val="5C406E63"/>
    <w:rsid w:val="5C7A4FFC"/>
    <w:rsid w:val="5E0830BF"/>
    <w:rsid w:val="5E7048BC"/>
    <w:rsid w:val="5E8F1136"/>
    <w:rsid w:val="5F3A78D0"/>
    <w:rsid w:val="5F4267A5"/>
    <w:rsid w:val="600C0886"/>
    <w:rsid w:val="604D4411"/>
    <w:rsid w:val="61BC1CFC"/>
    <w:rsid w:val="62205B9F"/>
    <w:rsid w:val="624107F9"/>
    <w:rsid w:val="63713390"/>
    <w:rsid w:val="6398698F"/>
    <w:rsid w:val="63CC56C1"/>
    <w:rsid w:val="63EF71FD"/>
    <w:rsid w:val="6421302C"/>
    <w:rsid w:val="64C276A2"/>
    <w:rsid w:val="66C97B84"/>
    <w:rsid w:val="67720895"/>
    <w:rsid w:val="67D91C3B"/>
    <w:rsid w:val="67E36C48"/>
    <w:rsid w:val="686A5782"/>
    <w:rsid w:val="68713127"/>
    <w:rsid w:val="68755C30"/>
    <w:rsid w:val="68C53D83"/>
    <w:rsid w:val="697C24D2"/>
    <w:rsid w:val="6A685482"/>
    <w:rsid w:val="6A851777"/>
    <w:rsid w:val="6B3A4E62"/>
    <w:rsid w:val="700D23CF"/>
    <w:rsid w:val="718C7894"/>
    <w:rsid w:val="737933E1"/>
    <w:rsid w:val="73D012CF"/>
    <w:rsid w:val="747C66A9"/>
    <w:rsid w:val="754F7945"/>
    <w:rsid w:val="79806128"/>
    <w:rsid w:val="7A985FF2"/>
    <w:rsid w:val="7AE574A3"/>
    <w:rsid w:val="7AED3D20"/>
    <w:rsid w:val="7B414516"/>
    <w:rsid w:val="7BD97B9C"/>
    <w:rsid w:val="7BDA41C0"/>
    <w:rsid w:val="7C9C06CC"/>
    <w:rsid w:val="7DF4749D"/>
    <w:rsid w:val="7EA50EAE"/>
    <w:rsid w:val="7FC519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9"/>
    <w:qFormat/>
    <w:uiPriority w:val="99"/>
    <w:pPr>
      <w:spacing w:line="560" w:lineRule="exact"/>
      <w:jc w:val="center"/>
      <w:outlineLvl w:val="0"/>
    </w:pPr>
    <w:rPr>
      <w:rFonts w:ascii="方正小标宋简体" w:eastAsia="方正小标宋简体" w:cs="方正小标宋简体"/>
      <w:b/>
      <w:bCs/>
      <w:kern w:val="0"/>
      <w:sz w:val="22"/>
      <w:szCs w:val="22"/>
    </w:rPr>
  </w:style>
  <w:style w:type="paragraph" w:styleId="4">
    <w:name w:val="heading 2"/>
    <w:basedOn w:val="1"/>
    <w:next w:val="5"/>
    <w:link w:val="30"/>
    <w:qFormat/>
    <w:uiPriority w:val="99"/>
    <w:pPr>
      <w:spacing w:line="560" w:lineRule="exact"/>
      <w:jc w:val="center"/>
      <w:outlineLvl w:val="1"/>
    </w:pPr>
    <w:rPr>
      <w:rFonts w:ascii="Cambria" w:hAnsi="Cambria" w:cs="Cambria"/>
      <w:b/>
      <w:bCs/>
      <w:kern w:val="0"/>
      <w:sz w:val="32"/>
      <w:szCs w:val="32"/>
    </w:rPr>
  </w:style>
  <w:style w:type="paragraph" w:styleId="6">
    <w:name w:val="heading 3"/>
    <w:basedOn w:val="1"/>
    <w:next w:val="1"/>
    <w:link w:val="31"/>
    <w:qFormat/>
    <w:locked/>
    <w:uiPriority w:val="99"/>
    <w:pPr>
      <w:keepNext/>
      <w:keepLines/>
      <w:spacing w:before="260" w:after="260" w:line="416" w:lineRule="auto"/>
      <w:outlineLvl w:val="2"/>
    </w:pPr>
    <w:rPr>
      <w:b/>
      <w:bCs/>
      <w:sz w:val="32"/>
      <w:szCs w:val="32"/>
    </w:rPr>
  </w:style>
  <w:style w:type="character" w:default="1" w:styleId="25">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paragraph" w:styleId="5">
    <w:name w:val="Normal Indent"/>
    <w:basedOn w:val="1"/>
    <w:qFormat/>
    <w:uiPriority w:val="99"/>
    <w:pPr>
      <w:adjustRightInd w:val="0"/>
      <w:spacing w:line="360" w:lineRule="atLeast"/>
      <w:ind w:firstLine="420"/>
      <w:jc w:val="left"/>
      <w:textAlignment w:val="baseline"/>
    </w:pPr>
    <w:rPr>
      <w:kern w:val="0"/>
      <w:sz w:val="24"/>
      <w:szCs w:val="24"/>
    </w:rPr>
  </w:style>
  <w:style w:type="paragraph" w:styleId="7">
    <w:name w:val="annotation text"/>
    <w:basedOn w:val="1"/>
    <w:link w:val="32"/>
    <w:semiHidden/>
    <w:qFormat/>
    <w:uiPriority w:val="99"/>
    <w:pPr>
      <w:jc w:val="left"/>
    </w:pPr>
    <w:rPr>
      <w:kern w:val="0"/>
      <w:sz w:val="20"/>
      <w:szCs w:val="20"/>
    </w:rPr>
  </w:style>
  <w:style w:type="paragraph" w:styleId="8">
    <w:name w:val="Body Text 3"/>
    <w:basedOn w:val="1"/>
    <w:link w:val="33"/>
    <w:qFormat/>
    <w:uiPriority w:val="99"/>
    <w:pPr>
      <w:spacing w:line="360" w:lineRule="exact"/>
      <w:jc w:val="center"/>
    </w:pPr>
    <w:rPr>
      <w:kern w:val="0"/>
      <w:sz w:val="16"/>
      <w:szCs w:val="16"/>
    </w:rPr>
  </w:style>
  <w:style w:type="paragraph" w:styleId="9">
    <w:name w:val="Body Text"/>
    <w:basedOn w:val="1"/>
    <w:link w:val="34"/>
    <w:qFormat/>
    <w:uiPriority w:val="99"/>
    <w:pPr>
      <w:spacing w:after="120"/>
    </w:pPr>
    <w:rPr>
      <w:sz w:val="22"/>
      <w:szCs w:val="22"/>
    </w:rPr>
  </w:style>
  <w:style w:type="paragraph" w:styleId="10">
    <w:name w:val="Body Text Indent"/>
    <w:basedOn w:val="1"/>
    <w:link w:val="35"/>
    <w:qFormat/>
    <w:uiPriority w:val="99"/>
    <w:pPr>
      <w:ind w:left="420" w:leftChars="200"/>
    </w:pPr>
    <w:rPr>
      <w:kern w:val="0"/>
      <w:sz w:val="20"/>
      <w:szCs w:val="20"/>
    </w:rPr>
  </w:style>
  <w:style w:type="paragraph" w:styleId="11">
    <w:name w:val="Plain Text"/>
    <w:basedOn w:val="1"/>
    <w:link w:val="36"/>
    <w:qFormat/>
    <w:uiPriority w:val="99"/>
    <w:rPr>
      <w:rFonts w:ascii="宋体" w:hAnsi="Courier New" w:cs="宋体"/>
      <w:kern w:val="0"/>
    </w:rPr>
  </w:style>
  <w:style w:type="paragraph" w:styleId="12">
    <w:name w:val="Body Text Indent 2"/>
    <w:basedOn w:val="1"/>
    <w:link w:val="37"/>
    <w:qFormat/>
    <w:uiPriority w:val="99"/>
    <w:pPr>
      <w:spacing w:line="480" w:lineRule="auto"/>
      <w:ind w:left="420" w:leftChars="200"/>
    </w:pPr>
    <w:rPr>
      <w:kern w:val="0"/>
      <w:sz w:val="20"/>
      <w:szCs w:val="20"/>
    </w:r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jc w:val="left"/>
    </w:pPr>
    <w:rPr>
      <w:sz w:val="22"/>
      <w:szCs w:val="22"/>
    </w:rPr>
  </w:style>
  <w:style w:type="paragraph" w:styleId="15">
    <w:name w:val="header"/>
    <w:basedOn w:val="1"/>
    <w:link w:val="4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2"/>
      <w:szCs w:val="22"/>
    </w:rPr>
  </w:style>
  <w:style w:type="paragraph" w:styleId="16">
    <w:name w:val="toc 1"/>
    <w:basedOn w:val="1"/>
    <w:next w:val="1"/>
    <w:semiHidden/>
    <w:qFormat/>
    <w:uiPriority w:val="99"/>
  </w:style>
  <w:style w:type="paragraph" w:styleId="17">
    <w:name w:val="Subtitle"/>
    <w:basedOn w:val="1"/>
    <w:next w:val="1"/>
    <w:link w:val="41"/>
    <w:qFormat/>
    <w:uiPriority w:val="99"/>
    <w:pPr>
      <w:spacing w:line="312" w:lineRule="auto"/>
      <w:jc w:val="center"/>
      <w:outlineLvl w:val="1"/>
    </w:pPr>
    <w:rPr>
      <w:rFonts w:ascii="Cambria" w:hAnsi="Cambria" w:cs="Cambria"/>
      <w:b/>
      <w:bCs/>
      <w:kern w:val="28"/>
      <w:sz w:val="32"/>
      <w:szCs w:val="32"/>
    </w:rPr>
  </w:style>
  <w:style w:type="paragraph" w:styleId="18">
    <w:name w:val="toc 2"/>
    <w:basedOn w:val="1"/>
    <w:next w:val="1"/>
    <w:semiHidden/>
    <w:qFormat/>
    <w:uiPriority w:val="99"/>
    <w:pPr>
      <w:ind w:left="420" w:leftChars="200"/>
    </w:pPr>
  </w:style>
  <w:style w:type="paragraph" w:styleId="19">
    <w:name w:val="Normal (Web)"/>
    <w:basedOn w:val="1"/>
    <w:qFormat/>
    <w:uiPriority w:val="99"/>
    <w:pPr>
      <w:widowControl/>
      <w:spacing w:beforeAutospacing="1" w:afterAutospacing="1"/>
      <w:jc w:val="left"/>
    </w:pPr>
    <w:rPr>
      <w:rFonts w:ascii="宋体" w:hAnsi="宋体" w:cs="宋体"/>
      <w:kern w:val="0"/>
      <w:sz w:val="24"/>
      <w:szCs w:val="24"/>
    </w:rPr>
  </w:style>
  <w:style w:type="paragraph" w:styleId="20">
    <w:name w:val="Title"/>
    <w:basedOn w:val="1"/>
    <w:next w:val="1"/>
    <w:link w:val="56"/>
    <w:qFormat/>
    <w:locked/>
    <w:uiPriority w:val="99"/>
    <w:pPr>
      <w:spacing w:before="240" w:after="60"/>
      <w:jc w:val="center"/>
      <w:outlineLvl w:val="0"/>
    </w:pPr>
    <w:rPr>
      <w:rFonts w:ascii="Cambria" w:hAnsi="Cambria" w:cs="Cambria"/>
      <w:b/>
      <w:bCs/>
      <w:kern w:val="0"/>
      <w:sz w:val="32"/>
      <w:szCs w:val="32"/>
    </w:rPr>
  </w:style>
  <w:style w:type="paragraph" w:styleId="21">
    <w:name w:val="Body Text First Indent"/>
    <w:basedOn w:val="9"/>
    <w:link w:val="43"/>
    <w:qFormat/>
    <w:uiPriority w:val="99"/>
    <w:pPr>
      <w:ind w:firstLine="420" w:firstLineChars="100"/>
    </w:pPr>
    <w:rPr>
      <w:sz w:val="24"/>
      <w:szCs w:val="24"/>
    </w:rPr>
  </w:style>
  <w:style w:type="paragraph" w:styleId="22">
    <w:name w:val="Body Text First Indent 2"/>
    <w:basedOn w:val="10"/>
    <w:link w:val="44"/>
    <w:qFormat/>
    <w:uiPriority w:val="99"/>
    <w:pPr>
      <w:spacing w:after="120"/>
      <w:ind w:firstLine="420" w:firstLineChars="200"/>
    </w:pPr>
    <w:rPr>
      <w:kern w:val="2"/>
      <w:sz w:val="22"/>
      <w:szCs w:val="22"/>
    </w:rPr>
  </w:style>
  <w:style w:type="table" w:styleId="24">
    <w:name w:val="Table Grid"/>
    <w:basedOn w:val="23"/>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FollowedHyperlink"/>
    <w:basedOn w:val="25"/>
    <w:qFormat/>
    <w:uiPriority w:val="99"/>
    <w:rPr>
      <w:color w:val="auto"/>
      <w:u w:val="none"/>
    </w:rPr>
  </w:style>
  <w:style w:type="character" w:styleId="28">
    <w:name w:val="Hyperlink"/>
    <w:basedOn w:val="25"/>
    <w:qFormat/>
    <w:uiPriority w:val="99"/>
    <w:rPr>
      <w:color w:val="0000FF"/>
      <w:sz w:val="24"/>
      <w:szCs w:val="24"/>
      <w:u w:val="single"/>
    </w:rPr>
  </w:style>
  <w:style w:type="character" w:customStyle="1" w:styleId="29">
    <w:name w:val="Heading 1 Char"/>
    <w:basedOn w:val="25"/>
    <w:link w:val="3"/>
    <w:qFormat/>
    <w:locked/>
    <w:uiPriority w:val="99"/>
    <w:rPr>
      <w:rFonts w:ascii="方正小标宋简体" w:eastAsia="方正小标宋简体" w:cs="方正小标宋简体"/>
      <w:b/>
      <w:bCs/>
      <w:sz w:val="22"/>
      <w:szCs w:val="22"/>
    </w:rPr>
  </w:style>
  <w:style w:type="character" w:customStyle="1" w:styleId="30">
    <w:name w:val="Heading 2 Char"/>
    <w:basedOn w:val="25"/>
    <w:link w:val="4"/>
    <w:qFormat/>
    <w:locked/>
    <w:uiPriority w:val="99"/>
    <w:rPr>
      <w:rFonts w:ascii="Cambria" w:hAnsi="Cambria" w:eastAsia="宋体" w:cs="Cambria"/>
      <w:b/>
      <w:bCs/>
      <w:sz w:val="32"/>
      <w:szCs w:val="32"/>
    </w:rPr>
  </w:style>
  <w:style w:type="character" w:customStyle="1" w:styleId="31">
    <w:name w:val="Heading 3 Char"/>
    <w:basedOn w:val="25"/>
    <w:link w:val="6"/>
    <w:semiHidden/>
    <w:qFormat/>
    <w:locked/>
    <w:uiPriority w:val="99"/>
    <w:rPr>
      <w:rFonts w:ascii="Calibri" w:hAnsi="Calibri" w:cs="Calibri"/>
      <w:b/>
      <w:bCs/>
      <w:kern w:val="2"/>
      <w:sz w:val="32"/>
      <w:szCs w:val="32"/>
    </w:rPr>
  </w:style>
  <w:style w:type="character" w:customStyle="1" w:styleId="32">
    <w:name w:val="Comment Text Char"/>
    <w:basedOn w:val="25"/>
    <w:link w:val="7"/>
    <w:semiHidden/>
    <w:qFormat/>
    <w:locked/>
    <w:uiPriority w:val="99"/>
    <w:rPr>
      <w:rFonts w:ascii="Calibri" w:hAnsi="Calibri" w:cs="Calibri"/>
    </w:rPr>
  </w:style>
  <w:style w:type="character" w:customStyle="1" w:styleId="33">
    <w:name w:val="Body Text 3 Char"/>
    <w:basedOn w:val="25"/>
    <w:link w:val="8"/>
    <w:semiHidden/>
    <w:qFormat/>
    <w:locked/>
    <w:uiPriority w:val="99"/>
    <w:rPr>
      <w:rFonts w:ascii="Calibri" w:hAnsi="Calibri" w:cs="Calibri"/>
      <w:sz w:val="16"/>
      <w:szCs w:val="16"/>
    </w:rPr>
  </w:style>
  <w:style w:type="character" w:customStyle="1" w:styleId="34">
    <w:name w:val="Body Text Char"/>
    <w:basedOn w:val="25"/>
    <w:link w:val="9"/>
    <w:qFormat/>
    <w:locked/>
    <w:uiPriority w:val="99"/>
    <w:rPr>
      <w:rFonts w:ascii="Calibri" w:hAnsi="Calibri" w:cs="Calibri"/>
      <w:kern w:val="2"/>
      <w:sz w:val="22"/>
      <w:szCs w:val="22"/>
    </w:rPr>
  </w:style>
  <w:style w:type="character" w:customStyle="1" w:styleId="35">
    <w:name w:val="Body Text Indent Char"/>
    <w:basedOn w:val="25"/>
    <w:link w:val="10"/>
    <w:semiHidden/>
    <w:qFormat/>
    <w:locked/>
    <w:uiPriority w:val="99"/>
    <w:rPr>
      <w:rFonts w:ascii="Calibri" w:hAnsi="Calibri" w:cs="Calibri"/>
    </w:rPr>
  </w:style>
  <w:style w:type="character" w:customStyle="1" w:styleId="36">
    <w:name w:val="Plain Text Char"/>
    <w:basedOn w:val="25"/>
    <w:link w:val="11"/>
    <w:qFormat/>
    <w:locked/>
    <w:uiPriority w:val="99"/>
    <w:rPr>
      <w:rFonts w:ascii="宋体" w:hAnsi="Courier New" w:cs="宋体"/>
      <w:sz w:val="21"/>
      <w:szCs w:val="21"/>
    </w:rPr>
  </w:style>
  <w:style w:type="character" w:customStyle="1" w:styleId="37">
    <w:name w:val="Body Text Indent 2 Char"/>
    <w:basedOn w:val="25"/>
    <w:link w:val="12"/>
    <w:semiHidden/>
    <w:qFormat/>
    <w:locked/>
    <w:uiPriority w:val="99"/>
    <w:rPr>
      <w:rFonts w:ascii="Calibri" w:hAnsi="Calibri" w:cs="Calibri"/>
    </w:rPr>
  </w:style>
  <w:style w:type="character" w:customStyle="1" w:styleId="38">
    <w:name w:val="Balloon Text Char"/>
    <w:basedOn w:val="25"/>
    <w:link w:val="13"/>
    <w:qFormat/>
    <w:locked/>
    <w:uiPriority w:val="99"/>
    <w:rPr>
      <w:kern w:val="2"/>
      <w:sz w:val="18"/>
      <w:szCs w:val="18"/>
    </w:rPr>
  </w:style>
  <w:style w:type="character" w:customStyle="1" w:styleId="39">
    <w:name w:val="Footer Char"/>
    <w:basedOn w:val="25"/>
    <w:link w:val="14"/>
    <w:qFormat/>
    <w:locked/>
    <w:uiPriority w:val="99"/>
    <w:rPr>
      <w:rFonts w:ascii="Calibri" w:hAnsi="Calibri" w:cs="Calibri"/>
      <w:kern w:val="2"/>
      <w:sz w:val="22"/>
      <w:szCs w:val="22"/>
    </w:rPr>
  </w:style>
  <w:style w:type="character" w:customStyle="1" w:styleId="40">
    <w:name w:val="Header Char"/>
    <w:basedOn w:val="25"/>
    <w:link w:val="15"/>
    <w:qFormat/>
    <w:locked/>
    <w:uiPriority w:val="99"/>
    <w:rPr>
      <w:kern w:val="2"/>
      <w:sz w:val="22"/>
      <w:szCs w:val="22"/>
    </w:rPr>
  </w:style>
  <w:style w:type="character" w:customStyle="1" w:styleId="41">
    <w:name w:val="Subtitle Char"/>
    <w:basedOn w:val="25"/>
    <w:link w:val="17"/>
    <w:qFormat/>
    <w:locked/>
    <w:uiPriority w:val="99"/>
    <w:rPr>
      <w:rFonts w:ascii="Cambria" w:hAnsi="Cambria" w:cs="Cambria"/>
      <w:b/>
      <w:bCs/>
      <w:kern w:val="28"/>
      <w:sz w:val="32"/>
      <w:szCs w:val="32"/>
    </w:rPr>
  </w:style>
  <w:style w:type="character" w:customStyle="1" w:styleId="42">
    <w:name w:val="Title Char"/>
    <w:basedOn w:val="25"/>
    <w:link w:val="20"/>
    <w:qFormat/>
    <w:locked/>
    <w:uiPriority w:val="99"/>
    <w:rPr>
      <w:rFonts w:ascii="Cambria" w:hAnsi="Cambria" w:cs="Cambria"/>
      <w:b/>
      <w:bCs/>
      <w:kern w:val="2"/>
      <w:sz w:val="32"/>
      <w:szCs w:val="32"/>
    </w:rPr>
  </w:style>
  <w:style w:type="character" w:customStyle="1" w:styleId="43">
    <w:name w:val="Body Text First Indent Char"/>
    <w:basedOn w:val="34"/>
    <w:link w:val="21"/>
    <w:qFormat/>
    <w:locked/>
    <w:uiPriority w:val="99"/>
    <w:rPr>
      <w:sz w:val="24"/>
      <w:szCs w:val="24"/>
    </w:rPr>
  </w:style>
  <w:style w:type="character" w:customStyle="1" w:styleId="44">
    <w:name w:val="Body Text First Indent 2 Char"/>
    <w:basedOn w:val="35"/>
    <w:link w:val="22"/>
    <w:qFormat/>
    <w:locked/>
    <w:uiPriority w:val="99"/>
    <w:rPr>
      <w:kern w:val="2"/>
      <w:sz w:val="22"/>
      <w:szCs w:val="22"/>
    </w:rPr>
  </w:style>
  <w:style w:type="paragraph" w:customStyle="1" w:styleId="45">
    <w:name w:val="目录"/>
    <w:basedOn w:val="1"/>
    <w:qFormat/>
    <w:uiPriority w:val="99"/>
    <w:pPr>
      <w:widowControl/>
      <w:jc w:val="center"/>
    </w:pPr>
    <w:rPr>
      <w:rFonts w:ascii="宋体" w:cs="宋体"/>
      <w:b/>
      <w:bCs/>
      <w:kern w:val="0"/>
      <w:sz w:val="36"/>
      <w:szCs w:val="36"/>
    </w:rPr>
  </w:style>
  <w:style w:type="paragraph" w:customStyle="1" w:styleId="46">
    <w:name w:val="No Spacing1"/>
    <w:link w:val="47"/>
    <w:qFormat/>
    <w:uiPriority w:val="99"/>
    <w:rPr>
      <w:rFonts w:ascii="Calibri" w:hAnsi="Calibri" w:eastAsia="宋体" w:cs="Calibri"/>
      <w:kern w:val="0"/>
      <w:sz w:val="22"/>
      <w:szCs w:val="22"/>
      <w:lang w:val="en-US" w:eastAsia="zh-CN" w:bidi="ar-SA"/>
    </w:rPr>
  </w:style>
  <w:style w:type="character" w:customStyle="1" w:styleId="47">
    <w:name w:val="无间隔 Char"/>
    <w:link w:val="46"/>
    <w:qFormat/>
    <w:locked/>
    <w:uiPriority w:val="99"/>
    <w:rPr>
      <w:sz w:val="22"/>
      <w:szCs w:val="22"/>
      <w:lang w:val="en-US" w:eastAsia="zh-CN"/>
    </w:rPr>
  </w:style>
  <w:style w:type="paragraph" w:customStyle="1" w:styleId="48">
    <w:name w:val="列出段落11"/>
    <w:basedOn w:val="1"/>
    <w:qFormat/>
    <w:uiPriority w:val="99"/>
    <w:pPr>
      <w:ind w:firstLine="420" w:firstLineChars="200"/>
    </w:pPr>
    <w:rPr>
      <w:rFonts w:eastAsia="等线"/>
    </w:rPr>
  </w:style>
  <w:style w:type="paragraph" w:customStyle="1" w:styleId="49">
    <w:name w:val="List Paragraph1"/>
    <w:qFormat/>
    <w:uiPriority w:val="99"/>
    <w:pPr>
      <w:ind w:firstLine="420" w:firstLineChars="200"/>
    </w:pPr>
    <w:rPr>
      <w:rFonts w:ascii="仿宋_GB2312" w:hAnsi="宋体" w:eastAsia="仿宋_GB2312" w:cs="仿宋_GB2312"/>
      <w:kern w:val="0"/>
      <w:sz w:val="30"/>
      <w:szCs w:val="30"/>
      <w:lang w:val="en-US" w:eastAsia="zh-CN" w:bidi="ar-SA"/>
    </w:rPr>
  </w:style>
  <w:style w:type="paragraph" w:customStyle="1" w:styleId="50">
    <w:name w:val="Normal (Web)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标题2"/>
    <w:basedOn w:val="3"/>
    <w:qFormat/>
    <w:uiPriority w:val="99"/>
    <w:pPr>
      <w:keepNext/>
      <w:keepLines/>
      <w:spacing w:line="240" w:lineRule="auto"/>
      <w:ind w:firstLine="200" w:firstLineChars="200"/>
      <w:jc w:val="both"/>
      <w:outlineLvl w:val="9"/>
    </w:pPr>
    <w:rPr>
      <w:rFonts w:ascii="等线" w:hAnsi="等线" w:eastAsia="黑体" w:cs="等线"/>
      <w:b w:val="0"/>
      <w:bCs w:val="0"/>
      <w:kern w:val="2"/>
    </w:rPr>
  </w:style>
  <w:style w:type="character" w:customStyle="1" w:styleId="52">
    <w:name w:val="font21"/>
    <w:qFormat/>
    <w:uiPriority w:val="99"/>
    <w:rPr>
      <w:rFonts w:ascii="宋体" w:hAnsi="宋体" w:eastAsia="宋体" w:cs="宋体"/>
      <w:color w:val="000000"/>
      <w:sz w:val="20"/>
      <w:szCs w:val="20"/>
      <w:u w:val="none"/>
    </w:rPr>
  </w:style>
  <w:style w:type="paragraph" w:customStyle="1" w:styleId="53">
    <w:name w:val="列出段落1"/>
    <w:basedOn w:val="1"/>
    <w:link w:val="54"/>
    <w:qFormat/>
    <w:uiPriority w:val="99"/>
    <w:pPr>
      <w:ind w:firstLine="420" w:firstLineChars="200"/>
    </w:pPr>
  </w:style>
  <w:style w:type="character" w:customStyle="1" w:styleId="54">
    <w:name w:val="列出段落 Char"/>
    <w:link w:val="53"/>
    <w:qFormat/>
    <w:locked/>
    <w:uiPriority w:val="99"/>
    <w:rPr>
      <w:rFonts w:ascii="Calibri" w:hAnsi="Calibri" w:cs="Calibri"/>
      <w:kern w:val="2"/>
      <w:sz w:val="21"/>
      <w:szCs w:val="21"/>
    </w:rPr>
  </w:style>
  <w:style w:type="paragraph" w:customStyle="1" w:styleId="55">
    <w:name w:val="正文样式"/>
    <w:basedOn w:val="1"/>
    <w:qFormat/>
    <w:uiPriority w:val="99"/>
    <w:pPr>
      <w:spacing w:line="360" w:lineRule="auto"/>
      <w:ind w:firstLine="480"/>
    </w:pPr>
    <w:rPr>
      <w:sz w:val="24"/>
      <w:szCs w:val="24"/>
    </w:rPr>
  </w:style>
  <w:style w:type="character" w:customStyle="1" w:styleId="56">
    <w:name w:val="Title Char1"/>
    <w:link w:val="20"/>
    <w:locked/>
    <w:uiPriority w:val="99"/>
    <w:rPr>
      <w:rFonts w:ascii="Cambria" w:hAnsi="Cambria" w:cs="Cambria"/>
      <w:b/>
      <w:bCs/>
      <w:sz w:val="32"/>
      <w:szCs w:val="32"/>
    </w:rPr>
  </w:style>
  <w:style w:type="character" w:customStyle="1" w:styleId="57">
    <w:name w:val="标题 Char1"/>
    <w:qFormat/>
    <w:uiPriority w:val="99"/>
    <w:rPr>
      <w:rFonts w:ascii="Cambria" w:hAnsi="Cambria" w:cs="Cambria"/>
      <w:b/>
      <w:bCs/>
      <w:kern w:val="2"/>
      <w:sz w:val="32"/>
      <w:szCs w:val="32"/>
    </w:rPr>
  </w:style>
  <w:style w:type="character" w:customStyle="1" w:styleId="58">
    <w:name w:val="font131"/>
    <w:uiPriority w:val="99"/>
    <w:rPr>
      <w:rFonts w:ascii="宋体" w:hAnsi="宋体" w:eastAsia="宋体" w:cs="宋体"/>
      <w:color w:val="000000"/>
      <w:sz w:val="18"/>
      <w:szCs w:val="18"/>
      <w:u w:val="none"/>
    </w:rPr>
  </w:style>
  <w:style w:type="paragraph" w:customStyle="1" w:styleId="5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_Style 2"/>
    <w:basedOn w:val="1"/>
    <w:uiPriority w:val="99"/>
    <w:pPr>
      <w:ind w:firstLine="420" w:firstLineChars="200"/>
    </w:pPr>
    <w:rPr>
      <w:rFonts w:ascii="Times New Roman" w:hAnsi="Times New Roman" w:cs="Times New Roman"/>
    </w:rPr>
  </w:style>
  <w:style w:type="character" w:customStyle="1" w:styleId="61">
    <w:name w:val="font11"/>
    <w:qFormat/>
    <w:uiPriority w:val="99"/>
    <w:rPr>
      <w:rFonts w:ascii="宋体" w:hAnsi="宋体" w:eastAsia="宋体" w:cs="宋体"/>
      <w:color w:val="000000"/>
      <w:sz w:val="18"/>
      <w:szCs w:val="18"/>
      <w:u w:val="none"/>
    </w:rPr>
  </w:style>
  <w:style w:type="paragraph" w:customStyle="1" w:styleId="62">
    <w:name w:val="Table Paragraph"/>
    <w:basedOn w:val="1"/>
    <w:uiPriority w:val="99"/>
  </w:style>
  <w:style w:type="character" w:customStyle="1" w:styleId="63">
    <w:name w:val="font0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58</Pages>
  <Words>6361</Word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2018-03-04T14:28:00Z</dcterms:created>
  <dc:creator>河南方大建设工程管理股份有限公司</dc:creator>
  <cp:lastModifiedBy>Administrator</cp:lastModifiedBy>
  <cp:lastPrinted>2019-07-16T00:26:00Z</cp:lastPrinted>
  <dcterms:modified xsi:type="dcterms:W3CDTF">2019-11-29T10:21:25Z</dcterms:modified>
  <dc:title>温县人民医院疾控楼中央空调采购项目</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